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jc w:val="center"/>
        <w:textAlignment w:val="auto"/>
        <w:outlineLvl w:val="9"/>
        <w:rPr>
          <w:rFonts w:hint="eastAsia" w:ascii="宋体" w:hAnsi="宋体" w:cs="宋体"/>
          <w:b/>
          <w:sz w:val="44"/>
          <w:szCs w:val="44"/>
        </w:rPr>
      </w:pPr>
      <w:r>
        <w:rPr>
          <w:rFonts w:hint="eastAsia" w:ascii="宋体" w:hAnsi="宋体" w:cs="宋体"/>
          <w:b/>
          <w:sz w:val="44"/>
          <w:szCs w:val="44"/>
        </w:rPr>
        <w:t>昌吉州小额贷款公司分类监管</w:t>
      </w:r>
    </w:p>
    <w:p>
      <w:pPr>
        <w:keepNext w:val="0"/>
        <w:keepLines w:val="0"/>
        <w:pageBreakBefore w:val="0"/>
        <w:widowControl w:val="0"/>
        <w:kinsoku/>
        <w:wordWrap/>
        <w:overflowPunct/>
        <w:topLinePunct w:val="0"/>
        <w:bidi w:val="0"/>
        <w:adjustRightInd/>
        <w:snapToGrid/>
        <w:jc w:val="center"/>
        <w:textAlignment w:val="auto"/>
        <w:outlineLvl w:val="9"/>
        <w:rPr>
          <w:rFonts w:hint="eastAsia" w:ascii="宋体" w:hAnsi="宋体" w:cs="宋体"/>
          <w:b/>
          <w:sz w:val="44"/>
          <w:szCs w:val="44"/>
        </w:rPr>
      </w:pPr>
      <w:r>
        <w:rPr>
          <w:rFonts w:hint="eastAsia" w:ascii="宋体" w:hAnsi="宋体" w:cs="宋体"/>
          <w:b/>
          <w:sz w:val="44"/>
          <w:szCs w:val="44"/>
        </w:rPr>
        <w:t>评级指引（试行）</w:t>
      </w:r>
    </w:p>
    <w:p>
      <w:pPr>
        <w:keepNext w:val="0"/>
        <w:keepLines w:val="0"/>
        <w:pageBreakBefore w:val="0"/>
        <w:widowControl w:val="0"/>
        <w:kinsoku/>
        <w:wordWrap/>
        <w:overflowPunct/>
        <w:topLinePunct w:val="0"/>
        <w:bidi w:val="0"/>
        <w:adjustRightInd/>
        <w:snapToGrid/>
        <w:jc w:val="center"/>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bidi w:val="0"/>
        <w:adjustRightInd/>
        <w:snapToGrid/>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第一章 总则</w:t>
      </w:r>
    </w:p>
    <w:p>
      <w:pPr>
        <w:keepNext w:val="0"/>
        <w:keepLines w:val="0"/>
        <w:pageBreakBefore w:val="0"/>
        <w:widowControl w:val="0"/>
        <w:shd w:val="clear" w:color="auto" w:fill="FFFFFF"/>
        <w:kinsoku/>
        <w:wordWrap/>
        <w:overflowPunct/>
        <w:topLinePunct w:val="0"/>
        <w:bidi w:val="0"/>
        <w:adjustRightInd/>
        <w:snapToGrid/>
        <w:ind w:firstLine="63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第一条  </w:t>
      </w:r>
      <w:r>
        <w:rPr>
          <w:rFonts w:hint="eastAsia" w:ascii="仿宋_GB2312" w:hAnsi="仿宋_GB2312" w:eastAsia="仿宋_GB2312" w:cs="仿宋_GB2312"/>
          <w:kern w:val="0"/>
          <w:sz w:val="32"/>
          <w:szCs w:val="32"/>
        </w:rPr>
        <w:t>为引导全州小额贷款公司依法经营、规范运作，全面收集信息，整体分析小额贷款公司经营及风险状况，建立长效监管机制，促进全州小额贷款公司健康持续发展，根据自治区人民政府关于</w:t>
      </w:r>
      <w:r>
        <w:rPr>
          <w:rFonts w:hint="eastAsia" w:ascii="仿宋_GB2312" w:hAnsi="仿宋_GB2312" w:eastAsia="仿宋_GB2312" w:cs="仿宋_GB2312"/>
          <w:sz w:val="32"/>
          <w:szCs w:val="32"/>
        </w:rPr>
        <w:t>《新疆维吾尔自治区小额贷款公司试点管理暂行办法》（新政办发</w:t>
      </w:r>
      <w:r>
        <w:rPr>
          <w:rFonts w:hint="eastAsia" w:ascii="仿宋_GB2312" w:hAnsi="仿宋" w:eastAsia="仿宋_GB2312"/>
          <w:spacing w:val="-4"/>
          <w:sz w:val="32"/>
          <w:szCs w:val="32"/>
        </w:rPr>
        <w:t>〔20</w:t>
      </w:r>
      <w:r>
        <w:rPr>
          <w:rFonts w:hint="eastAsia" w:ascii="仿宋_GB2312" w:hAnsi="仿宋" w:eastAsia="仿宋_GB2312"/>
          <w:spacing w:val="-4"/>
          <w:sz w:val="32"/>
          <w:szCs w:val="32"/>
          <w:lang w:val="en-US" w:eastAsia="zh-CN"/>
        </w:rPr>
        <w:t>09</w:t>
      </w:r>
      <w:r>
        <w:rPr>
          <w:rFonts w:hint="eastAsia" w:ascii="仿宋_GB2312" w:hAnsi="仿宋" w:eastAsia="仿宋_GB2312"/>
          <w:spacing w:val="-4"/>
          <w:sz w:val="32"/>
          <w:szCs w:val="32"/>
        </w:rPr>
        <w:t>〕</w:t>
      </w:r>
      <w:r>
        <w:rPr>
          <w:rFonts w:hint="eastAsia" w:ascii="仿宋_GB2312" w:hAnsi="仿宋_GB2312" w:eastAsia="仿宋_GB2312" w:cs="仿宋_GB2312"/>
          <w:sz w:val="32"/>
          <w:szCs w:val="32"/>
        </w:rPr>
        <w:t>22号）、昌吉州金融办关于《昌吉州小额贷款公司监管工作指引（暂行）》（昌州金办发</w:t>
      </w:r>
      <w:r>
        <w:rPr>
          <w:rFonts w:hint="eastAsia" w:ascii="仿宋_GB2312" w:hAnsi="仿宋" w:eastAsia="仿宋_GB2312"/>
          <w:spacing w:val="-4"/>
          <w:sz w:val="32"/>
          <w:szCs w:val="32"/>
        </w:rPr>
        <w:t>〔20</w:t>
      </w:r>
      <w:r>
        <w:rPr>
          <w:rFonts w:hint="eastAsia" w:ascii="仿宋_GB2312" w:hAnsi="仿宋" w:eastAsia="仿宋_GB2312"/>
          <w:spacing w:val="-4"/>
          <w:sz w:val="32"/>
          <w:szCs w:val="32"/>
          <w:lang w:val="en-US" w:eastAsia="zh-CN"/>
        </w:rPr>
        <w:t>15</w:t>
      </w:r>
      <w:r>
        <w:rPr>
          <w:rFonts w:hint="eastAsia" w:ascii="仿宋_GB2312" w:hAnsi="仿宋" w:eastAsia="仿宋_GB2312"/>
          <w:spacing w:val="-4"/>
          <w:sz w:val="32"/>
          <w:szCs w:val="32"/>
        </w:rPr>
        <w:t>〕</w:t>
      </w:r>
      <w:r>
        <w:rPr>
          <w:rFonts w:hint="eastAsia" w:ascii="仿宋_GB2312" w:hAnsi="仿宋_GB2312" w:eastAsia="仿宋_GB2312" w:cs="仿宋_GB2312"/>
          <w:sz w:val="32"/>
          <w:szCs w:val="32"/>
        </w:rPr>
        <w:t>6号）</w:t>
      </w:r>
      <w:r>
        <w:rPr>
          <w:rFonts w:hint="eastAsia" w:ascii="仿宋_GB2312" w:hAnsi="仿宋_GB2312" w:eastAsia="仿宋_GB2312" w:cs="仿宋_GB2312"/>
          <w:kern w:val="0"/>
          <w:sz w:val="32"/>
          <w:szCs w:val="32"/>
        </w:rPr>
        <w:t>等规定，制定本指引。</w:t>
      </w:r>
    </w:p>
    <w:p>
      <w:pPr>
        <w:keepNext w:val="0"/>
        <w:keepLines w:val="0"/>
        <w:pageBreakBefore w:val="0"/>
        <w:widowControl w:val="0"/>
        <w:shd w:val="clear" w:color="auto" w:fill="FFFFFF"/>
        <w:kinsoku/>
        <w:wordWrap/>
        <w:overflowPunct/>
        <w:topLinePunct w:val="0"/>
        <w:bidi w:val="0"/>
        <w:adjustRightInd/>
        <w:snapToGrid/>
        <w:ind w:firstLine="63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第二条  本指引适用于经新疆维吾尔自治区人民政府金融工作办公室批准设立，并由所属地工商行政管理部门注册登记的小额贷款公司。</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第三条  分类评级工作应坚持以下原则：</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定量与定性相结合的原则。综合定量因素与定性因素,以定量因素为主对小额贷款公司进行评级。</w:t>
      </w:r>
    </w:p>
    <w:p>
      <w:pPr>
        <w:keepNext w:val="0"/>
        <w:keepLines w:val="0"/>
        <w:pageBreakBefore w:val="0"/>
        <w:widowControl w:val="0"/>
        <w:shd w:val="clear" w:color="auto" w:fill="FFFFFF"/>
        <w:kinsoku/>
        <w:wordWrap/>
        <w:overflowPunct/>
        <w:topLinePunct w:val="0"/>
        <w:bidi w:val="0"/>
        <w:adjustRightInd/>
        <w:snapToGrid/>
        <w:ind w:firstLine="64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激励与约束相结合的原则。对监管评级好的小额贷款公司，通过制定的政策给予鼓励和支持；对监管评级差的小额贷款公司，给予相应的处理和制约。</w:t>
      </w:r>
    </w:p>
    <w:p>
      <w:pPr>
        <w:keepNext w:val="0"/>
        <w:keepLines w:val="0"/>
        <w:pageBreakBefore w:val="0"/>
        <w:widowControl w:val="0"/>
        <w:shd w:val="clear" w:color="auto" w:fill="FFFFFF"/>
        <w:kinsoku/>
        <w:wordWrap/>
        <w:overflowPunct/>
        <w:topLinePunct w:val="0"/>
        <w:bidi w:val="0"/>
        <w:adjustRightInd/>
        <w:snapToGrid/>
        <w:ind w:firstLine="64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第四条  州金融办管理全州小额贷款公司的分类监管评级工作，对分类监管评级工作进行组织评定并公布评级结果。县市（园区）监管部门负责具体实施。</w:t>
      </w:r>
    </w:p>
    <w:p>
      <w:pPr>
        <w:keepNext w:val="0"/>
        <w:keepLines w:val="0"/>
        <w:pageBreakBefore w:val="0"/>
        <w:widowControl w:val="0"/>
        <w:shd w:val="clear" w:color="auto" w:fill="FFFFFF"/>
        <w:kinsoku/>
        <w:wordWrap/>
        <w:overflowPunct/>
        <w:topLinePunct w:val="0"/>
        <w:bidi w:val="0"/>
        <w:adjustRightInd/>
        <w:snapToGrid/>
        <w:jc w:val="center"/>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第二章 评级范围、方式及等级划分</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第五条  设立满一个会计年度的小额贷款公司统一纳入评级范围。</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第六条  评级考核实行百分制。评级考核采取定量评分和定性分析相结合、日常监管和年度考核相结合、现场检查与材料审查相结合的方式进行。</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第七条  评级考核采取小额贷款公司自评、县市（园区）监管部门初评、州金融办组织现场检查复核并审定的方法实施。考核结果分为优良、一般、较差三类：得分80分（含80分）以上为优良，50—80分（含50分）的为一般，50分以下为较差。</w:t>
      </w:r>
    </w:p>
    <w:p>
      <w:pPr>
        <w:keepNext w:val="0"/>
        <w:keepLines w:val="0"/>
        <w:pageBreakBefore w:val="0"/>
        <w:widowControl w:val="0"/>
        <w:shd w:val="clear" w:color="auto" w:fill="FFFFFF"/>
        <w:kinsoku/>
        <w:wordWrap/>
        <w:overflowPunct/>
        <w:topLinePunct w:val="0"/>
        <w:bidi w:val="0"/>
        <w:adjustRightInd/>
        <w:snapToGrid/>
        <w:jc w:val="center"/>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第三章 考核程序及内容</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第八条  考核按照自评、初评、审定、公布的程序进行。</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小额贷款公司开展自评，及时填报年度分类评级报告书（附件一），在3月30日前上报县市（园区）监管部门。</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市（园区）监管部门审查小额贷款公司上报的分类评级报告书，计算初评得分并现场考查，在考核报告审核表上签字盖章,及时编制本辖区分类评级情况报告和小额贷款公司考核评价得分汇总表（附件二），于4月30日前以正式文件上报州金融办。</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州金融办对小额贷款公司分类评级报告书进行审核，并</w:t>
      </w:r>
      <w:r>
        <w:rPr>
          <w:rFonts w:hint="eastAsia" w:ascii="仿宋_GB2312" w:hAnsi="仿宋_GB2312" w:eastAsia="仿宋_GB2312" w:cs="仿宋_GB2312"/>
          <w:kern w:val="0"/>
          <w:sz w:val="32"/>
          <w:szCs w:val="32"/>
          <w:lang w:val="en-US" w:eastAsia="zh-CN"/>
        </w:rPr>
        <w:t>安排</w:t>
      </w:r>
      <w:r>
        <w:rPr>
          <w:rFonts w:hint="eastAsia" w:ascii="仿宋_GB2312" w:hAnsi="仿宋_GB2312" w:eastAsia="仿宋_GB2312" w:cs="仿宋_GB2312"/>
          <w:kern w:val="0"/>
          <w:sz w:val="32"/>
          <w:szCs w:val="32"/>
        </w:rPr>
        <w:t>2名及以上工作人员进行现场核查，计算出考评得分，并在考核报告审核表上签字,及时编制本辖区分类评级情况报告和小额贷款公司考核评价得分汇总表，在6月30日前在行业内公布并上报自治区金融办。</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第九条  小额贷款公司提交的分类评级报告书包括以下材料：</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一、小额贷款公司年度评级审核表；</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二、小额贷款公司基本情况表；</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三、小额贷款公司分类评级考核评分表；</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四、小额贷款公司设立、变更批准文件的复印件；</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五、小额贷款公司营业执照副本以及税务登记证副本复印件；</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六、上一会计年度财务审计报告；</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七、小额贷款公司年度经营情况报告书；</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八、监管部门要求提交的其他材料。</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第十条  小额贷款公司提供上年度经营情况报告书包括以下内容：</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一、公司概况。内容包括公司注册资本、营业地址、高管人员情况、合作金融机构、外源融资情况、员工人数等；</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二、公司年度经营管理情况总结。内容包括业务开展情况、公司治理和内部控制制度、财务管理情况、履行社会责任情况等；</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三、信息披露。包括信息披露情况，风险预警和突发事件应急处置，接受监管部门检查和整改等情况；</w:t>
      </w:r>
    </w:p>
    <w:p>
      <w:pPr>
        <w:keepNext w:val="0"/>
        <w:keepLines w:val="0"/>
        <w:pageBreakBefore w:val="0"/>
        <w:widowControl w:val="0"/>
        <w:shd w:val="clear" w:color="auto" w:fill="FFFFFF"/>
        <w:kinsoku/>
        <w:wordWrap/>
        <w:overflowPunct/>
        <w:topLinePunct w:val="0"/>
        <w:bidi w:val="0"/>
        <w:adjustRightInd/>
        <w:snapToGrid/>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四、贷款发放情况。包括贷款对象，贷款额度，贷款用途，贷款形式，本年累计贷款金额，期末贷款余额，跨区域贷款情况，按年计算的贷款最高利率，按年计算的贷款最低利率等情况。</w:t>
      </w:r>
    </w:p>
    <w:p>
      <w:pPr>
        <w:keepNext w:val="0"/>
        <w:keepLines w:val="0"/>
        <w:pageBreakBefore w:val="0"/>
        <w:widowControl w:val="0"/>
        <w:shd w:val="clear" w:color="auto" w:fill="FFFFFF"/>
        <w:kinsoku/>
        <w:wordWrap/>
        <w:overflowPunct/>
        <w:topLinePunct w:val="0"/>
        <w:bidi w:val="0"/>
        <w:adjustRightInd/>
        <w:snapToGrid/>
        <w:jc w:val="center"/>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第四章 评分标准</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第十一条  评级考核项目共分为定量指标（80分）和定性指标（20分）共计100分。定量指标为5大项、12小项，内容包括：资本扩张能力（10分）；资产管理能力(20分);风险管理能力(20分);盈利能力(20分)；发展能力（10分）。定性指标分为3大项、15小项，内容包括：内部管理指标（20分）；合规管理指标（扣分项）；加分项目。</w:t>
      </w:r>
    </w:p>
    <w:p>
      <w:pPr>
        <w:keepNext w:val="0"/>
        <w:keepLines w:val="0"/>
        <w:pageBreakBefore w:val="0"/>
        <w:widowControl w:val="0"/>
        <w:shd w:val="clear" w:color="auto" w:fill="FFFFFF"/>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第十二条  具体考核内容和计分标准如下：</w:t>
      </w:r>
    </w:p>
    <w:p>
      <w:pPr>
        <w:keepNext w:val="0"/>
        <w:keepLines w:val="0"/>
        <w:pageBreakBefore w:val="0"/>
        <w:widowControl w:val="0"/>
        <w:numPr>
          <w:ilvl w:val="0"/>
          <w:numId w:val="1"/>
        </w:numPr>
        <w:kinsoku/>
        <w:wordWrap/>
        <w:overflowPunct/>
        <w:topLinePunct w:val="0"/>
        <w:bidi w:val="0"/>
        <w:adjustRightInd/>
        <w:snapToGrid/>
        <w:ind w:firstLine="12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定量指标（80分）</w:t>
      </w:r>
    </w:p>
    <w:p>
      <w:pPr>
        <w:keepNext w:val="0"/>
        <w:keepLines w:val="0"/>
        <w:pageBreakBefore w:val="0"/>
        <w:widowControl w:val="0"/>
        <w:kinsoku/>
        <w:wordWrap/>
        <w:overflowPunct/>
        <w:topLinePunct w:val="0"/>
        <w:bidi w:val="0"/>
        <w:adjustRightInd/>
        <w:snapToGrid/>
        <w:ind w:left="5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（一）资本扩张能力（10分）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1.注册资本（6分）。注册资本在5000万元以下得4分；5000万元（含）至10000万元得5分；10000万元（含）以上得6分。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2.增资扩股（4分）。当年增资扩股得4分。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（二）资产管理能力（20分）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1.资金使用效率（10分）。达到80%（含）以上得10分，每低10%减1分，不足10%部分按10%扣减。</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注：资金使用效率=当年月平均贷款余额/（资本净额+融资平均余额）×100%。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2.资金周转率（10分）。达到100%（含）以上得10分，每低10%减1分，不足10%部分按10%扣减。</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注：资金周转率=当年累计发放贷款总额/（资本净额+融资平均余额）×100%。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（三）风险管理能力（20分）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1.不良贷款率（5分）。期末低于或等于8%得5分，每高2%减1分，不足2%按2%扣减，最高扣5分。</w:t>
      </w:r>
    </w:p>
    <w:p>
      <w:pPr>
        <w:keepNext w:val="0"/>
        <w:keepLines w:val="0"/>
        <w:pageBreakBefore w:val="0"/>
        <w:widowControl w:val="0"/>
        <w:kinsoku/>
        <w:wordWrap/>
        <w:overflowPunct/>
        <w:topLinePunct w:val="0"/>
        <w:bidi w:val="0"/>
        <w:adjustRightInd/>
        <w:snapToGrid/>
        <w:ind w:left="359" w:leftChars="171" w:firstLine="160" w:firstLineChars="5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注：不良贷款率=（次级类贷款+可疑类贷款+损失类贷款）/各项贷款余额×100%。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2.贷款损失准备充足率（5分）。期末高于100%（含）得5分，50%（含）至100%得3分，低于50%得0分。</w:t>
      </w:r>
    </w:p>
    <w:p>
      <w:pPr>
        <w:keepNext w:val="0"/>
        <w:keepLines w:val="0"/>
        <w:pageBreakBefore w:val="0"/>
        <w:widowControl w:val="0"/>
        <w:kinsoku/>
        <w:wordWrap/>
        <w:overflowPunct/>
        <w:topLinePunct w:val="0"/>
        <w:bidi w:val="0"/>
        <w:adjustRightInd/>
        <w:snapToGrid/>
        <w:ind w:firstLine="518" w:firstLineChars="162"/>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注：贷款损失准备充足率=当年实际计提贷款损失准备金/当年应计提贷款损失准备金×100%。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当年应计提贷款损失准备金=正常类贷款余额×1%+关注类贷款余额×2%+次级类贷款余额×25%+可疑类贷款余额×50%+损失类贷款余额×100%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3.贷款分散率（5分）。单户贷款余额达到资本净额5%的比重在30%（含）以下得5分，每高5%减1分，不足5%按5%扣减，最高扣5分。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4.贷款期限比重（5分）。当年期限6个月以内（含）贷款总额与各项贷款总额之比达到80%（含）以上的，得5分；达到50%（含）至80%得3分；低于50%的得1分。</w:t>
      </w:r>
    </w:p>
    <w:p>
      <w:pPr>
        <w:keepNext w:val="0"/>
        <w:keepLines w:val="0"/>
        <w:pageBreakBefore w:val="0"/>
        <w:widowControl w:val="0"/>
        <w:kinsoku/>
        <w:wordWrap/>
        <w:overflowPunct/>
        <w:topLinePunct w:val="0"/>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（四）盈利能力（20分）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1.资本净利润率（10分）。达到10%（含）以上得10分，每低1%减1分，不足1%部分按1%扣减，最多扣10分。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注：资本净利润率=当年净利润/资本净额×100%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2.实际贷款收息率（10分）。达到10%（含）以上得10分，每低1%减1分，不足1%部分按1%扣减。</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注：实际贷款收息率=当年实收贷款利息/当年平均贷款余额×100%。</w:t>
      </w:r>
    </w:p>
    <w:p>
      <w:pPr>
        <w:keepNext w:val="0"/>
        <w:keepLines w:val="0"/>
        <w:pageBreakBefore w:val="0"/>
        <w:widowControl w:val="0"/>
        <w:kinsoku/>
        <w:wordWrap/>
        <w:overflowPunct/>
        <w:topLinePunct w:val="0"/>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（五）发展能力（10分）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1.融资能力（5分）。达到25%（含）以上的得5分，每低5%减1分，不足5%部分按5%扣减，最多扣5分。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注：融资能力=年平均融资余额/资本净额×100%。</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2.累放贷款增长率（5分）。年度累放贷款总额每增加5%得1分，不足5%的按5%计，最多得5分。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注：累放贷款增长率=（本年度累放贷款总额-上年度累放贷款总额）/上年度累放贷款总额×100%</w:t>
      </w:r>
    </w:p>
    <w:p>
      <w:pPr>
        <w:keepNext w:val="0"/>
        <w:keepLines w:val="0"/>
        <w:pageBreakBefore w:val="0"/>
        <w:widowControl w:val="0"/>
        <w:numPr>
          <w:ilvl w:val="0"/>
          <w:numId w:val="1"/>
        </w:numPr>
        <w:kinsoku/>
        <w:wordWrap/>
        <w:overflowPunct/>
        <w:topLinePunct w:val="0"/>
        <w:bidi w:val="0"/>
        <w:adjustRightInd/>
        <w:snapToGrid/>
        <w:ind w:firstLine="12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定性指标（20分）</w:t>
      </w:r>
    </w:p>
    <w:p>
      <w:pPr>
        <w:keepNext w:val="0"/>
        <w:keepLines w:val="0"/>
        <w:pageBreakBefore w:val="0"/>
        <w:widowControl w:val="0"/>
        <w:numPr>
          <w:ilvl w:val="0"/>
          <w:numId w:val="2"/>
        </w:numPr>
        <w:kinsoku/>
        <w:wordWrap/>
        <w:overflowPunct/>
        <w:topLinePunct w:val="0"/>
        <w:bidi w:val="0"/>
        <w:adjustRightInd/>
        <w:snapToGrid/>
        <w:ind w:hanging="18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内部管理指标（20分）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1.是否建立健全的公司治理和科学的内部制衡机制，股东会、董事会、监事会是否按时召开。</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制度健全且落实较好的得5分，制度不健全或未完全落实的得3分，制度落实较差的得1分。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2.是否建立科学可行的业务决策和监督机制，包括贷前调查、贷时审查、贷后管理、不良贷款分类、风险拨备、财务会计核算等业务管理制度。</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制度健全且落实较好的得5分，制度不健全或未完全落实的得3分，制度落实较差的得1分。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3.是否按照规范要求编制财务报表，年度财务报表是否经过金融办认可的会计师事务所审计。</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严格财务管理且按规定审计年报的得5分，有年报但未经审计的得1分。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4.董事、监事、高级管理人员及业务人员是否配备齐全，高级管理人员是否具备2年以上银行（或小额贷款公司）信贷、风控管理工作经历，职工人数是否在5人（含）以上。</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配备齐全且符合条件的得5分，不够齐全或不符合条件的得3分，未按规定配备的得1分。</w:t>
      </w:r>
    </w:p>
    <w:p>
      <w:pPr>
        <w:keepNext w:val="0"/>
        <w:keepLines w:val="0"/>
        <w:pageBreakBefore w:val="0"/>
        <w:widowControl w:val="0"/>
        <w:numPr>
          <w:ilvl w:val="0"/>
          <w:numId w:val="2"/>
        </w:numPr>
        <w:kinsoku/>
        <w:wordWrap/>
        <w:overflowPunct/>
        <w:topLinePunct w:val="0"/>
        <w:bidi w:val="0"/>
        <w:adjustRightInd/>
        <w:snapToGrid/>
        <w:ind w:hanging="18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合规经营指标（扣分项）</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合规经营指标作为总评价分的扣减项，在评级总分的基础上直接扣减，扣完为止。</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非法吸收存款、非法集资；（扣20分）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暴力收贷或出现其他重大违法违规事项的；（扣20分）</w:t>
      </w:r>
    </w:p>
    <w:p>
      <w:pPr>
        <w:keepNext w:val="0"/>
        <w:keepLines w:val="0"/>
        <w:pageBreakBefore w:val="0"/>
        <w:widowControl w:val="0"/>
        <w:numPr>
          <w:ilvl w:val="0"/>
          <w:numId w:val="0"/>
        </w:numPr>
        <w:kinsoku/>
        <w:wordWrap/>
        <w:overflowPunct/>
        <w:topLinePunct w:val="0"/>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抽逃注册资本的；（扣20分）</w:t>
      </w:r>
    </w:p>
    <w:p>
      <w:pPr>
        <w:keepNext w:val="0"/>
        <w:keepLines w:val="0"/>
        <w:pageBreakBefore w:val="0"/>
        <w:widowControl w:val="0"/>
        <w:numPr>
          <w:ilvl w:val="0"/>
          <w:numId w:val="0"/>
        </w:numPr>
        <w:kinsoku/>
        <w:wordWrap/>
        <w:overflowPunct/>
        <w:topLinePunct w:val="0"/>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做虚假账务或从事账外经营的；（扣20分）</w:t>
      </w:r>
    </w:p>
    <w:p>
      <w:pPr>
        <w:keepNext w:val="0"/>
        <w:keepLines w:val="0"/>
        <w:pageBreakBefore w:val="0"/>
        <w:widowControl w:val="0"/>
        <w:numPr>
          <w:ilvl w:val="0"/>
          <w:numId w:val="0"/>
        </w:numPr>
        <w:tabs>
          <w:tab w:val="left" w:pos="0"/>
        </w:tabs>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发放贷款的综合利、费率超过司法部门规定的上限；（扣5分）</w:t>
      </w:r>
    </w:p>
    <w:p>
      <w:pPr>
        <w:keepNext w:val="0"/>
        <w:keepLines w:val="0"/>
        <w:pageBreakBefore w:val="0"/>
        <w:widowControl w:val="0"/>
        <w:numPr>
          <w:ilvl w:val="0"/>
          <w:numId w:val="0"/>
        </w:numPr>
        <w:tabs>
          <w:tab w:val="left" w:pos="0"/>
        </w:tabs>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违规跨区域经营的；（扣5分）</w:t>
      </w:r>
    </w:p>
    <w:p>
      <w:pPr>
        <w:keepNext w:val="0"/>
        <w:keepLines w:val="0"/>
        <w:pageBreakBefore w:val="0"/>
        <w:widowControl w:val="0"/>
        <w:numPr>
          <w:ilvl w:val="0"/>
          <w:numId w:val="0"/>
        </w:numPr>
        <w:tabs>
          <w:tab w:val="left" w:pos="0"/>
        </w:tabs>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违规变更事项的；（扣5分）</w:t>
      </w:r>
    </w:p>
    <w:p>
      <w:pPr>
        <w:keepNext w:val="0"/>
        <w:keepLines w:val="0"/>
        <w:pageBreakBefore w:val="0"/>
        <w:widowControl w:val="0"/>
        <w:numPr>
          <w:ilvl w:val="0"/>
          <w:numId w:val="0"/>
        </w:numPr>
        <w:tabs>
          <w:tab w:val="left" w:pos="0"/>
        </w:tabs>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当年公众投诉，经核查属实的；（扣5分）</w:t>
      </w:r>
    </w:p>
    <w:p>
      <w:pPr>
        <w:keepNext w:val="0"/>
        <w:keepLines w:val="0"/>
        <w:pageBreakBefore w:val="0"/>
        <w:widowControl w:val="0"/>
        <w:numPr>
          <w:ilvl w:val="0"/>
          <w:numId w:val="0"/>
        </w:numPr>
        <w:tabs>
          <w:tab w:val="left" w:pos="0"/>
        </w:tabs>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单户超比例放贷或拆分放贷的；（扣5分）</w:t>
      </w:r>
    </w:p>
    <w:p>
      <w:pPr>
        <w:keepNext w:val="0"/>
        <w:keepLines w:val="0"/>
        <w:pageBreakBefore w:val="0"/>
        <w:widowControl w:val="0"/>
        <w:kinsoku/>
        <w:wordWrap/>
        <w:overflowPunct/>
        <w:topLinePunct w:val="0"/>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未积极配合监管部门开展日常监管；（扣5分）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各项统计报表迟报、漏报和错报每次扣1分，最多扣5分。</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其他违规行为。（扣5分）</w:t>
      </w:r>
    </w:p>
    <w:p>
      <w:pPr>
        <w:keepNext w:val="0"/>
        <w:keepLines w:val="0"/>
        <w:pageBreakBefore w:val="0"/>
        <w:widowControl w:val="0"/>
        <w:numPr>
          <w:ilvl w:val="0"/>
          <w:numId w:val="2"/>
        </w:numPr>
        <w:kinsoku/>
        <w:wordWrap/>
        <w:overflowPunct/>
        <w:topLinePunct w:val="0"/>
        <w:bidi w:val="0"/>
        <w:adjustRightInd/>
        <w:snapToGrid/>
        <w:ind w:hanging="18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加分项目</w:t>
      </w:r>
    </w:p>
    <w:p>
      <w:pPr>
        <w:keepNext w:val="0"/>
        <w:keepLines w:val="0"/>
        <w:pageBreakBefore w:val="0"/>
        <w:widowControl w:val="0"/>
        <w:kinsoku/>
        <w:wordWrap/>
        <w:overflowPunct/>
        <w:topLinePunct w:val="0"/>
        <w:bidi w:val="0"/>
        <w:adjustRightInd/>
        <w:snapToGrid/>
        <w:ind w:firstLine="43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凡当年获得政府、协会等部门评定的各类奖项的，每项加10分。</w:t>
      </w:r>
    </w:p>
    <w:p>
      <w:pPr>
        <w:keepNext w:val="0"/>
        <w:keepLines w:val="0"/>
        <w:pageBreakBefore w:val="0"/>
        <w:widowControl w:val="0"/>
        <w:kinsoku/>
        <w:wordWrap/>
        <w:overflowPunct/>
        <w:topLinePunct w:val="0"/>
        <w:bidi w:val="0"/>
        <w:adjustRightInd/>
        <w:snapToGrid/>
        <w:ind w:firstLine="43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第五章 评级结果和分类监管</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监管评级结果作为监管部门对小额贷款公司分类监管、业务准入和推荐评优的重要依据。每年对小额贷款公司监管评级结果进行行业内通报。</w:t>
      </w:r>
    </w:p>
    <w:p>
      <w:pPr>
        <w:keepNext w:val="0"/>
        <w:keepLines w:val="0"/>
        <w:pageBreakBefore w:val="0"/>
        <w:widowControl w:val="0"/>
        <w:numPr>
          <w:ilvl w:val="0"/>
          <w:numId w:val="3"/>
        </w:numPr>
        <w:kinsoku/>
        <w:wordWrap/>
        <w:overflowPunct/>
        <w:topLinePunct w:val="0"/>
        <w:bidi w:val="0"/>
        <w:adjustRightInd/>
        <w:snapToGrid/>
        <w:ind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监管部门根据监管评级结果，分类采取相应的监管措施。</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优良：实施审慎监管，在对外融资、政策扶持等方面给予鼓励和支持。通报表彰并建议协会给予适当奖励。    </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一般：采取针对性监管措施，下发风险提示函，明确提出存在问题并限期整改，定期开展非现场和现场检查，有条件进行政策支持，适当限制或暂停对外融资等。</w:t>
      </w:r>
    </w:p>
    <w:p>
      <w:pPr>
        <w:keepNext w:val="0"/>
        <w:keepLines w:val="0"/>
        <w:pageBreakBefore w:val="0"/>
        <w:widowControl w:val="0"/>
        <w:kinsoku/>
        <w:wordWrap/>
        <w:overflowPunct/>
        <w:topLinePunct w:val="0"/>
        <w:bidi w:val="0"/>
        <w:adjustRightInd/>
        <w:snapToGrid/>
        <w:ind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较差：采取严格的监管措施，提高现场检查频率，采取高管诫勉谈话、通报批评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限制业务范围、停业整顿等措施，直至上报自治区金融办撤销其经营资质。</w:t>
      </w:r>
    </w:p>
    <w:p>
      <w:pPr>
        <w:keepNext w:val="0"/>
        <w:keepLines w:val="0"/>
        <w:pageBreakBefore w:val="0"/>
        <w:widowControl w:val="0"/>
        <w:shd w:val="clear" w:color="auto" w:fill="FFFFFF"/>
        <w:kinsoku/>
        <w:wordWrap/>
        <w:overflowPunct/>
        <w:topLinePunct w:val="0"/>
        <w:bidi w:val="0"/>
        <w:adjustRightInd/>
        <w:snapToGrid/>
        <w:jc w:val="center"/>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第六章 附则</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第十五条</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sz w:val="32"/>
          <w:szCs w:val="32"/>
        </w:rPr>
        <w:t>小额贷款公司监管评级结果仅用于监管目的，原则上仅在行业内部使用。有关部门、单位和金融机构参考使用，监管部门不承担相应法律责任。</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本指引由州金融办负责解释、修订，自发布之日起施行。</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附件：1.小额贷款公司分类评级报告书</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2.昌吉州小额贷款公司</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年度分类监管评级</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结果汇总表</w:t>
      </w: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kern w:val="0"/>
          <w:sz w:val="32"/>
          <w:szCs w:val="32"/>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kern w:val="0"/>
          <w:sz w:val="32"/>
          <w:szCs w:val="32"/>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kern w:val="0"/>
          <w:sz w:val="32"/>
          <w:szCs w:val="32"/>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b/>
          <w:kern w:val="0"/>
          <w:sz w:val="32"/>
          <w:szCs w:val="32"/>
        </w:rPr>
      </w:pPr>
      <w:r>
        <w:rPr>
          <w:rFonts w:hint="eastAsia" w:ascii="宋体" w:hAnsi="宋体" w:cs="宋体"/>
          <w:b/>
          <w:kern w:val="0"/>
          <w:sz w:val="32"/>
          <w:szCs w:val="32"/>
        </w:rPr>
        <w:t>附件1</w:t>
      </w:r>
    </w:p>
    <w:p>
      <w:pPr>
        <w:keepNext w:val="0"/>
        <w:keepLines w:val="0"/>
        <w:pageBreakBefore w:val="0"/>
        <w:widowControl w:val="0"/>
        <w:kinsoku/>
        <w:wordWrap/>
        <w:overflowPunct/>
        <w:topLinePunct w:val="0"/>
        <w:bidi w:val="0"/>
        <w:adjustRightInd/>
        <w:snapToGrid/>
        <w:textAlignment w:val="auto"/>
        <w:outlineLvl w:val="9"/>
        <w:rPr>
          <w:rFonts w:hint="eastAsia" w:hAnsi="宋体" w:eastAsia="黑体" w:cs="宋体"/>
          <w:b/>
          <w:spacing w:val="3"/>
          <w:w w:val="88"/>
          <w:kern w:val="0"/>
          <w:sz w:val="72"/>
          <w:szCs w:val="72"/>
        </w:rPr>
      </w:pPr>
    </w:p>
    <w:p>
      <w:pPr>
        <w:keepNext w:val="0"/>
        <w:keepLines w:val="0"/>
        <w:pageBreakBefore w:val="0"/>
        <w:widowControl w:val="0"/>
        <w:kinsoku/>
        <w:wordWrap/>
        <w:overflowPunct/>
        <w:topLinePunct w:val="0"/>
        <w:bidi w:val="0"/>
        <w:adjustRightInd/>
        <w:snapToGrid/>
        <w:textAlignment w:val="auto"/>
        <w:outlineLvl w:val="9"/>
        <w:rPr>
          <w:rFonts w:hint="eastAsia" w:hAnsi="宋体" w:eastAsia="黑体" w:cs="宋体"/>
          <w:b/>
          <w:spacing w:val="3"/>
          <w:w w:val="88"/>
          <w:kern w:val="0"/>
          <w:sz w:val="72"/>
          <w:szCs w:val="72"/>
        </w:rPr>
      </w:pPr>
    </w:p>
    <w:p>
      <w:pPr>
        <w:keepNext w:val="0"/>
        <w:keepLines w:val="0"/>
        <w:pageBreakBefore w:val="0"/>
        <w:widowControl w:val="0"/>
        <w:kinsoku/>
        <w:wordWrap/>
        <w:overflowPunct/>
        <w:topLinePunct w:val="0"/>
        <w:bidi w:val="0"/>
        <w:adjustRightInd/>
        <w:snapToGrid/>
        <w:jc w:val="center"/>
        <w:textAlignment w:val="auto"/>
        <w:outlineLvl w:val="9"/>
        <w:rPr>
          <w:rFonts w:hint="eastAsia" w:hAnsi="宋体" w:eastAsia="黑体" w:cs="宋体"/>
          <w:b/>
          <w:spacing w:val="3"/>
          <w:w w:val="88"/>
          <w:kern w:val="0"/>
          <w:sz w:val="72"/>
          <w:szCs w:val="72"/>
        </w:rPr>
      </w:pPr>
      <w:r>
        <w:rPr>
          <w:rFonts w:hint="eastAsia" w:hAnsi="宋体" w:eastAsia="黑体" w:cs="宋体"/>
          <w:b/>
          <w:spacing w:val="3"/>
          <w:w w:val="88"/>
          <w:kern w:val="0"/>
          <w:sz w:val="72"/>
          <w:szCs w:val="72"/>
        </w:rPr>
        <w:t>小额贷款公司分类评级</w:t>
      </w:r>
    </w:p>
    <w:p>
      <w:pPr>
        <w:keepNext w:val="0"/>
        <w:keepLines w:val="0"/>
        <w:pageBreakBefore w:val="0"/>
        <w:widowControl w:val="0"/>
        <w:kinsoku/>
        <w:wordWrap/>
        <w:overflowPunct/>
        <w:topLinePunct w:val="0"/>
        <w:bidi w:val="0"/>
        <w:adjustRightInd/>
        <w:snapToGrid/>
        <w:jc w:val="center"/>
        <w:textAlignment w:val="auto"/>
        <w:outlineLvl w:val="9"/>
        <w:rPr>
          <w:rFonts w:hint="eastAsia" w:ascii="黑体" w:hAnsi="宋体" w:eastAsia="黑体" w:cs="宋体"/>
          <w:kern w:val="0"/>
          <w:sz w:val="24"/>
        </w:rPr>
      </w:pPr>
      <w:r>
        <w:rPr>
          <w:rFonts w:hint="eastAsia" w:hAnsi="宋体" w:eastAsia="黑体" w:cs="宋体"/>
          <w:b/>
          <w:spacing w:val="3"/>
          <w:w w:val="88"/>
          <w:kern w:val="0"/>
          <w:sz w:val="72"/>
          <w:szCs w:val="72"/>
        </w:rPr>
        <w:t>报告</w:t>
      </w:r>
      <w:r>
        <w:rPr>
          <w:rFonts w:hint="eastAsia" w:hAnsi="宋体" w:eastAsia="黑体" w:cs="宋体"/>
          <w:b/>
          <w:spacing w:val="-15"/>
          <w:w w:val="88"/>
          <w:kern w:val="0"/>
          <w:sz w:val="72"/>
          <w:szCs w:val="72"/>
        </w:rPr>
        <w:t>书</w:t>
      </w:r>
    </w:p>
    <w:p>
      <w:pPr>
        <w:keepNext w:val="0"/>
        <w:keepLines w:val="0"/>
        <w:pageBreakBefore w:val="0"/>
        <w:widowControl w:val="0"/>
        <w:kinsoku/>
        <w:wordWrap/>
        <w:overflowPunct/>
        <w:topLinePunct w:val="0"/>
        <w:bidi w:val="0"/>
        <w:adjustRightInd/>
        <w:snapToGrid/>
        <w:jc w:val="center"/>
        <w:textAlignment w:val="auto"/>
        <w:outlineLvl w:val="9"/>
        <w:rPr>
          <w:rFonts w:ascii="仿宋_GB2312" w:hAnsi="宋体" w:eastAsia="仿宋_GB2312" w:cs="宋体"/>
          <w:b/>
          <w:kern w:val="0"/>
          <w:sz w:val="32"/>
          <w:szCs w:val="32"/>
        </w:rPr>
      </w:pPr>
      <w:r>
        <w:rPr>
          <w:rFonts w:hint="eastAsia" w:ascii="仿宋_GB2312" w:hAnsi="宋体" w:eastAsia="仿宋_GB2312" w:cs="宋体"/>
          <w:b/>
          <w:kern w:val="0"/>
          <w:sz w:val="32"/>
          <w:szCs w:val="32"/>
        </w:rPr>
        <w:t>（        年度）</w:t>
      </w: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kern w:val="0"/>
          <w:sz w:val="24"/>
        </w:rPr>
      </w:pPr>
    </w:p>
    <w:p>
      <w:pPr>
        <w:keepNext w:val="0"/>
        <w:keepLines w:val="0"/>
        <w:pageBreakBefore w:val="0"/>
        <w:widowControl w:val="0"/>
        <w:kinsoku/>
        <w:wordWrap/>
        <w:overflowPunct/>
        <w:topLinePunct w:val="0"/>
        <w:bidi w:val="0"/>
        <w:adjustRightInd/>
        <w:snapToGrid/>
        <w:ind w:firstLine="560" w:firstLineChars="200"/>
        <w:textAlignment w:val="auto"/>
        <w:outlineLvl w:val="9"/>
        <w:rPr>
          <w:rFonts w:hint="eastAsia" w:ascii="宋体" w:hAnsi="宋体" w:cs="宋体"/>
          <w:kern w:val="0"/>
          <w:sz w:val="28"/>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1280" w:firstLineChars="4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公 司 名 称：</w:t>
      </w:r>
      <w:r>
        <w:rPr>
          <w:rFonts w:hint="eastAsia" w:ascii="仿宋_GB2312" w:hAnsi="宋体" w:eastAsia="仿宋_GB2312" w:cs="宋体"/>
          <w:kern w:val="0"/>
          <w:sz w:val="32"/>
          <w:szCs w:val="32"/>
          <w:u w:val="single"/>
        </w:rPr>
        <w:t xml:space="preserve">                          </w:t>
      </w: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   系  人：</w:t>
      </w:r>
      <w:r>
        <w:rPr>
          <w:rFonts w:hint="eastAsia" w:ascii="仿宋_GB2312" w:hAnsi="宋体" w:eastAsia="仿宋_GB2312" w:cs="宋体"/>
          <w:kern w:val="0"/>
          <w:sz w:val="32"/>
          <w:szCs w:val="32"/>
          <w:u w:val="single"/>
        </w:rPr>
        <w:t xml:space="preserve">                          </w:t>
      </w:r>
    </w:p>
    <w:p>
      <w:pPr>
        <w:keepNext w:val="0"/>
        <w:keepLines w:val="0"/>
        <w:pageBreakBefore w:val="0"/>
        <w:widowControl w:val="0"/>
        <w:kinsoku/>
        <w:wordWrap/>
        <w:overflowPunct/>
        <w:topLinePunct w:val="0"/>
        <w:bidi w:val="0"/>
        <w:adjustRightInd/>
        <w:snapToGrid/>
        <w:ind w:firstLine="1280" w:firstLineChars="400"/>
        <w:textAlignment w:val="auto"/>
        <w:outlineLvl w:val="9"/>
        <w:rPr>
          <w:rFonts w:hint="eastAsia" w:ascii="仿宋_GB2312" w:hAnsi="宋体" w:eastAsia="仿宋_GB2312" w:cs="宋体"/>
          <w:kern w:val="0"/>
          <w:sz w:val="32"/>
          <w:szCs w:val="32"/>
          <w:u w:val="single"/>
        </w:rPr>
      </w:pPr>
      <w:r>
        <w:rPr>
          <w:rFonts w:hint="eastAsia" w:ascii="仿宋_GB2312" w:hAnsi="宋体" w:eastAsia="仿宋_GB2312" w:cs="宋体"/>
          <w:kern w:val="0"/>
          <w:sz w:val="32"/>
          <w:szCs w:val="32"/>
        </w:rPr>
        <w:t>联 系 电 话：</w:t>
      </w:r>
      <w:r>
        <w:rPr>
          <w:rFonts w:hint="eastAsia" w:ascii="仿宋_GB2312" w:hAnsi="宋体" w:eastAsia="仿宋_GB2312" w:cs="宋体"/>
          <w:kern w:val="0"/>
          <w:sz w:val="32"/>
          <w:szCs w:val="32"/>
          <w:u w:val="single"/>
        </w:rPr>
        <w:t xml:space="preserve">                          </w:t>
      </w: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kern w:val="0"/>
          <w:sz w:val="24"/>
        </w:rPr>
      </w:pPr>
    </w:p>
    <w:p>
      <w:pPr>
        <w:keepNext w:val="0"/>
        <w:keepLines w:val="0"/>
        <w:pageBreakBefore w:val="0"/>
        <w:widowControl w:val="0"/>
        <w:kinsoku/>
        <w:wordWrap/>
        <w:overflowPunct/>
        <w:topLinePunct w:val="0"/>
        <w:bidi w:val="0"/>
        <w:adjustRightInd/>
        <w:snapToGrid/>
        <w:ind w:right="360"/>
        <w:textAlignment w:val="auto"/>
        <w:outlineLvl w:val="9"/>
        <w:rPr>
          <w:rFonts w:hint="eastAsia" w:ascii="仿宋_GB2312" w:hAnsi="宋体" w:eastAsia="仿宋_GB2312" w:cs="Arial"/>
          <w:spacing w:val="22"/>
          <w:kern w:val="0"/>
          <w:sz w:val="32"/>
          <w:szCs w:val="32"/>
        </w:rPr>
      </w:pPr>
      <w:r>
        <w:rPr>
          <w:rFonts w:hint="eastAsia" w:ascii="仿宋_GB2312" w:hAnsi="宋体" w:eastAsia="仿宋_GB2312" w:cs="Arial"/>
          <w:spacing w:val="22"/>
          <w:kern w:val="0"/>
          <w:sz w:val="32"/>
          <w:szCs w:val="32"/>
        </w:rPr>
        <w:t xml:space="preserve">  </w:t>
      </w:r>
    </w:p>
    <w:p>
      <w:pPr>
        <w:keepNext w:val="0"/>
        <w:keepLines w:val="0"/>
        <w:pageBreakBefore w:val="0"/>
        <w:widowControl w:val="0"/>
        <w:kinsoku/>
        <w:wordWrap/>
        <w:overflowPunct/>
        <w:topLinePunct w:val="0"/>
        <w:bidi w:val="0"/>
        <w:adjustRightInd/>
        <w:snapToGrid/>
        <w:jc w:val="center"/>
        <w:textAlignment w:val="auto"/>
        <w:outlineLvl w:val="9"/>
        <w:rPr>
          <w:rFonts w:hint="eastAsia" w:ascii="黑体" w:hAnsi="宋体" w:eastAsia="黑体" w:cs="宋体"/>
          <w:kern w:val="0"/>
          <w:sz w:val="42"/>
          <w:szCs w:val="42"/>
        </w:rPr>
      </w:pPr>
      <w:r>
        <w:rPr>
          <w:rFonts w:hint="eastAsia" w:ascii="黑体" w:hAnsi="宋体" w:eastAsia="黑体" w:cs="宋体"/>
          <w:kern w:val="0"/>
          <w:sz w:val="42"/>
          <w:szCs w:val="42"/>
        </w:rPr>
        <w:t>目    录</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一、小额贷款公司年度评级审核表；</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二、小额贷款公司基本情况表；</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三、小额贷款公司分类评级考核评分表；</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四、小额贷款公司设立、变更批准文件的复印件；</w:t>
      </w:r>
    </w:p>
    <w:p>
      <w:pPr>
        <w:keepNext w:val="0"/>
        <w:keepLines w:val="0"/>
        <w:pageBreakBefore w:val="0"/>
        <w:widowControl w:val="0"/>
        <w:kinsoku/>
        <w:wordWrap/>
        <w:overflowPunct/>
        <w:topLinePunct w:val="0"/>
        <w:bidi w:val="0"/>
        <w:adjustRightInd/>
        <w:snapToGrid/>
        <w:ind w:firstLine="640"/>
        <w:textAlignment w:val="auto"/>
        <w:outlineLvl w:val="9"/>
        <w:rPr>
          <w:rFonts w:hint="eastAsia" w:ascii="宋体" w:hAnsi="宋体" w:eastAsia="仿宋_GB2312" w:cs="宋体"/>
          <w:kern w:val="0"/>
          <w:sz w:val="32"/>
          <w:szCs w:val="32"/>
        </w:rPr>
      </w:pPr>
      <w:r>
        <w:rPr>
          <w:rFonts w:hint="eastAsia" w:hAnsi="宋体" w:eastAsia="仿宋_GB2312" w:cs="宋体"/>
          <w:kern w:val="0"/>
          <w:sz w:val="32"/>
          <w:szCs w:val="32"/>
        </w:rPr>
        <w:t>五、小额贷款公司营业执照副本以及税务登记证副本复印件；</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六、上一会计年度财务审计报告；</w:t>
      </w:r>
    </w:p>
    <w:p>
      <w:pPr>
        <w:keepNext w:val="0"/>
        <w:keepLines w:val="0"/>
        <w:pageBreakBefore w:val="0"/>
        <w:widowControl w:val="0"/>
        <w:kinsoku/>
        <w:wordWrap/>
        <w:overflowPunct/>
        <w:topLinePunct w:val="0"/>
        <w:bidi w:val="0"/>
        <w:adjustRightInd/>
        <w:snapToGrid/>
        <w:ind w:firstLine="64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七、小额贷款公司年度经营情况报告书；</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r>
        <w:rPr>
          <w:rFonts w:hint="eastAsia" w:hAnsi="宋体" w:eastAsia="仿宋_GB2312" w:cs="宋体"/>
          <w:kern w:val="0"/>
          <w:sz w:val="32"/>
          <w:szCs w:val="32"/>
        </w:rPr>
        <w:t>八、监管部门要求提交的其他材料。</w:t>
      </w: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640" w:firstLineChars="200"/>
        <w:textAlignment w:val="auto"/>
        <w:outlineLvl w:val="9"/>
        <w:rPr>
          <w:rFonts w:hint="eastAsia" w:ascii="宋体" w:hAnsi="宋体" w:eastAsia="仿宋_GB2312" w:cs="宋体"/>
          <w:kern w:val="0"/>
          <w:sz w:val="32"/>
          <w:szCs w:val="32"/>
        </w:rPr>
      </w:pPr>
    </w:p>
    <w:p>
      <w:pPr>
        <w:keepNext w:val="0"/>
        <w:keepLines w:val="0"/>
        <w:pageBreakBefore w:val="0"/>
        <w:widowControl w:val="0"/>
        <w:kinsoku/>
        <w:wordWrap/>
        <w:overflowPunct/>
        <w:topLinePunct w:val="0"/>
        <w:bidi w:val="0"/>
        <w:adjustRightInd/>
        <w:snapToGrid/>
        <w:ind w:firstLine="361" w:firstLineChars="100"/>
        <w:jc w:val="center"/>
        <w:textAlignment w:val="auto"/>
        <w:outlineLvl w:val="9"/>
        <w:rPr>
          <w:rFonts w:hint="eastAsia" w:ascii="宋体" w:hAnsi="宋体" w:cs="宋体"/>
          <w:b/>
          <w:kern w:val="0"/>
          <w:sz w:val="36"/>
          <w:szCs w:val="36"/>
        </w:rPr>
      </w:pPr>
      <w:r>
        <w:rPr>
          <w:rFonts w:hint="eastAsia" w:ascii="宋体" w:hAnsi="宋体" w:cs="宋体"/>
          <w:b/>
          <w:kern w:val="0"/>
          <w:sz w:val="36"/>
          <w:szCs w:val="36"/>
        </w:rPr>
        <w:t>1、小额贷款公司年度评级审核表</w:t>
      </w:r>
    </w:p>
    <w:tbl>
      <w:tblPr>
        <w:tblStyle w:val="3"/>
        <w:tblpPr w:leftFromText="180" w:rightFromText="180" w:vertAnchor="text" w:horzAnchor="page" w:tblpX="1790" w:tblpY="41"/>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415"/>
        <w:gridCol w:w="1225"/>
        <w:gridCol w:w="1408"/>
        <w:gridCol w:w="1236"/>
        <w:gridCol w:w="1324"/>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455" w:hRule="atLeast"/>
        </w:trPr>
        <w:tc>
          <w:tcPr>
            <w:tcW w:w="19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公司名称</w:t>
            </w:r>
          </w:p>
        </w:tc>
        <w:tc>
          <w:tcPr>
            <w:tcW w:w="660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415" w:hRule="atLeast"/>
        </w:trPr>
        <w:tc>
          <w:tcPr>
            <w:tcW w:w="19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通讯地址</w:t>
            </w:r>
          </w:p>
        </w:tc>
        <w:tc>
          <w:tcPr>
            <w:tcW w:w="404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c>
          <w:tcPr>
            <w:tcW w:w="12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邮政编码</w:t>
            </w:r>
          </w:p>
        </w:tc>
        <w:tc>
          <w:tcPr>
            <w:tcW w:w="13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409" w:hRule="atLeast"/>
        </w:trPr>
        <w:tc>
          <w:tcPr>
            <w:tcW w:w="19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电子信箱</w:t>
            </w:r>
          </w:p>
        </w:tc>
        <w:tc>
          <w:tcPr>
            <w:tcW w:w="660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422" w:hRule="atLeast"/>
        </w:trPr>
        <w:tc>
          <w:tcPr>
            <w:tcW w:w="19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注册资本（万元）</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ascii="宋体" w:hAnsi="宋体" w:eastAsia="仿宋_GB2312" w:cs="宋体"/>
                <w:kern w:val="0"/>
                <w:sz w:val="20"/>
                <w:szCs w:val="20"/>
              </w:rPr>
            </w:pPr>
          </w:p>
        </w:tc>
        <w:tc>
          <w:tcPr>
            <w:tcW w:w="12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成立时间</w:t>
            </w: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c>
          <w:tcPr>
            <w:tcW w:w="12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开业时间</w:t>
            </w:r>
          </w:p>
        </w:tc>
        <w:tc>
          <w:tcPr>
            <w:tcW w:w="13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409" w:hRule="atLeast"/>
        </w:trPr>
        <w:tc>
          <w:tcPr>
            <w:tcW w:w="19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联系电话</w:t>
            </w:r>
          </w:p>
        </w:tc>
        <w:tc>
          <w:tcPr>
            <w:tcW w:w="26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传真电话</w:t>
            </w:r>
          </w:p>
        </w:tc>
        <w:tc>
          <w:tcPr>
            <w:tcW w:w="25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8522"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ascii="宋体" w:hAnsi="宋体" w:eastAsia="仿宋_GB2312" w:cs="宋体"/>
                <w:kern w:val="0"/>
                <w:sz w:val="20"/>
                <w:szCs w:val="20"/>
              </w:rPr>
            </w:pPr>
            <w:r>
              <w:rPr>
                <w:rFonts w:hint="eastAsia" w:hAnsi="宋体" w:eastAsia="仿宋_GB2312" w:cs="宋体"/>
                <w:kern w:val="0"/>
                <w:sz w:val="20"/>
                <w:szCs w:val="20"/>
              </w:rPr>
              <w:t>年度内补充说明或重大事项简述：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4" w:hRule="atLeast"/>
        </w:trPr>
        <w:tc>
          <w:tcPr>
            <w:tcW w:w="8522"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本人确认：提交的年审材料真实、有效，无隐瞒、遗漏、虚假或误导之处。</w:t>
            </w:r>
          </w:p>
          <w:p>
            <w:pPr>
              <w:keepNext w:val="0"/>
              <w:keepLines w:val="0"/>
              <w:pageBreakBefore w:val="0"/>
              <w:widowControl w:val="0"/>
              <w:kinsoku/>
              <w:wordWrap/>
              <w:overflowPunct/>
              <w:topLinePunct w:val="0"/>
              <w:bidi w:val="0"/>
              <w:adjustRightInd/>
              <w:snapToGrid/>
              <w:spacing w:line="180" w:lineRule="atLeast"/>
              <w:ind w:firstLine="400" w:firstLineChars="20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00" w:firstLineChars="200"/>
              <w:textAlignment w:val="auto"/>
              <w:outlineLvl w:val="9"/>
              <w:rPr>
                <w:rFonts w:hint="eastAsia" w:ascii="宋体" w:hAnsi="宋体" w:eastAsia="仿宋_GB2312" w:cs="宋体"/>
                <w:kern w:val="0"/>
                <w:sz w:val="20"/>
                <w:szCs w:val="20"/>
              </w:rPr>
            </w:pPr>
            <w:r>
              <w:rPr>
                <w:rFonts w:hint="eastAsia" w:hAnsi="宋体" w:eastAsia="仿宋_GB2312" w:cs="宋体"/>
                <w:kern w:val="0"/>
                <w:sz w:val="20"/>
                <w:szCs w:val="20"/>
              </w:rPr>
              <w:t>小额贷款公司年度考核自评得分：</w:t>
            </w:r>
            <w:r>
              <w:rPr>
                <w:rFonts w:ascii="宋体" w:hAnsi="宋体" w:eastAsia="仿宋_GB2312" w:cs="宋体"/>
                <w:kern w:val="0"/>
                <w:sz w:val="20"/>
                <w:szCs w:val="20"/>
              </w:rPr>
              <w:t xml:space="preserve">     </w:t>
            </w:r>
            <w:r>
              <w:rPr>
                <w:rFonts w:hint="eastAsia" w:ascii="宋体" w:hAnsi="宋体" w:eastAsia="仿宋_GB2312" w:cs="宋体"/>
                <w:kern w:val="0"/>
                <w:sz w:val="20"/>
                <w:szCs w:val="20"/>
              </w:rPr>
              <w:t xml:space="preserve">       </w:t>
            </w:r>
            <w:r>
              <w:rPr>
                <w:rFonts w:hint="eastAsia" w:hAnsi="宋体" w:eastAsia="仿宋_GB2312" w:cs="宋体"/>
                <w:kern w:val="0"/>
                <w:sz w:val="20"/>
                <w:szCs w:val="20"/>
              </w:rPr>
              <w:t>考核结果：</w:t>
            </w:r>
            <w:r>
              <w:rPr>
                <w:rFonts w:hint="eastAsia" w:ascii="宋体" w:hAnsi="宋体" w:eastAsia="仿宋_GB2312" w:cs="宋体"/>
                <w:kern w:val="0"/>
                <w:sz w:val="20"/>
                <w:szCs w:val="20"/>
              </w:rPr>
              <w:t>＿＿级</w:t>
            </w:r>
          </w:p>
          <w:p>
            <w:pPr>
              <w:keepNext w:val="0"/>
              <w:keepLines w:val="0"/>
              <w:pageBreakBefore w:val="0"/>
              <w:widowControl w:val="0"/>
              <w:kinsoku/>
              <w:wordWrap/>
              <w:overflowPunct/>
              <w:topLinePunct w:val="0"/>
              <w:bidi w:val="0"/>
              <w:adjustRightInd/>
              <w:snapToGrid/>
              <w:spacing w:line="180" w:lineRule="atLeast"/>
              <w:ind w:firstLine="400" w:firstLineChars="20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00" w:firstLineChars="200"/>
              <w:textAlignment w:val="auto"/>
              <w:outlineLvl w:val="9"/>
              <w:rPr>
                <w:rFonts w:hint="eastAsia" w:ascii="宋体" w:hAnsi="宋体" w:eastAsia="仿宋_GB2312" w:cs="宋体"/>
                <w:kern w:val="0"/>
                <w:sz w:val="20"/>
                <w:szCs w:val="20"/>
              </w:rPr>
            </w:pPr>
            <w:r>
              <w:rPr>
                <w:rFonts w:hint="eastAsia" w:hAnsi="宋体" w:eastAsia="仿宋_GB2312" w:cs="宋体"/>
                <w:kern w:val="0"/>
                <w:sz w:val="20"/>
                <w:szCs w:val="20"/>
              </w:rPr>
              <w:t>法定代表人签字：</w:t>
            </w:r>
            <w:r>
              <w:rPr>
                <w:rFonts w:ascii="宋体" w:hAnsi="宋体" w:eastAsia="仿宋_GB2312" w:cs="宋体"/>
                <w:kern w:val="0"/>
                <w:sz w:val="20"/>
                <w:szCs w:val="20"/>
              </w:rPr>
              <w:t xml:space="preserve">  </w:t>
            </w: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ascii="宋体" w:hAnsi="宋体" w:eastAsia="仿宋_GB2312" w:cs="宋体"/>
                <w:kern w:val="0"/>
                <w:sz w:val="20"/>
                <w:szCs w:val="20"/>
              </w:rPr>
            </w:pPr>
            <w:r>
              <w:rPr>
                <w:rFonts w:ascii="宋体" w:hAnsi="宋体" w:eastAsia="仿宋_GB2312" w:cs="宋体"/>
                <w:kern w:val="0"/>
                <w:sz w:val="20"/>
                <w:szCs w:val="20"/>
              </w:rPr>
              <w:t xml:space="preserve"> </w:t>
            </w: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ascii="宋体"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hint="eastAsia" w:hAnsi="宋体" w:eastAsia="仿宋_GB2312" w:cs="宋体"/>
                <w:kern w:val="0"/>
                <w:sz w:val="20"/>
                <w:szCs w:val="20"/>
              </w:rPr>
            </w:pPr>
            <w:r>
              <w:rPr>
                <w:rFonts w:hint="eastAsia" w:hAnsi="宋体" w:eastAsia="仿宋_GB2312" w:cs="宋体"/>
                <w:kern w:val="0"/>
                <w:sz w:val="20"/>
                <w:szCs w:val="20"/>
              </w:rPr>
              <w:t>年　　月　　日</w:t>
            </w:r>
          </w:p>
          <w:p>
            <w:pPr>
              <w:keepNext w:val="0"/>
              <w:keepLines w:val="0"/>
              <w:pageBreakBefore w:val="0"/>
              <w:widowControl w:val="0"/>
              <w:kinsoku/>
              <w:wordWrap/>
              <w:overflowPunct/>
              <w:topLinePunct w:val="0"/>
              <w:bidi w:val="0"/>
              <w:adjustRightInd/>
              <w:snapToGrid/>
              <w:spacing w:line="180" w:lineRule="atLeast"/>
              <w:ind w:firstLine="5000" w:firstLineChars="2500"/>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6" w:hRule="atLeast"/>
        </w:trPr>
        <w:tc>
          <w:tcPr>
            <w:tcW w:w="8522"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ascii="宋体" w:hAnsi="宋体" w:eastAsia="仿宋_GB2312" w:cs="宋体"/>
                <w:kern w:val="0"/>
                <w:sz w:val="20"/>
                <w:szCs w:val="20"/>
              </w:rPr>
            </w:pPr>
            <w:r>
              <w:rPr>
                <w:rFonts w:hint="eastAsia" w:hAnsi="宋体" w:eastAsia="仿宋_GB2312" w:cs="宋体"/>
                <w:kern w:val="0"/>
                <w:sz w:val="20"/>
                <w:szCs w:val="20"/>
              </w:rPr>
              <w:t>县市（园区）小额贷款公司监管部门年度考核初评得分：</w:t>
            </w:r>
            <w:r>
              <w:rPr>
                <w:rFonts w:ascii="宋体" w:hAnsi="宋体" w:eastAsia="仿宋_GB2312" w:cs="宋体"/>
                <w:kern w:val="0"/>
                <w:sz w:val="20"/>
                <w:szCs w:val="20"/>
              </w:rPr>
              <w:t xml:space="preserve">    </w:t>
            </w:r>
            <w:r>
              <w:rPr>
                <w:rFonts w:hint="eastAsia" w:ascii="宋体" w:hAnsi="宋体" w:eastAsia="仿宋_GB2312" w:cs="宋体"/>
                <w:kern w:val="0"/>
                <w:sz w:val="20"/>
                <w:szCs w:val="20"/>
              </w:rPr>
              <w:t xml:space="preserve">      </w:t>
            </w:r>
            <w:r>
              <w:rPr>
                <w:rFonts w:hint="eastAsia" w:hAnsi="宋体" w:eastAsia="仿宋_GB2312" w:cs="宋体"/>
                <w:kern w:val="0"/>
                <w:sz w:val="20"/>
                <w:szCs w:val="20"/>
              </w:rPr>
              <w:t>考核结果：</w:t>
            </w:r>
            <w:r>
              <w:rPr>
                <w:rFonts w:hint="eastAsia" w:ascii="宋体" w:hAnsi="宋体" w:eastAsia="仿宋_GB2312" w:cs="宋体"/>
                <w:kern w:val="0"/>
                <w:sz w:val="20"/>
                <w:szCs w:val="20"/>
              </w:rPr>
              <w:t>＿＿级</w:t>
            </w:r>
          </w:p>
          <w:p>
            <w:pPr>
              <w:keepNext w:val="0"/>
              <w:keepLines w:val="0"/>
              <w:pageBreakBefore w:val="0"/>
              <w:widowControl w:val="0"/>
              <w:kinsoku/>
              <w:wordWrap/>
              <w:overflowPunct/>
              <w:topLinePunct w:val="0"/>
              <w:bidi w:val="0"/>
              <w:adjustRightInd/>
              <w:snapToGrid/>
              <w:spacing w:line="180" w:lineRule="atLeast"/>
              <w:ind w:firstLine="1500" w:firstLineChars="75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1500" w:firstLineChars="750"/>
              <w:textAlignment w:val="auto"/>
              <w:outlineLvl w:val="9"/>
              <w:rPr>
                <w:rFonts w:hint="eastAsia" w:hAnsi="宋体" w:eastAsia="仿宋_GB2312" w:cs="宋体"/>
                <w:kern w:val="0"/>
                <w:sz w:val="20"/>
                <w:szCs w:val="20"/>
              </w:rPr>
            </w:pPr>
            <w:r>
              <w:rPr>
                <w:rFonts w:hint="eastAsia" w:hAnsi="宋体" w:eastAsia="仿宋_GB2312" w:cs="宋体"/>
                <w:kern w:val="0"/>
                <w:sz w:val="20"/>
                <w:szCs w:val="20"/>
              </w:rPr>
              <w:t>负责人（签字）：</w:t>
            </w:r>
            <w:r>
              <w:rPr>
                <w:rFonts w:ascii="宋体" w:hAnsi="宋体" w:eastAsia="仿宋_GB2312" w:cs="宋体"/>
                <w:kern w:val="0"/>
                <w:sz w:val="20"/>
                <w:szCs w:val="20"/>
              </w:rPr>
              <w:t xml:space="preserve"> </w:t>
            </w:r>
            <w:r>
              <w:rPr>
                <w:rFonts w:hint="eastAsia" w:hAnsi="宋体" w:eastAsia="仿宋_GB2312" w:cs="宋体"/>
                <w:kern w:val="0"/>
                <w:sz w:val="20"/>
                <w:szCs w:val="20"/>
              </w:rPr>
              <w:t>　　　　　　　　　　　　　　　　</w:t>
            </w:r>
            <w:r>
              <w:rPr>
                <w:rFonts w:ascii="宋体" w:hAnsi="宋体" w:eastAsia="仿宋_GB2312" w:cs="宋体"/>
                <w:kern w:val="0"/>
                <w:sz w:val="20"/>
                <w:szCs w:val="20"/>
              </w:rPr>
              <w:t xml:space="preserve">        </w:t>
            </w:r>
            <w:r>
              <w:rPr>
                <w:rFonts w:hint="eastAsia" w:hAnsi="宋体" w:eastAsia="仿宋_GB2312" w:cs="宋体"/>
                <w:kern w:val="0"/>
                <w:sz w:val="20"/>
                <w:szCs w:val="20"/>
              </w:rPr>
              <w:t>　　</w:t>
            </w: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600" w:firstLineChars="2300"/>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年　　月　　日</w:t>
            </w:r>
          </w:p>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　　　　</w:t>
            </w:r>
            <w:r>
              <w:rPr>
                <w:rFonts w:ascii="宋体" w:hAnsi="宋体" w:eastAsia="仿宋_GB2312" w:cs="宋体"/>
                <w:kern w:val="0"/>
                <w:sz w:val="20"/>
                <w:szCs w:val="20"/>
              </w:rPr>
              <w:t xml:space="preserve"> </w:t>
            </w:r>
            <w:r>
              <w:rPr>
                <w:rFonts w:hint="eastAsia" w:hAnsi="宋体" w:eastAsia="仿宋_GB2312" w:cs="宋体"/>
                <w:kern w:val="0"/>
                <w:sz w:val="20"/>
                <w:szCs w:val="20"/>
              </w:rPr>
              <w:t>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8522" w:type="dxa"/>
            <w:gridSpan w:val="7"/>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textAlignment w:val="auto"/>
              <w:outlineLvl w:val="9"/>
              <w:rPr>
                <w:rFonts w:hint="eastAsia" w:ascii="宋体" w:hAnsi="宋体" w:eastAsia="仿宋_GB2312" w:cs="宋体"/>
                <w:kern w:val="0"/>
                <w:sz w:val="20"/>
                <w:szCs w:val="20"/>
              </w:rPr>
            </w:pPr>
            <w:r>
              <w:rPr>
                <w:rFonts w:hint="eastAsia" w:hAnsi="宋体" w:eastAsia="仿宋_GB2312" w:cs="宋体"/>
                <w:kern w:val="0"/>
                <w:sz w:val="20"/>
                <w:szCs w:val="20"/>
              </w:rPr>
              <w:t>地州监管部门年度考核复评得分：</w:t>
            </w:r>
            <w:r>
              <w:rPr>
                <w:rFonts w:ascii="宋体" w:hAnsi="宋体" w:eastAsia="仿宋_GB2312" w:cs="宋体"/>
                <w:kern w:val="0"/>
                <w:sz w:val="20"/>
                <w:szCs w:val="20"/>
              </w:rPr>
              <w:t xml:space="preserve">    </w:t>
            </w:r>
            <w:r>
              <w:rPr>
                <w:rFonts w:hint="eastAsia" w:ascii="宋体" w:hAnsi="宋体" w:eastAsia="仿宋_GB2312" w:cs="宋体"/>
                <w:kern w:val="0"/>
                <w:sz w:val="20"/>
                <w:szCs w:val="20"/>
              </w:rPr>
              <w:t xml:space="preserve">           </w:t>
            </w:r>
            <w:r>
              <w:rPr>
                <w:rFonts w:hint="eastAsia" w:hAnsi="宋体" w:eastAsia="仿宋_GB2312" w:cs="宋体"/>
                <w:kern w:val="0"/>
                <w:sz w:val="20"/>
                <w:szCs w:val="20"/>
              </w:rPr>
              <w:t>考核结果：</w:t>
            </w:r>
            <w:r>
              <w:rPr>
                <w:rFonts w:hint="eastAsia" w:ascii="宋体" w:hAnsi="宋体" w:eastAsia="仿宋_GB2312" w:cs="宋体"/>
                <w:kern w:val="0"/>
                <w:sz w:val="20"/>
                <w:szCs w:val="20"/>
              </w:rPr>
              <w:t>＿＿级</w:t>
            </w:r>
          </w:p>
          <w:p>
            <w:pPr>
              <w:keepNext w:val="0"/>
              <w:keepLines w:val="0"/>
              <w:pageBreakBefore w:val="0"/>
              <w:widowControl w:val="0"/>
              <w:kinsoku/>
              <w:wordWrap/>
              <w:overflowPunct/>
              <w:topLinePunct w:val="0"/>
              <w:bidi w:val="0"/>
              <w:adjustRightInd/>
              <w:snapToGrid/>
              <w:spacing w:line="180" w:lineRule="atLeast"/>
              <w:ind w:firstLine="1400" w:firstLineChars="70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1400" w:firstLineChars="700"/>
              <w:textAlignment w:val="auto"/>
              <w:outlineLvl w:val="9"/>
              <w:rPr>
                <w:rFonts w:hint="eastAsia" w:hAnsi="宋体" w:eastAsia="仿宋_GB2312" w:cs="宋体"/>
                <w:kern w:val="0"/>
                <w:sz w:val="20"/>
                <w:szCs w:val="20"/>
              </w:rPr>
            </w:pPr>
            <w:r>
              <w:rPr>
                <w:rFonts w:hint="eastAsia" w:hAnsi="宋体" w:eastAsia="仿宋_GB2312" w:cs="宋体"/>
                <w:kern w:val="0"/>
                <w:sz w:val="20"/>
                <w:szCs w:val="20"/>
              </w:rPr>
              <w:t>负责人（签字）：</w:t>
            </w:r>
            <w:r>
              <w:rPr>
                <w:rFonts w:ascii="宋体" w:hAnsi="宋体" w:eastAsia="仿宋_GB2312" w:cs="宋体"/>
                <w:kern w:val="0"/>
                <w:sz w:val="20"/>
                <w:szCs w:val="20"/>
              </w:rPr>
              <w:t xml:space="preserve"> </w:t>
            </w:r>
            <w:r>
              <w:rPr>
                <w:rFonts w:hint="eastAsia" w:hAnsi="宋体" w:eastAsia="仿宋_GB2312" w:cs="宋体"/>
                <w:kern w:val="0"/>
                <w:sz w:val="20"/>
                <w:szCs w:val="20"/>
              </w:rPr>
              <w:t xml:space="preserve">　　　　　　　　　　　　　　　　　　   </w:t>
            </w:r>
          </w:p>
          <w:p>
            <w:pPr>
              <w:keepNext w:val="0"/>
              <w:keepLines w:val="0"/>
              <w:pageBreakBefore w:val="0"/>
              <w:widowControl w:val="0"/>
              <w:kinsoku/>
              <w:wordWrap/>
              <w:overflowPunct/>
              <w:topLinePunct w:val="0"/>
              <w:bidi w:val="0"/>
              <w:adjustRightInd/>
              <w:snapToGrid/>
              <w:spacing w:line="180" w:lineRule="atLeast"/>
              <w:ind w:firstLine="4700" w:firstLineChars="235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700" w:firstLineChars="2350"/>
              <w:textAlignment w:val="auto"/>
              <w:outlineLvl w:val="9"/>
              <w:rPr>
                <w:rFonts w:hint="eastAsia" w:hAnsi="宋体" w:eastAsia="仿宋_GB2312" w:cs="宋体"/>
                <w:kern w:val="0"/>
                <w:sz w:val="20"/>
                <w:szCs w:val="20"/>
              </w:rPr>
            </w:pPr>
          </w:p>
          <w:p>
            <w:pPr>
              <w:keepNext w:val="0"/>
              <w:keepLines w:val="0"/>
              <w:pageBreakBefore w:val="0"/>
              <w:widowControl w:val="0"/>
              <w:kinsoku/>
              <w:wordWrap/>
              <w:overflowPunct/>
              <w:topLinePunct w:val="0"/>
              <w:bidi w:val="0"/>
              <w:adjustRightInd/>
              <w:snapToGrid/>
              <w:spacing w:line="180" w:lineRule="atLeast"/>
              <w:ind w:firstLine="4700" w:firstLineChars="2350"/>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年　　月　　日</w:t>
            </w:r>
          </w:p>
          <w:p>
            <w:pPr>
              <w:keepNext w:val="0"/>
              <w:keepLines w:val="0"/>
              <w:pageBreakBefore w:val="0"/>
              <w:widowControl w:val="0"/>
              <w:kinsoku/>
              <w:wordWrap/>
              <w:overflowPunct/>
              <w:topLinePunct w:val="0"/>
              <w:bidi w:val="0"/>
              <w:adjustRightInd/>
              <w:snapToGrid/>
              <w:spacing w:line="180" w:lineRule="atLeast"/>
              <w:textAlignment w:val="auto"/>
              <w:outlineLvl w:val="9"/>
              <w:rPr>
                <w:rFonts w:ascii="宋体" w:hAnsi="宋体" w:eastAsia="仿宋_GB2312" w:cs="宋体"/>
                <w:kern w:val="0"/>
                <w:sz w:val="20"/>
                <w:szCs w:val="20"/>
              </w:rPr>
            </w:pPr>
            <w:r>
              <w:rPr>
                <w:rFonts w:hint="eastAsia" w:hAnsi="宋体" w:eastAsia="仿宋_GB2312" w:cs="宋体"/>
                <w:kern w:val="0"/>
                <w:sz w:val="20"/>
                <w:szCs w:val="20"/>
              </w:rPr>
              <w:t>　　　　　</w:t>
            </w:r>
            <w:r>
              <w:rPr>
                <w:rFonts w:ascii="宋体" w:hAnsi="宋体" w:eastAsia="仿宋_GB2312" w:cs="宋体"/>
                <w:kern w:val="0"/>
                <w:sz w:val="20"/>
                <w:szCs w:val="20"/>
              </w:rPr>
              <w:t xml:space="preserve"> </w:t>
            </w:r>
            <w:r>
              <w:rPr>
                <w:rFonts w:hint="eastAsia" w:hAnsi="宋体" w:eastAsia="仿宋_GB2312" w:cs="宋体"/>
                <w:kern w:val="0"/>
                <w:sz w:val="20"/>
                <w:szCs w:val="20"/>
              </w:rPr>
              <w:t>　　　　　　　　　　　　　　　        （盖章）</w:t>
            </w:r>
          </w:p>
        </w:tc>
      </w:tr>
    </w:tbl>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b/>
          <w:bCs/>
          <w:kern w:val="0"/>
          <w:sz w:val="36"/>
          <w:szCs w:val="36"/>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b/>
          <w:bCs/>
          <w:kern w:val="0"/>
          <w:sz w:val="36"/>
          <w:szCs w:val="36"/>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cs="宋体"/>
          <w:b/>
          <w:bCs/>
          <w:kern w:val="0"/>
          <w:sz w:val="36"/>
          <w:szCs w:val="36"/>
        </w:rPr>
      </w:pPr>
    </w:p>
    <w:p>
      <w:pPr>
        <w:keepNext w:val="0"/>
        <w:keepLines w:val="0"/>
        <w:pageBreakBefore w:val="0"/>
        <w:widowControl w:val="0"/>
        <w:kinsoku/>
        <w:wordWrap/>
        <w:overflowPunct/>
        <w:topLinePunct w:val="0"/>
        <w:bidi w:val="0"/>
        <w:adjustRightInd/>
        <w:snapToGrid/>
        <w:spacing w:line="0" w:lineRule="atLeast"/>
        <w:jc w:val="center"/>
        <w:textAlignment w:val="auto"/>
        <w:outlineLvl w:val="9"/>
        <w:rPr>
          <w:rFonts w:hint="eastAsia" w:ascii="宋体" w:hAnsi="宋体" w:cs="宋体"/>
          <w:b/>
          <w:bCs/>
          <w:kern w:val="0"/>
          <w:sz w:val="36"/>
          <w:szCs w:val="36"/>
        </w:rPr>
      </w:pPr>
      <w:r>
        <w:rPr>
          <w:rFonts w:hint="eastAsia" w:ascii="宋体" w:hAnsi="宋体" w:cs="宋体"/>
          <w:b/>
          <w:bCs/>
          <w:kern w:val="0"/>
          <w:sz w:val="36"/>
          <w:szCs w:val="36"/>
        </w:rPr>
        <w:t>2、 小额贷款公司基本情况表</w:t>
      </w:r>
    </w:p>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填报单位：                             填报人：</w:t>
      </w:r>
    </w:p>
    <w:tbl>
      <w:tblPr>
        <w:tblStyle w:val="3"/>
        <w:tblW w:w="7980" w:type="dxa"/>
        <w:tblInd w:w="78" w:type="dxa"/>
        <w:tblLayout w:type="fixed"/>
        <w:tblCellMar>
          <w:top w:w="0" w:type="dxa"/>
          <w:left w:w="108" w:type="dxa"/>
          <w:bottom w:w="0" w:type="dxa"/>
          <w:right w:w="108" w:type="dxa"/>
        </w:tblCellMar>
      </w:tblPr>
      <w:tblGrid>
        <w:gridCol w:w="4350"/>
        <w:gridCol w:w="1620"/>
        <w:gridCol w:w="2010"/>
      </w:tblGrid>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指标名称</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计量单位</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2016年</w:t>
            </w: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一、公司基本情况</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1. 注册资本</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 从业人员数</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人</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 开户银行</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4. 外源融资（银行+金额）</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二、资产负债情况</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1.净资产总计</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2.负债总计</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三、盈利状况</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1. 营业收入</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1.1 各项贷款利息收入</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 营业支出</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2.1 职工薪酬</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 利润总额</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3.1 净利润</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4. 税收情况</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4.1 营业税</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4.2 所得税</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b/>
                <w:sz w:val="24"/>
              </w:rPr>
            </w:pPr>
            <w:r>
              <w:rPr>
                <w:rFonts w:hint="eastAsia" w:ascii="宋体" w:hAnsi="宋体"/>
                <w:b/>
                <w:sz w:val="24"/>
              </w:rPr>
              <w:t>四、贷款情况</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1. 年度累计发放贷款</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 贷款余额</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2.1 不良贷款余额</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2.2 不良贷款率</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 大风险贷款</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3.1 法院已受理或拟受理的诉讼贷款</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3.2 司法机关已冻结暂无还款能力归还</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370" w:hRule="atLeast"/>
        </w:trPr>
        <w:tc>
          <w:tcPr>
            <w:tcW w:w="435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3.3 贷款人失联的</w:t>
            </w:r>
          </w:p>
        </w:tc>
        <w:tc>
          <w:tcPr>
            <w:tcW w:w="162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r>
              <w:rPr>
                <w:rFonts w:hint="eastAsia" w:ascii="宋体" w:hAnsi="宋体"/>
                <w:sz w:val="24"/>
              </w:rPr>
              <w:t>万元</w:t>
            </w:r>
          </w:p>
        </w:tc>
        <w:tc>
          <w:tcPr>
            <w:tcW w:w="2010" w:type="dxa"/>
            <w:tcBorders>
              <w:top w:val="single" w:color="auto" w:sz="6" w:space="0"/>
              <w:left w:val="single" w:color="auto" w:sz="6" w:space="0"/>
              <w:bottom w:val="single" w:color="auto" w:sz="6" w:space="0"/>
              <w:right w:val="single" w:color="auto" w:sz="6" w:space="0"/>
            </w:tcBorders>
            <w:vAlign w:val="top"/>
          </w:tcPr>
          <w:p>
            <w:pPr>
              <w:keepNext w:val="0"/>
              <w:keepLines w:val="0"/>
              <w:pageBreakBefore w:val="0"/>
              <w:widowControl w:val="0"/>
              <w:kinsoku/>
              <w:wordWrap/>
              <w:overflowPunct/>
              <w:topLinePunct w:val="0"/>
              <w:autoSpaceDE w:val="0"/>
              <w:autoSpaceDN w:val="0"/>
              <w:bidi w:val="0"/>
              <w:adjustRightInd/>
              <w:snapToGrid/>
              <w:spacing w:line="0" w:lineRule="atLeast"/>
              <w:textAlignment w:val="auto"/>
              <w:outlineLvl w:val="9"/>
              <w:rPr>
                <w:rFonts w:hint="eastAsia" w:ascii="宋体" w:hAnsi="宋体"/>
                <w:sz w:val="24"/>
              </w:rPr>
            </w:pPr>
          </w:p>
        </w:tc>
      </w:tr>
    </w:tbl>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黑体" w:hAnsi="宋体" w:eastAsia="黑体" w:cs="宋体"/>
          <w:kern w:val="0"/>
          <w:sz w:val="32"/>
          <w:szCs w:val="32"/>
        </w:rPr>
      </w:pPr>
    </w:p>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黑体" w:hAnsi="宋体" w:eastAsia="黑体" w:cs="宋体"/>
          <w:kern w:val="0"/>
          <w:sz w:val="32"/>
          <w:szCs w:val="32"/>
        </w:rPr>
      </w:pPr>
      <w:r>
        <w:rPr>
          <w:rFonts w:hint="eastAsia" w:ascii="黑体" w:hAnsi="宋体" w:eastAsia="黑体" w:cs="宋体"/>
          <w:kern w:val="0"/>
          <w:sz w:val="32"/>
          <w:szCs w:val="32"/>
        </w:rPr>
        <w:t xml:space="preserve">  </w:t>
      </w:r>
    </w:p>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黑体" w:hAnsi="宋体" w:eastAsia="黑体" w:cs="宋体"/>
          <w:kern w:val="0"/>
          <w:sz w:val="32"/>
          <w:szCs w:val="32"/>
        </w:rPr>
      </w:pPr>
    </w:p>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黑体" w:hAnsi="宋体" w:eastAsia="黑体" w:cs="宋体"/>
          <w:kern w:val="0"/>
          <w:sz w:val="32"/>
          <w:szCs w:val="32"/>
        </w:rPr>
      </w:pPr>
    </w:p>
    <w:p>
      <w:pPr>
        <w:keepNext w:val="0"/>
        <w:keepLines w:val="0"/>
        <w:pageBreakBefore w:val="0"/>
        <w:widowControl w:val="0"/>
        <w:kinsoku/>
        <w:wordWrap/>
        <w:overflowPunct/>
        <w:topLinePunct w:val="0"/>
        <w:bidi w:val="0"/>
        <w:adjustRightInd/>
        <w:snapToGrid/>
        <w:spacing w:line="0" w:lineRule="atLeast"/>
        <w:textAlignment w:val="auto"/>
        <w:outlineLvl w:val="9"/>
        <w:rPr>
          <w:rFonts w:hint="eastAsia" w:ascii="黑体" w:hAnsi="宋体" w:eastAsia="黑体" w:cs="宋体"/>
          <w:kern w:val="0"/>
          <w:sz w:val="32"/>
          <w:szCs w:val="32"/>
        </w:rPr>
      </w:pPr>
    </w:p>
    <w:p>
      <w:pPr>
        <w:keepNext w:val="0"/>
        <w:keepLines w:val="0"/>
        <w:pageBreakBefore w:val="0"/>
        <w:widowControl w:val="0"/>
        <w:kinsoku/>
        <w:wordWrap/>
        <w:overflowPunct/>
        <w:topLinePunct w:val="0"/>
        <w:bidi w:val="0"/>
        <w:adjustRightInd/>
        <w:snapToGrid/>
        <w:jc w:val="center"/>
        <w:textAlignment w:val="auto"/>
        <w:outlineLvl w:val="9"/>
        <w:rPr>
          <w:rFonts w:hint="eastAsia" w:ascii="宋体" w:hAnsi="宋体" w:cs="宋体"/>
          <w:b/>
          <w:bCs/>
          <w:kern w:val="0"/>
          <w:sz w:val="36"/>
          <w:szCs w:val="36"/>
        </w:rPr>
      </w:pPr>
      <w:r>
        <w:rPr>
          <w:rFonts w:hint="eastAsia" w:ascii="宋体" w:hAnsi="宋体" w:cs="宋体"/>
          <w:b/>
          <w:bCs/>
          <w:kern w:val="0"/>
          <w:sz w:val="36"/>
          <w:szCs w:val="36"/>
        </w:rPr>
        <w:t>3、小额贷款公司分类评级考核评分表</w:t>
      </w:r>
    </w:p>
    <w:tbl>
      <w:tblPr>
        <w:tblStyle w:val="3"/>
        <w:tblpPr w:leftFromText="180" w:rightFromText="180" w:vertAnchor="text" w:horzAnchor="page" w:tblpX="1442" w:tblpY="426"/>
        <w:tblOverlap w:val="never"/>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4320"/>
        <w:gridCol w:w="900"/>
        <w:gridCol w:w="900"/>
        <w:gridCol w:w="900"/>
        <w:gridCol w:w="777"/>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4"/>
              </w:rPr>
            </w:pPr>
            <w:r>
              <w:rPr>
                <w:rFonts w:hint="eastAsia" w:ascii="宋体" w:hAnsi="宋体" w:cs="宋体"/>
                <w:kern w:val="0"/>
                <w:sz w:val="24"/>
              </w:rPr>
              <w:t>序号</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4"/>
              </w:rPr>
            </w:pPr>
            <w:r>
              <w:rPr>
                <w:rFonts w:hint="eastAsia" w:ascii="宋体" w:hAnsi="宋体" w:cs="宋体"/>
                <w:bCs/>
                <w:kern w:val="0"/>
                <w:sz w:val="24"/>
              </w:rPr>
              <w:t>评分项目</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4"/>
              </w:rPr>
            </w:pPr>
            <w:r>
              <w:rPr>
                <w:rFonts w:hint="eastAsia" w:ascii="宋体" w:hAnsi="宋体" w:cs="宋体"/>
                <w:kern w:val="0"/>
                <w:sz w:val="24"/>
              </w:rPr>
              <w:t>分值</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4"/>
              </w:rPr>
            </w:pPr>
            <w:r>
              <w:rPr>
                <w:rFonts w:hint="eastAsia" w:ascii="宋体" w:hAnsi="宋体" w:cs="宋体"/>
                <w:bCs/>
                <w:kern w:val="0"/>
                <w:sz w:val="24"/>
              </w:rPr>
              <w:t>自评得分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4"/>
              </w:rPr>
            </w:pPr>
            <w:r>
              <w:rPr>
                <w:rFonts w:hint="eastAsia" w:ascii="宋体" w:hAnsi="宋体" w:cs="宋体"/>
                <w:bCs/>
                <w:kern w:val="0"/>
                <w:sz w:val="24"/>
              </w:rPr>
              <w:t>初评得分</w:t>
            </w: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4"/>
              </w:rPr>
            </w:pPr>
            <w:r>
              <w:rPr>
                <w:rFonts w:hint="eastAsia" w:ascii="宋体" w:hAnsi="宋体" w:cs="宋体"/>
                <w:bCs/>
                <w:kern w:val="0"/>
                <w:sz w:val="24"/>
              </w:rPr>
              <w:t>复评得分</w:t>
            </w: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4"/>
              </w:rPr>
            </w:pPr>
            <w:r>
              <w:rPr>
                <w:rFonts w:hint="eastAsia" w:ascii="宋体" w:hAnsi="宋体" w:cs="宋体"/>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
                <w:bCs/>
                <w:kern w:val="0"/>
                <w:sz w:val="22"/>
                <w:szCs w:val="22"/>
              </w:rPr>
            </w:pPr>
            <w:r>
              <w:rPr>
                <w:rFonts w:hint="eastAsia" w:ascii="宋体" w:hAnsi="宋体" w:cs="宋体"/>
                <w:b/>
                <w:bCs/>
                <w:kern w:val="0"/>
                <w:sz w:val="22"/>
                <w:szCs w:val="22"/>
              </w:rPr>
              <w:t>一、定量指标</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2"/>
                <w:szCs w:val="22"/>
              </w:rPr>
            </w:pPr>
            <w:r>
              <w:rPr>
                <w:rFonts w:hint="eastAsia" w:ascii="宋体" w:hAnsi="宋体" w:cs="宋体"/>
                <w:kern w:val="0"/>
                <w:sz w:val="22"/>
                <w:szCs w:val="22"/>
              </w:rPr>
              <w:t>80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bCs/>
                <w:kern w:val="0"/>
                <w:sz w:val="22"/>
                <w:szCs w:val="22"/>
              </w:rPr>
            </w:pPr>
            <w:r>
              <w:rPr>
                <w:rFonts w:hint="eastAsia" w:ascii="宋体" w:hAnsi="宋体" w:cs="宋体"/>
                <w:bCs/>
                <w:kern w:val="0"/>
                <w:sz w:val="22"/>
                <w:szCs w:val="22"/>
              </w:rPr>
              <w:t>（一）资本扩张能力</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bCs/>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1.注册资本:5000万以下4分，5000万（含）至10000万 5分，10000万（含）以上6分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6</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4</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16"/>
                <w:szCs w:val="16"/>
              </w:rPr>
            </w:pPr>
            <w:r>
              <w:rPr>
                <w:rFonts w:hint="eastAsia" w:ascii="宋体" w:hAnsi="宋体" w:cs="宋体"/>
                <w:kern w:val="0"/>
                <w:sz w:val="16"/>
                <w:szCs w:val="16"/>
              </w:rPr>
              <w:t>2.增资扩股 ：当年增资扩股的4分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4</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5</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22"/>
                <w:szCs w:val="22"/>
              </w:rPr>
            </w:pPr>
            <w:r>
              <w:rPr>
                <w:rFonts w:hint="eastAsia" w:ascii="宋体" w:hAnsi="宋体" w:cs="宋体"/>
                <w:kern w:val="0"/>
                <w:sz w:val="22"/>
                <w:szCs w:val="22"/>
              </w:rPr>
              <w:t>（二）资产管理能力</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8"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6</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1.资金使用效率：达到80%（含）得10分，每低10%扣1分，不足10%按10%扣减。</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7</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2.资金周转率：达到100%（含）以上得10分，每低10%减1分，不足10%按10%扣减。</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8</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22"/>
                <w:szCs w:val="22"/>
              </w:rPr>
            </w:pPr>
            <w:r>
              <w:rPr>
                <w:rFonts w:hint="eastAsia" w:ascii="宋体" w:hAnsi="宋体" w:cs="宋体"/>
                <w:kern w:val="0"/>
                <w:sz w:val="22"/>
                <w:szCs w:val="22"/>
              </w:rPr>
              <w:t>（三）风险管理能力</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9</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1.不良贷款率：期末低于8%（含）得5分，每高2%扣1分，不足2%按2%扣减。最多扣5分。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bCs/>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10</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2.贷款损失准备充足率：期末高于100%（含）得5分，50%（含）-100%得3分，低于50%得0分。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9"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11</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3.贷款分散率：单笔贷款余额达到资本净额5%的比重在30%（含）以下得5分，每高5%减1分，不足5%按5%扣减，最高减5分。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12</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16"/>
                <w:szCs w:val="16"/>
              </w:rPr>
            </w:pPr>
            <w:r>
              <w:rPr>
                <w:rFonts w:hint="eastAsia" w:ascii="宋体" w:hAnsi="宋体" w:cs="宋体"/>
                <w:kern w:val="0"/>
                <w:sz w:val="16"/>
                <w:szCs w:val="16"/>
              </w:rPr>
              <w:t>4.贷款期限比重：</w:t>
            </w:r>
            <w:r>
              <w:rPr>
                <w:rFonts w:hint="eastAsia" w:ascii="宋体" w:hAnsi="宋体" w:cs="仿宋_GB2312"/>
                <w:sz w:val="16"/>
                <w:szCs w:val="16"/>
              </w:rPr>
              <w:t>当年期限6个月以内（含）贷款总额与各项贷款总额之比达到80%（含）以上的，得5分；达到50%（含）至80%得3分；低于50%的得1分。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13</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22"/>
                <w:szCs w:val="22"/>
              </w:rPr>
            </w:pPr>
            <w:r>
              <w:rPr>
                <w:rFonts w:hint="eastAsia" w:ascii="宋体" w:hAnsi="宋体" w:cs="宋体"/>
                <w:kern w:val="0"/>
                <w:sz w:val="22"/>
                <w:szCs w:val="22"/>
              </w:rPr>
              <w:t>（四）盈利能力</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14</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1.资本净利润率（10分）。达到10%（含）以上得10分，每低1%减1分，不足1%部分按1%扣减。最多扣10分。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3"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15</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2.实际贷款收息率（10分）。达到10%（含）以上得10分，每低1%减1分，不足1%部分按1%扣减。</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16</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22"/>
                <w:szCs w:val="22"/>
              </w:rPr>
            </w:pPr>
            <w:r>
              <w:rPr>
                <w:rFonts w:hint="eastAsia" w:ascii="宋体" w:hAnsi="宋体" w:cs="宋体"/>
                <w:kern w:val="0"/>
                <w:sz w:val="22"/>
                <w:szCs w:val="22"/>
              </w:rPr>
              <w:t>（五）发展能力</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17</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1.融资能力（5分）：达到25%（含）以上的得5分，每低5%减1分，不足5%部分按5%扣减，最多扣5分。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8"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18</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2.累放贷款增长率（5分）。年度累放贷款总额每增加5%得1分，不足5%的按5%计，最多得5分。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19</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
                <w:kern w:val="0"/>
                <w:sz w:val="22"/>
                <w:szCs w:val="22"/>
              </w:rPr>
            </w:pPr>
            <w:r>
              <w:rPr>
                <w:rFonts w:hint="eastAsia" w:ascii="宋体" w:hAnsi="宋体" w:cs="宋体"/>
                <w:b/>
                <w:kern w:val="0"/>
                <w:sz w:val="22"/>
                <w:szCs w:val="22"/>
              </w:rPr>
              <w:t>二、定性指标</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20</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kern w:val="0"/>
                <w:sz w:val="22"/>
                <w:szCs w:val="22"/>
              </w:rPr>
            </w:pPr>
            <w:r>
              <w:rPr>
                <w:rFonts w:hint="eastAsia" w:ascii="宋体" w:hAnsi="宋体" w:cs="宋体"/>
                <w:bCs/>
                <w:kern w:val="0"/>
                <w:sz w:val="22"/>
                <w:szCs w:val="22"/>
              </w:rPr>
              <w:t>（一）内部管理指标</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bCs/>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9"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21</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1.是否建立健全的公司治理和科学的内部制衡机制，股东会、董事会、监事会是否按时召开。</w:t>
            </w:r>
          </w:p>
          <w:p>
            <w:pPr>
              <w:keepNext w:val="0"/>
              <w:keepLines w:val="0"/>
              <w:pageBreakBefore w:val="0"/>
              <w:widowControl w:val="0"/>
              <w:kinsoku/>
              <w:wordWrap/>
              <w:overflowPunct/>
              <w:topLinePunct w:val="0"/>
              <w:bidi w:val="0"/>
              <w:adjustRightInd/>
              <w:snapToGrid/>
              <w:spacing w:line="60" w:lineRule="auto"/>
              <w:ind w:firstLine="320" w:firstLineChars="200"/>
              <w:textAlignment w:val="auto"/>
              <w:outlineLvl w:val="9"/>
              <w:rPr>
                <w:rFonts w:hint="eastAsia" w:ascii="宋体" w:hAnsi="宋体" w:cs="仿宋_GB2312"/>
                <w:sz w:val="16"/>
                <w:szCs w:val="16"/>
              </w:rPr>
            </w:pPr>
            <w:r>
              <w:rPr>
                <w:rFonts w:hint="eastAsia" w:ascii="宋体" w:hAnsi="宋体" w:cs="仿宋_GB2312"/>
                <w:sz w:val="16"/>
                <w:szCs w:val="16"/>
              </w:rPr>
              <w:t>制度健全且落实较好的得5分，制度不健全或未完全落实的得3分，制度落实较差的得1分。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22</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2.是否建立科学可行的业务决策和监督机制，包括贷前调查、贷时审查、贷后管理、不良贷款分类、风险拨备、财务会计核算等业务管理制度。</w:t>
            </w:r>
          </w:p>
          <w:p>
            <w:pPr>
              <w:keepNext w:val="0"/>
              <w:keepLines w:val="0"/>
              <w:pageBreakBefore w:val="0"/>
              <w:widowControl w:val="0"/>
              <w:kinsoku/>
              <w:wordWrap/>
              <w:overflowPunct/>
              <w:topLinePunct w:val="0"/>
              <w:bidi w:val="0"/>
              <w:adjustRightInd/>
              <w:snapToGrid/>
              <w:spacing w:line="60" w:lineRule="auto"/>
              <w:ind w:firstLine="320" w:firstLineChars="200"/>
              <w:textAlignment w:val="auto"/>
              <w:outlineLvl w:val="9"/>
              <w:rPr>
                <w:rFonts w:hint="eastAsia" w:ascii="宋体" w:hAnsi="宋体" w:cs="仿宋_GB2312"/>
                <w:sz w:val="16"/>
                <w:szCs w:val="16"/>
              </w:rPr>
            </w:pPr>
            <w:r>
              <w:rPr>
                <w:rFonts w:hint="eastAsia" w:ascii="宋体" w:hAnsi="宋体" w:cs="仿宋_GB2312"/>
                <w:sz w:val="16"/>
                <w:szCs w:val="16"/>
              </w:rPr>
              <w:t>制度健全且落实较好的得5分，制度不健全或未完全落实的得3分，制度落实较差的得1分。</w:t>
            </w:r>
          </w:p>
          <w:p>
            <w:pPr>
              <w:keepNext w:val="0"/>
              <w:keepLines w:val="0"/>
              <w:pageBreakBefore w:val="0"/>
              <w:widowControl w:val="0"/>
              <w:kinsoku/>
              <w:wordWrap/>
              <w:overflowPunct/>
              <w:topLinePunct w:val="0"/>
              <w:bidi w:val="0"/>
              <w:adjustRightInd/>
              <w:snapToGrid/>
              <w:spacing w:line="60" w:lineRule="auto"/>
              <w:ind w:firstLine="320" w:firstLineChars="200"/>
              <w:textAlignment w:val="auto"/>
              <w:outlineLvl w:val="9"/>
              <w:rPr>
                <w:rFonts w:hint="eastAsia" w:ascii="宋体" w:hAnsi="宋体" w:cs="仿宋_GB2312"/>
                <w:sz w:val="16"/>
                <w:szCs w:val="16"/>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5"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23</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3.是否按照规范要求编制财务报表，年度财务报表是否经过金融办认可的会计师事务所审计。</w:t>
            </w:r>
          </w:p>
          <w:p>
            <w:pPr>
              <w:keepNext w:val="0"/>
              <w:keepLines w:val="0"/>
              <w:pageBreakBefore w:val="0"/>
              <w:widowControl w:val="0"/>
              <w:kinsoku/>
              <w:wordWrap/>
              <w:overflowPunct/>
              <w:topLinePunct w:val="0"/>
              <w:bidi w:val="0"/>
              <w:adjustRightInd/>
              <w:snapToGrid/>
              <w:spacing w:line="60" w:lineRule="auto"/>
              <w:ind w:firstLine="320" w:firstLineChars="200"/>
              <w:textAlignment w:val="auto"/>
              <w:outlineLvl w:val="9"/>
              <w:rPr>
                <w:rFonts w:hint="eastAsia" w:ascii="宋体" w:hAnsi="宋体" w:cs="仿宋_GB2312"/>
                <w:sz w:val="16"/>
                <w:szCs w:val="16"/>
              </w:rPr>
            </w:pPr>
            <w:r>
              <w:rPr>
                <w:rFonts w:hint="eastAsia" w:ascii="宋体" w:hAnsi="宋体" w:cs="仿宋_GB2312"/>
                <w:sz w:val="16"/>
                <w:szCs w:val="16"/>
              </w:rPr>
              <w:t>严格财务管理且按规定审计年报的得5分，有年报但未经审计的得1分。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1"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24</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16"/>
                <w:szCs w:val="16"/>
              </w:rPr>
            </w:pPr>
            <w:r>
              <w:rPr>
                <w:rFonts w:hint="eastAsia" w:ascii="宋体" w:hAnsi="宋体" w:cs="宋体"/>
                <w:sz w:val="16"/>
                <w:szCs w:val="16"/>
              </w:rPr>
              <w:t>4.董事、监事、高级管理人员及业务人员是否配备齐全，高级管理人员是否具备2年以上银行（或小额贷款公司）信贷、风控管理工作经历，职工人数是否在5人（含）以上。</w:t>
            </w:r>
          </w:p>
          <w:p>
            <w:pPr>
              <w:keepNext w:val="0"/>
              <w:keepLines w:val="0"/>
              <w:pageBreakBefore w:val="0"/>
              <w:widowControl w:val="0"/>
              <w:kinsoku/>
              <w:wordWrap/>
              <w:overflowPunct/>
              <w:topLinePunct w:val="0"/>
              <w:bidi w:val="0"/>
              <w:adjustRightInd/>
              <w:snapToGrid/>
              <w:spacing w:line="60" w:lineRule="auto"/>
              <w:ind w:firstLine="320" w:firstLineChars="200"/>
              <w:textAlignment w:val="auto"/>
              <w:outlineLvl w:val="9"/>
              <w:rPr>
                <w:rFonts w:hint="eastAsia" w:ascii="宋体" w:hAnsi="宋体" w:cs="仿宋_GB2312"/>
                <w:sz w:val="16"/>
                <w:szCs w:val="16"/>
              </w:rPr>
            </w:pPr>
            <w:r>
              <w:rPr>
                <w:rFonts w:hint="eastAsia" w:ascii="宋体" w:hAnsi="宋体" w:cs="仿宋_GB2312"/>
                <w:sz w:val="16"/>
                <w:szCs w:val="16"/>
              </w:rPr>
              <w:t>配备齐全且符合条件的得5分，不够齐全或不符合条件的得3分，未按规定配备的得1分。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25</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2"/>
                <w:szCs w:val="22"/>
              </w:rPr>
            </w:pPr>
            <w:r>
              <w:rPr>
                <w:rFonts w:hint="eastAsia" w:ascii="宋体" w:hAnsi="宋体" w:cs="宋体"/>
                <w:kern w:val="0"/>
                <w:sz w:val="22"/>
                <w:szCs w:val="22"/>
              </w:rPr>
              <w:t>（二）</w:t>
            </w:r>
            <w:r>
              <w:rPr>
                <w:rFonts w:hint="eastAsia" w:ascii="宋体" w:hAnsi="宋体" w:cs="宋体"/>
                <w:sz w:val="22"/>
                <w:szCs w:val="22"/>
              </w:rPr>
              <w:t>合规经营指标（扣分项）</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468"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rPr>
            </w:pPr>
            <w:r>
              <w:rPr>
                <w:rFonts w:hint="eastAsia" w:ascii="宋体" w:hAnsi="宋体" w:cs="宋体"/>
              </w:rPr>
              <w:t>26</w:t>
            </w:r>
          </w:p>
        </w:tc>
        <w:tc>
          <w:tcPr>
            <w:tcW w:w="4320" w:type="dxa"/>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1.非法吸收存款、非法集资（扣20分）</w:t>
            </w:r>
          </w:p>
        </w:tc>
        <w:tc>
          <w:tcPr>
            <w:tcW w:w="900"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27</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kern w:val="0"/>
                <w:sz w:val="16"/>
                <w:szCs w:val="16"/>
              </w:rPr>
              <w:t>2.</w:t>
            </w:r>
            <w:r>
              <w:rPr>
                <w:rFonts w:hint="eastAsia" w:ascii="宋体" w:hAnsi="宋体" w:cs="宋体"/>
                <w:sz w:val="16"/>
                <w:szCs w:val="16"/>
              </w:rPr>
              <w:t>暴力收贷或出现其他重大违法违规事项的（扣20分）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28</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3.抽逃注册资本的（扣20分）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29</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4.做虚假账务或从事账外经营的（扣20分）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20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30</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5.发放贷款的综合利费率超过司法部门规定的上限（扣5分）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bCs/>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31</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6.违规跨区域经营的（扣5分）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32</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7.违规变更事项的（扣5分）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33</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8.当年公众投诉，经核查属实的（扣5分）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rPr>
            </w:pPr>
            <w:r>
              <w:rPr>
                <w:rFonts w:hint="eastAsia" w:ascii="宋体" w:hAnsi="宋体" w:cs="宋体"/>
              </w:rPr>
              <w:t>34</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9.单户超比例放贷或拆分放贷的（扣5分）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35</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10.</w:t>
            </w:r>
            <w:r>
              <w:rPr>
                <w:rFonts w:hint="eastAsia" w:ascii="宋体" w:hAnsi="宋体" w:cs="仿宋_GB2312"/>
                <w:sz w:val="16"/>
                <w:szCs w:val="16"/>
              </w:rPr>
              <w:t>不积极配合监管部门开展日常监管的</w:t>
            </w:r>
            <w:r>
              <w:rPr>
                <w:rFonts w:hint="eastAsia" w:ascii="宋体" w:hAnsi="宋体" w:cs="宋体"/>
                <w:sz w:val="16"/>
                <w:szCs w:val="16"/>
              </w:rPr>
              <w:t>（扣5分）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36</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仿宋_GB2312"/>
                <w:sz w:val="16"/>
                <w:szCs w:val="16"/>
              </w:rPr>
            </w:pPr>
            <w:r>
              <w:rPr>
                <w:rFonts w:hint="eastAsia" w:ascii="宋体" w:hAnsi="宋体" w:cs="仿宋_GB2312"/>
                <w:sz w:val="16"/>
                <w:szCs w:val="16"/>
              </w:rPr>
              <w:t>11.各项统计报表迟报、漏报和错报每次扣1分，最多扣5分；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bCs/>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rPr>
            </w:pPr>
            <w:r>
              <w:rPr>
                <w:rFonts w:hint="eastAsia" w:ascii="宋体" w:hAnsi="宋体" w:cs="宋体"/>
              </w:rPr>
              <w:t>37</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textAlignment w:val="auto"/>
              <w:outlineLvl w:val="9"/>
              <w:rPr>
                <w:rFonts w:hint="eastAsia" w:ascii="宋体" w:hAnsi="宋体" w:cs="宋体"/>
                <w:sz w:val="16"/>
                <w:szCs w:val="16"/>
              </w:rPr>
            </w:pPr>
            <w:r>
              <w:rPr>
                <w:rFonts w:hint="eastAsia" w:ascii="宋体" w:hAnsi="宋体" w:cs="宋体"/>
                <w:sz w:val="16"/>
                <w:szCs w:val="16"/>
              </w:rPr>
              <w:t>12.其他违规行为（扣5分）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bCs/>
                <w:kern w:val="0"/>
                <w:sz w:val="22"/>
                <w:szCs w:val="22"/>
              </w:rPr>
            </w:pPr>
            <w:r>
              <w:rPr>
                <w:rFonts w:hint="eastAsia" w:ascii="宋体" w:hAnsi="宋体" w:cs="宋体"/>
                <w:bCs/>
                <w:kern w:val="0"/>
                <w:sz w:val="22"/>
                <w:szCs w:val="22"/>
              </w:rPr>
              <w:t>5</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r>
              <w:rPr>
                <w:rFonts w:hint="eastAsia" w:ascii="宋体" w:hAnsi="宋体" w:cs="宋体"/>
              </w:rPr>
              <w:t>38</w:t>
            </w: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2"/>
                <w:szCs w:val="22"/>
              </w:rPr>
            </w:pPr>
            <w:r>
              <w:rPr>
                <w:rFonts w:hint="eastAsia" w:ascii="宋体" w:hAnsi="宋体" w:cs="宋体"/>
                <w:kern w:val="0"/>
                <w:sz w:val="22"/>
                <w:szCs w:val="22"/>
              </w:rPr>
              <w:t>（三）加分项目：</w:t>
            </w:r>
            <w:r>
              <w:rPr>
                <w:rFonts w:hint="eastAsia" w:ascii="宋体" w:hAnsi="宋体" w:cs="宋体"/>
                <w:sz w:val="22"/>
                <w:szCs w:val="22"/>
              </w:rPr>
              <w:t>凡当年获得政府、协会等部门评定的各类奖项的，每项加10分。</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10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46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sz w:val="24"/>
              </w:rPr>
            </w:pPr>
          </w:p>
        </w:tc>
        <w:tc>
          <w:tcPr>
            <w:tcW w:w="4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r>
              <w:rPr>
                <w:rFonts w:hint="eastAsia" w:ascii="宋体" w:hAnsi="宋体" w:cs="宋体"/>
                <w:kern w:val="0"/>
                <w:sz w:val="22"/>
                <w:szCs w:val="22"/>
              </w:rPr>
              <w:t>合计</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center"/>
              <w:textAlignment w:val="auto"/>
              <w:outlineLvl w:val="9"/>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910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spacing w:line="60" w:lineRule="auto"/>
              <w:jc w:val="left"/>
              <w:textAlignment w:val="auto"/>
              <w:outlineLvl w:val="9"/>
              <w:rPr>
                <w:rFonts w:hint="eastAsia" w:ascii="宋体" w:hAnsi="宋体" w:cs="宋体"/>
                <w:bCs/>
                <w:kern w:val="0"/>
                <w:sz w:val="22"/>
                <w:szCs w:val="22"/>
              </w:rPr>
            </w:pPr>
            <w:r>
              <w:rPr>
                <w:rFonts w:hint="eastAsia" w:ascii="宋体" w:hAnsi="宋体" w:cs="宋体"/>
                <w:bCs/>
                <w:kern w:val="0"/>
                <w:sz w:val="22"/>
                <w:szCs w:val="22"/>
              </w:rPr>
              <w:t xml:space="preserve">  自评人：                   初评人：                复评人：</w:t>
            </w:r>
          </w:p>
        </w:tc>
      </w:tr>
    </w:tbl>
    <w:p>
      <w:pPr>
        <w:keepNext w:val="0"/>
        <w:keepLines w:val="0"/>
        <w:pageBreakBefore w:val="0"/>
        <w:widowControl w:val="0"/>
        <w:kinsoku/>
        <w:wordWrap/>
        <w:overflowPunct/>
        <w:topLinePunct w:val="0"/>
        <w:bidi w:val="0"/>
        <w:adjustRightInd/>
        <w:snapToGrid/>
        <w:ind w:firstLine="440" w:firstLineChars="200"/>
        <w:textAlignment w:val="auto"/>
        <w:outlineLvl w:val="9"/>
        <w:rPr>
          <w:rFonts w:hint="eastAsia" w:ascii="宋体" w:hAnsi="宋体" w:cs="仿宋_GB2312"/>
          <w:sz w:val="16"/>
          <w:szCs w:val="16"/>
        </w:rPr>
      </w:pPr>
      <w:r>
        <w:rPr>
          <w:rFonts w:hint="eastAsia" w:ascii="宋体" w:hAnsi="宋体" w:cs="宋体"/>
          <w:kern w:val="0"/>
          <w:sz w:val="22"/>
          <w:szCs w:val="22"/>
        </w:rPr>
        <w:t>注释：</w:t>
      </w:r>
      <w:r>
        <w:rPr>
          <w:rFonts w:hint="eastAsia" w:ascii="宋体" w:hAnsi="宋体" w:cs="宋体"/>
          <w:kern w:val="0"/>
          <w:sz w:val="16"/>
          <w:szCs w:val="16"/>
        </w:rPr>
        <w:t>1.</w:t>
      </w:r>
      <w:r>
        <w:rPr>
          <w:rFonts w:hint="eastAsia" w:ascii="宋体" w:hAnsi="宋体" w:cs="仿宋_GB2312"/>
          <w:sz w:val="16"/>
          <w:szCs w:val="16"/>
        </w:rPr>
        <w:t xml:space="preserve"> 资金使用效率=当年月平均贷款余额/（资本净额+融资平均余额）*100%。</w:t>
      </w:r>
    </w:p>
    <w:p>
      <w:pPr>
        <w:keepNext w:val="0"/>
        <w:keepLines w:val="0"/>
        <w:pageBreakBefore w:val="0"/>
        <w:widowControl w:val="0"/>
        <w:kinsoku/>
        <w:wordWrap/>
        <w:overflowPunct/>
        <w:topLinePunct w:val="0"/>
        <w:bidi w:val="0"/>
        <w:adjustRightInd/>
        <w:snapToGrid/>
        <w:ind w:firstLine="320" w:firstLineChars="200"/>
        <w:textAlignment w:val="auto"/>
        <w:outlineLvl w:val="9"/>
        <w:rPr>
          <w:rFonts w:hint="eastAsia" w:ascii="宋体" w:hAnsi="宋体" w:cs="仿宋_GB2312"/>
          <w:sz w:val="16"/>
          <w:szCs w:val="16"/>
        </w:rPr>
      </w:pPr>
      <w:r>
        <w:rPr>
          <w:rFonts w:hint="eastAsia" w:ascii="宋体" w:hAnsi="宋体"/>
          <w:sz w:val="16"/>
          <w:szCs w:val="16"/>
        </w:rPr>
        <w:t xml:space="preserve">    2.</w:t>
      </w:r>
      <w:r>
        <w:rPr>
          <w:rFonts w:hint="eastAsia" w:ascii="宋体" w:hAnsi="宋体" w:cs="仿宋_GB2312"/>
          <w:sz w:val="16"/>
          <w:szCs w:val="16"/>
        </w:rPr>
        <w:t xml:space="preserve"> 资金周转率=当年累计发放贷款总额/（资本净额+融资平均余额）*100%。</w:t>
      </w:r>
    </w:p>
    <w:p>
      <w:pPr>
        <w:keepNext w:val="0"/>
        <w:keepLines w:val="0"/>
        <w:pageBreakBefore w:val="0"/>
        <w:widowControl w:val="0"/>
        <w:kinsoku/>
        <w:wordWrap/>
        <w:overflowPunct/>
        <w:topLinePunct w:val="0"/>
        <w:bidi w:val="0"/>
        <w:adjustRightInd/>
        <w:snapToGrid/>
        <w:ind w:left="359" w:leftChars="171" w:firstLine="80" w:firstLineChars="50"/>
        <w:textAlignment w:val="auto"/>
        <w:outlineLvl w:val="9"/>
        <w:rPr>
          <w:rFonts w:hint="eastAsia" w:ascii="宋体" w:hAnsi="宋体"/>
          <w:sz w:val="16"/>
          <w:szCs w:val="16"/>
        </w:rPr>
      </w:pPr>
      <w:r>
        <w:rPr>
          <w:rFonts w:hint="eastAsia" w:ascii="宋体" w:hAnsi="宋体"/>
          <w:sz w:val="16"/>
          <w:szCs w:val="16"/>
        </w:rPr>
        <w:t xml:space="preserve">   3.不良贷款率=（次级类贷款+可疑类贷款+损失类贷款）/各项贷款余额*100%。</w:t>
      </w:r>
    </w:p>
    <w:p>
      <w:pPr>
        <w:keepNext w:val="0"/>
        <w:keepLines w:val="0"/>
        <w:pageBreakBefore w:val="0"/>
        <w:widowControl w:val="0"/>
        <w:kinsoku/>
        <w:wordWrap/>
        <w:overflowPunct/>
        <w:topLinePunct w:val="0"/>
        <w:bidi w:val="0"/>
        <w:adjustRightInd/>
        <w:snapToGrid/>
        <w:ind w:firstLine="259" w:firstLineChars="162"/>
        <w:textAlignment w:val="auto"/>
        <w:outlineLvl w:val="9"/>
        <w:rPr>
          <w:rFonts w:hint="eastAsia" w:ascii="宋体" w:hAnsi="宋体"/>
          <w:sz w:val="16"/>
          <w:szCs w:val="16"/>
        </w:rPr>
      </w:pPr>
      <w:r>
        <w:rPr>
          <w:rFonts w:hint="eastAsia" w:ascii="宋体" w:hAnsi="宋体"/>
          <w:sz w:val="16"/>
          <w:szCs w:val="16"/>
        </w:rPr>
        <w:t xml:space="preserve">     4.贷款损失准备充足率=当年实际计提贷款损失准备金/当年应计提贷款损失准备金*100%。</w:t>
      </w:r>
    </w:p>
    <w:p>
      <w:pPr>
        <w:keepNext w:val="0"/>
        <w:keepLines w:val="0"/>
        <w:pageBreakBefore w:val="0"/>
        <w:widowControl w:val="0"/>
        <w:kinsoku/>
        <w:wordWrap/>
        <w:overflowPunct/>
        <w:topLinePunct w:val="0"/>
        <w:bidi w:val="0"/>
        <w:adjustRightInd/>
        <w:snapToGrid/>
        <w:ind w:left="719" w:leftChars="152" w:hanging="400" w:hangingChars="250"/>
        <w:textAlignment w:val="auto"/>
        <w:outlineLvl w:val="9"/>
        <w:rPr>
          <w:rFonts w:hint="eastAsia" w:ascii="宋体" w:hAnsi="宋体"/>
          <w:sz w:val="16"/>
          <w:szCs w:val="16"/>
        </w:rPr>
      </w:pPr>
      <w:r>
        <w:rPr>
          <w:rFonts w:hint="eastAsia" w:ascii="宋体" w:hAnsi="宋体"/>
          <w:sz w:val="16"/>
          <w:szCs w:val="16"/>
        </w:rPr>
        <w:t xml:space="preserve">     当年应计提贷款损失准备金=正常类贷款余额*1%+关注类贷款余额*2%+次级类贷款余额*25%+可疑类贷款余额*50%+损失类贷款余额*100%。</w:t>
      </w:r>
    </w:p>
    <w:p>
      <w:pPr>
        <w:keepNext w:val="0"/>
        <w:keepLines w:val="0"/>
        <w:pageBreakBefore w:val="0"/>
        <w:widowControl w:val="0"/>
        <w:kinsoku/>
        <w:wordWrap/>
        <w:overflowPunct/>
        <w:topLinePunct w:val="0"/>
        <w:bidi w:val="0"/>
        <w:adjustRightInd/>
        <w:snapToGrid/>
        <w:ind w:left="719" w:leftChars="152" w:hanging="400" w:hangingChars="250"/>
        <w:textAlignment w:val="auto"/>
        <w:outlineLvl w:val="9"/>
        <w:rPr>
          <w:rFonts w:hint="eastAsia" w:ascii="宋体" w:hAnsi="宋体"/>
          <w:sz w:val="16"/>
          <w:szCs w:val="16"/>
        </w:rPr>
      </w:pPr>
      <w:r>
        <w:rPr>
          <w:rFonts w:hint="eastAsia" w:ascii="宋体" w:hAnsi="宋体"/>
          <w:sz w:val="16"/>
          <w:szCs w:val="16"/>
        </w:rPr>
        <w:t xml:space="preserve">    5.</w:t>
      </w:r>
      <w:r>
        <w:rPr>
          <w:rFonts w:hint="eastAsia" w:ascii="宋体" w:hAnsi="宋体" w:cs="仿宋_GB2312"/>
          <w:sz w:val="16"/>
          <w:szCs w:val="16"/>
        </w:rPr>
        <w:t xml:space="preserve"> 资本净利润率=当年净利润/资本净额*100%。</w:t>
      </w:r>
    </w:p>
    <w:p>
      <w:pPr>
        <w:keepNext w:val="0"/>
        <w:keepLines w:val="0"/>
        <w:pageBreakBefore w:val="0"/>
        <w:widowControl w:val="0"/>
        <w:kinsoku/>
        <w:wordWrap/>
        <w:overflowPunct/>
        <w:topLinePunct w:val="0"/>
        <w:bidi w:val="0"/>
        <w:adjustRightInd/>
        <w:snapToGrid/>
        <w:ind w:firstLine="320" w:firstLineChars="200"/>
        <w:textAlignment w:val="auto"/>
        <w:outlineLvl w:val="9"/>
        <w:rPr>
          <w:rFonts w:hint="eastAsia" w:ascii="宋体" w:hAnsi="宋体"/>
          <w:sz w:val="16"/>
          <w:szCs w:val="16"/>
        </w:rPr>
      </w:pPr>
      <w:r>
        <w:rPr>
          <w:rFonts w:hint="eastAsia" w:ascii="宋体" w:hAnsi="宋体"/>
          <w:sz w:val="16"/>
          <w:szCs w:val="16"/>
        </w:rPr>
        <w:t xml:space="preserve">    6.实际贷款收息率=当年实收贷款利息/当年平均贷款余额*100%。</w:t>
      </w:r>
    </w:p>
    <w:p>
      <w:pPr>
        <w:keepNext w:val="0"/>
        <w:keepLines w:val="0"/>
        <w:pageBreakBefore w:val="0"/>
        <w:widowControl w:val="0"/>
        <w:kinsoku/>
        <w:wordWrap/>
        <w:overflowPunct/>
        <w:topLinePunct w:val="0"/>
        <w:bidi w:val="0"/>
        <w:adjustRightInd/>
        <w:snapToGrid/>
        <w:ind w:firstLine="320" w:firstLineChars="200"/>
        <w:textAlignment w:val="auto"/>
        <w:outlineLvl w:val="9"/>
        <w:rPr>
          <w:rFonts w:hint="eastAsia" w:ascii="宋体" w:hAnsi="宋体"/>
          <w:sz w:val="16"/>
          <w:szCs w:val="16"/>
        </w:rPr>
      </w:pPr>
      <w:r>
        <w:rPr>
          <w:rFonts w:hint="eastAsia" w:ascii="宋体" w:hAnsi="宋体"/>
          <w:sz w:val="16"/>
          <w:szCs w:val="16"/>
        </w:rPr>
        <w:t xml:space="preserve">    7.融资能力=年平均融资余额/资本净额*100%。</w:t>
      </w:r>
    </w:p>
    <w:p>
      <w:pPr>
        <w:keepNext w:val="0"/>
        <w:keepLines w:val="0"/>
        <w:pageBreakBefore w:val="0"/>
        <w:widowControl w:val="0"/>
        <w:kinsoku/>
        <w:wordWrap/>
        <w:overflowPunct/>
        <w:topLinePunct w:val="0"/>
        <w:bidi w:val="0"/>
        <w:adjustRightInd/>
        <w:snapToGrid/>
        <w:ind w:firstLine="320" w:firstLineChars="200"/>
        <w:textAlignment w:val="auto"/>
        <w:outlineLvl w:val="9"/>
        <w:rPr>
          <w:rFonts w:hint="eastAsia" w:ascii="宋体" w:hAnsi="宋体"/>
          <w:sz w:val="16"/>
          <w:szCs w:val="16"/>
        </w:rPr>
      </w:pPr>
      <w:r>
        <w:rPr>
          <w:rFonts w:hint="eastAsia" w:ascii="宋体" w:hAnsi="宋体"/>
          <w:sz w:val="16"/>
          <w:szCs w:val="16"/>
        </w:rPr>
        <w:t xml:space="preserve">    8.累放贷款增长率=（本年度累放贷款总额-上年度累放贷款总额）/上年度累放贷款总额*100%。</w:t>
      </w:r>
    </w:p>
    <w:p>
      <w:pPr>
        <w:keepNext w:val="0"/>
        <w:keepLines w:val="0"/>
        <w:pageBreakBefore w:val="0"/>
        <w:widowControl w:val="0"/>
        <w:kinsoku/>
        <w:wordWrap/>
        <w:overflowPunct/>
        <w:topLinePunct w:val="0"/>
        <w:bidi w:val="0"/>
        <w:adjustRightInd/>
        <w:snapToGrid/>
        <w:textAlignment w:val="auto"/>
        <w:outlineLvl w:val="9"/>
        <w:rPr>
          <w:rFonts w:hint="eastAsia" w:ascii="宋体" w:hAnsi="宋体"/>
          <w:sz w:val="16"/>
          <w:szCs w:val="16"/>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sz w:val="16"/>
          <w:szCs w:val="16"/>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b/>
          <w:sz w:val="32"/>
          <w:szCs w:val="32"/>
        </w:rPr>
      </w:pPr>
    </w:p>
    <w:p>
      <w:pPr>
        <w:keepNext w:val="0"/>
        <w:keepLines w:val="0"/>
        <w:pageBreakBefore w:val="0"/>
        <w:widowControl w:val="0"/>
        <w:kinsoku/>
        <w:wordWrap/>
        <w:overflowPunct/>
        <w:topLinePunct w:val="0"/>
        <w:bidi w:val="0"/>
        <w:adjustRightInd/>
        <w:snapToGrid/>
        <w:textAlignment w:val="auto"/>
        <w:outlineLvl w:val="9"/>
        <w:rPr>
          <w:rFonts w:hint="eastAsia" w:ascii="宋体" w:hAnsi="宋体"/>
          <w:b/>
          <w:sz w:val="32"/>
          <w:szCs w:val="32"/>
        </w:rPr>
      </w:pPr>
      <w:r>
        <w:rPr>
          <w:rFonts w:hint="eastAsia" w:ascii="宋体" w:hAnsi="宋体"/>
          <w:b/>
          <w:sz w:val="32"/>
          <w:szCs w:val="32"/>
        </w:rPr>
        <w:t>附件2</w:t>
      </w:r>
    </w:p>
    <w:p>
      <w:pPr>
        <w:keepNext w:val="0"/>
        <w:keepLines w:val="0"/>
        <w:pageBreakBefore w:val="0"/>
        <w:widowControl w:val="0"/>
        <w:kinsoku/>
        <w:wordWrap/>
        <w:overflowPunct/>
        <w:topLinePunct w:val="0"/>
        <w:bidi w:val="0"/>
        <w:adjustRightInd/>
        <w:snapToGrid/>
        <w:jc w:val="center"/>
        <w:textAlignment w:val="auto"/>
        <w:outlineLvl w:val="9"/>
        <w:rPr>
          <w:rFonts w:hint="eastAsia" w:ascii="宋体" w:hAnsi="宋体" w:cs="宋体"/>
          <w:b/>
          <w:w w:val="95"/>
          <w:kern w:val="0"/>
          <w:sz w:val="36"/>
          <w:szCs w:val="36"/>
        </w:rPr>
      </w:pPr>
      <w:r>
        <w:rPr>
          <w:rFonts w:hint="eastAsia" w:ascii="宋体" w:hAnsi="宋体" w:cs="宋体"/>
          <w:b/>
          <w:w w:val="95"/>
          <w:kern w:val="0"/>
          <w:sz w:val="36"/>
          <w:szCs w:val="36"/>
        </w:rPr>
        <w:t>昌吉州小额贷款公司</w:t>
      </w:r>
      <w:r>
        <w:rPr>
          <w:rFonts w:hint="eastAsia" w:ascii="宋体" w:hAnsi="宋体" w:cs="宋体"/>
          <w:b/>
          <w:w w:val="95"/>
          <w:kern w:val="0"/>
          <w:sz w:val="36"/>
          <w:szCs w:val="36"/>
          <w:lang w:val="en-US" w:eastAsia="zh-CN"/>
        </w:rPr>
        <w:t>XX</w:t>
      </w:r>
      <w:r>
        <w:rPr>
          <w:rFonts w:hint="eastAsia" w:ascii="宋体" w:hAnsi="宋体" w:cs="宋体"/>
          <w:b/>
          <w:w w:val="95"/>
          <w:kern w:val="0"/>
          <w:sz w:val="36"/>
          <w:szCs w:val="36"/>
        </w:rPr>
        <w:t>年度分类监管评级结果汇总表</w:t>
      </w:r>
    </w:p>
    <w:p>
      <w:pPr>
        <w:keepNext w:val="0"/>
        <w:keepLines w:val="0"/>
        <w:pageBreakBefore w:val="0"/>
        <w:widowControl w:val="0"/>
        <w:kinsoku/>
        <w:wordWrap/>
        <w:overflowPunct/>
        <w:topLinePunct w:val="0"/>
        <w:bidi w:val="0"/>
        <w:adjustRightInd/>
        <w:snapToGrid/>
        <w:textAlignment w:val="auto"/>
        <w:outlineLvl w:val="9"/>
        <w:rPr>
          <w:rFonts w:hint="eastAsia" w:ascii="仿宋_GB2312" w:hAnsi="宋体" w:eastAsia="仿宋_GB2312" w:cs="宋体"/>
          <w:kern w:val="0"/>
          <w:sz w:val="24"/>
          <w:szCs w:val="21"/>
        </w:rPr>
      </w:pPr>
      <w:r>
        <w:rPr>
          <w:rFonts w:hint="eastAsia" w:ascii="仿宋_GB2312" w:hAnsi="宋体" w:eastAsia="仿宋_GB2312" w:cs="宋体"/>
          <w:kern w:val="0"/>
          <w:sz w:val="24"/>
          <w:szCs w:val="21"/>
        </w:rPr>
        <w:t xml:space="preserve">填报单位（章）：                        县市（园区）金融工作办公室   </w:t>
      </w:r>
    </w:p>
    <w:tbl>
      <w:tblPr>
        <w:tblStyle w:val="3"/>
        <w:tblW w:w="8496" w:type="dxa"/>
        <w:tblInd w:w="78" w:type="dxa"/>
        <w:tblLayout w:type="fixed"/>
        <w:tblCellMar>
          <w:top w:w="0" w:type="dxa"/>
          <w:left w:w="108" w:type="dxa"/>
          <w:bottom w:w="0" w:type="dxa"/>
          <w:right w:w="108" w:type="dxa"/>
        </w:tblCellMar>
      </w:tblPr>
      <w:tblGrid>
        <w:gridCol w:w="451"/>
        <w:gridCol w:w="1379"/>
        <w:gridCol w:w="900"/>
        <w:gridCol w:w="1260"/>
        <w:gridCol w:w="900"/>
        <w:gridCol w:w="900"/>
        <w:gridCol w:w="900"/>
        <w:gridCol w:w="900"/>
        <w:gridCol w:w="900"/>
        <w:gridCol w:w="6"/>
      </w:tblGrid>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序号</w:t>
            </w:r>
          </w:p>
        </w:tc>
        <w:tc>
          <w:tcPr>
            <w:tcW w:w="1379"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公司名称</w:t>
            </w:r>
          </w:p>
        </w:tc>
        <w:tc>
          <w:tcPr>
            <w:tcW w:w="4860" w:type="dxa"/>
            <w:gridSpan w:val="5"/>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注册资本金（万元）</w:t>
            </w:r>
          </w:p>
        </w:tc>
        <w:tc>
          <w:tcPr>
            <w:tcW w:w="90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考核得分</w:t>
            </w:r>
          </w:p>
        </w:tc>
        <w:tc>
          <w:tcPr>
            <w:tcW w:w="900"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考核结果</w:t>
            </w: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auto" w:sz="4"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1379"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自然人</w:t>
            </w:r>
          </w:p>
        </w:tc>
        <w:tc>
          <w:tcPr>
            <w:tcW w:w="126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民营企业</w:t>
            </w:r>
          </w:p>
        </w:tc>
        <w:tc>
          <w:tcPr>
            <w:tcW w:w="90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国有企业</w:t>
            </w:r>
          </w:p>
        </w:tc>
        <w:tc>
          <w:tcPr>
            <w:tcW w:w="90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其他</w:t>
            </w:r>
          </w:p>
        </w:tc>
        <w:tc>
          <w:tcPr>
            <w:tcW w:w="90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r>
              <w:rPr>
                <w:rFonts w:hint="eastAsia" w:ascii="仿宋_GB2312" w:hAnsi="仿宋_GB2312" w:eastAsia="仿宋_GB2312"/>
                <w:sz w:val="24"/>
              </w:rPr>
              <w:t>合计</w:t>
            </w:r>
          </w:p>
        </w:tc>
        <w:tc>
          <w:tcPr>
            <w:tcW w:w="900" w:type="dxa"/>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auto" w:sz="4"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126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126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126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126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c>
          <w:tcPr>
            <w:tcW w:w="900" w:type="dxa"/>
            <w:tcBorders>
              <w:top w:val="single" w:color="000000" w:sz="6"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26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000000" w:sz="6"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gridAfter w:val="1"/>
          <w:wAfter w:w="6" w:type="dxa"/>
          <w:trHeight w:val="720" w:hRule="atLeast"/>
        </w:trPr>
        <w:tc>
          <w:tcPr>
            <w:tcW w:w="451" w:type="dxa"/>
            <w:tcBorders>
              <w:top w:val="single" w:color="000000" w:sz="6" w:space="0"/>
              <w:left w:val="single" w:color="auto" w:sz="4"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379"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126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c>
          <w:tcPr>
            <w:tcW w:w="900" w:type="dxa"/>
            <w:tcBorders>
              <w:top w:val="single" w:color="000000" w:sz="6" w:space="0"/>
              <w:left w:val="single" w:color="000000" w:sz="6"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宋体" w:hAnsi="宋体"/>
                <w:sz w:val="24"/>
              </w:rPr>
            </w:pPr>
          </w:p>
        </w:tc>
      </w:tr>
      <w:tr>
        <w:tblPrEx>
          <w:tblLayout w:type="fixed"/>
          <w:tblCellMar>
            <w:top w:w="0" w:type="dxa"/>
            <w:left w:w="108" w:type="dxa"/>
            <w:bottom w:w="0" w:type="dxa"/>
            <w:right w:w="108" w:type="dxa"/>
          </w:tblCellMar>
        </w:tblPrEx>
        <w:trPr>
          <w:trHeight w:val="1464" w:hRule="atLeast"/>
        </w:trPr>
        <w:tc>
          <w:tcPr>
            <w:tcW w:w="8496" w:type="dxa"/>
            <w:gridSpan w:val="10"/>
            <w:tcBorders>
              <w:top w:val="single" w:color="auto" w:sz="4"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val="0"/>
              <w:autoSpaceDN w:val="0"/>
              <w:bidi w:val="0"/>
              <w:adjustRightInd/>
              <w:snapToGrid/>
              <w:textAlignment w:val="auto"/>
              <w:outlineLvl w:val="9"/>
              <w:rPr>
                <w:rFonts w:hint="eastAsia" w:ascii="仿宋_GB2312" w:hAnsi="仿宋_GB2312" w:eastAsia="仿宋_GB2312"/>
                <w:b/>
                <w:sz w:val="24"/>
              </w:rPr>
            </w:pPr>
            <w:r>
              <w:rPr>
                <w:rFonts w:hint="eastAsia" w:ascii="仿宋_GB2312" w:hAnsi="仿宋_GB2312" w:eastAsia="仿宋_GB2312"/>
                <w:b/>
                <w:sz w:val="24"/>
              </w:rPr>
              <w:t xml:space="preserve"> 备注</w:t>
            </w:r>
            <w:r>
              <w:rPr>
                <w:rFonts w:hint="eastAsia" w:ascii="仿宋_GB2312" w:hAnsi="仿宋_GB2312" w:eastAsia="仿宋_GB2312"/>
                <w:sz w:val="24"/>
              </w:rPr>
              <w:t>：1、此表由县市区监管部门填报、以县市（园区）为单位统一装订；2、“注册资本金”栏为各类型经济在小贷公司所出资的金额；3、按得分由高到低排序；</w:t>
            </w:r>
            <w:r>
              <w:rPr>
                <w:rFonts w:eastAsia="Times New Roman"/>
                <w:sz w:val="24"/>
              </w:rPr>
              <w:t>4</w:t>
            </w:r>
            <w:r>
              <w:rPr>
                <w:rFonts w:hint="eastAsia" w:ascii="仿宋_GB2312" w:hAnsi="仿宋_GB2312" w:eastAsia="仿宋_GB2312"/>
                <w:sz w:val="24"/>
              </w:rPr>
              <w:t>、横向排版。</w:t>
            </w:r>
          </w:p>
        </w:tc>
      </w:tr>
    </w:tbl>
    <w:p>
      <w:pPr>
        <w:keepNext w:val="0"/>
        <w:keepLines w:val="0"/>
        <w:pageBreakBefore w:val="0"/>
        <w:widowControl w:val="0"/>
        <w:kinsoku/>
        <w:wordWrap/>
        <w:overflowPunct/>
        <w:topLinePunct w:val="0"/>
        <w:bidi w:val="0"/>
        <w:adjustRightInd/>
        <w:snapToGrid/>
        <w:textAlignment w:val="auto"/>
        <w:outlineLvl w:val="9"/>
        <w:rPr>
          <w:rFonts w:hint="eastAsia" w:ascii="黑体" w:hAnsi="仿宋" w:eastAsia="黑体" w:cs="宋体"/>
          <w:kern w:val="0"/>
          <w:sz w:val="32"/>
          <w:szCs w:val="32"/>
        </w:rPr>
      </w:pPr>
      <w:r>
        <w:rPr>
          <w:rFonts w:hint="eastAsia" w:ascii="仿宋_GB2312" w:hAnsi="宋体" w:eastAsia="仿宋_GB2312" w:cs="宋体"/>
          <w:kern w:val="0"/>
          <w:sz w:val="24"/>
          <w:szCs w:val="21"/>
        </w:rPr>
        <w:t xml:space="preserve">       </w:t>
      </w:r>
    </w:p>
    <w:p>
      <w:pPr>
        <w:keepNext w:val="0"/>
        <w:keepLines w:val="0"/>
        <w:pageBreakBefore w:val="0"/>
        <w:widowControl w:val="0"/>
        <w:kinsoku/>
        <w:wordWrap/>
        <w:overflowPunct/>
        <w:topLinePunct w:val="0"/>
        <w:bidi w:val="0"/>
        <w:adjustRightInd/>
        <w:snapToGrid/>
        <w:textAlignment w:val="auto"/>
        <w:outlineLvl w:val="9"/>
        <w:rPr>
          <w:rFonts w:hint="eastAsia" w:ascii="仿宋" w:hAnsi="仿宋" w:eastAsia="仿宋"/>
          <w:sz w:val="32"/>
          <w:szCs w:val="32"/>
        </w:rPr>
      </w:pPr>
      <w:bookmarkStart w:id="0" w:name="_GoBack"/>
      <w:bookmarkEnd w:id="0"/>
    </w:p>
    <w:p>
      <w:pPr>
        <w:keepNext w:val="0"/>
        <w:keepLines w:val="0"/>
        <w:pageBreakBefore w:val="0"/>
        <w:widowControl w:val="0"/>
        <w:kinsoku/>
        <w:wordWrap/>
        <w:overflowPunct/>
        <w:topLinePunct w:val="0"/>
        <w:bidi w:val="0"/>
        <w:adjustRightInd/>
        <w:snapToGrid/>
        <w:textAlignment w:val="auto"/>
        <w:outlineLvl w:val="9"/>
        <w:rPr>
          <w:rFonts w:hint="eastAsia" w:ascii="仿宋" w:hAnsi="仿宋" w:eastAsia="仿宋"/>
          <w:sz w:val="32"/>
          <w:szCs w:val="32"/>
        </w:rPr>
      </w:pPr>
    </w:p>
    <w:p>
      <w:pPr>
        <w:keepNext w:val="0"/>
        <w:keepLines w:val="0"/>
        <w:pageBreakBefore w:val="0"/>
        <w:widowControl w:val="0"/>
        <w:kinsoku/>
        <w:wordWrap/>
        <w:overflowPunct/>
        <w:topLinePunct w:val="0"/>
        <w:bidi w:val="0"/>
        <w:adjustRightInd/>
        <w:snapToGrid/>
        <w:textAlignment w:val="auto"/>
        <w:outlineLvl w:val="9"/>
        <w:rPr>
          <w:rFonts w:hint="eastAsia" w:ascii="仿宋" w:hAnsi="仿宋" w:eastAsia="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D57A0"/>
    <w:multiLevelType w:val="multilevel"/>
    <w:tmpl w:val="24ED57A0"/>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8BE8860"/>
    <w:multiLevelType w:val="singleLevel"/>
    <w:tmpl w:val="58BE8860"/>
    <w:lvl w:ilvl="0" w:tentative="0">
      <w:start w:val="14"/>
      <w:numFmt w:val="chineseCounting"/>
      <w:suff w:val="space"/>
      <w:lvlText w:val="第%1条"/>
      <w:lvlJc w:val="left"/>
    </w:lvl>
  </w:abstractNum>
  <w:abstractNum w:abstractNumId="2">
    <w:nsid w:val="626D3993"/>
    <w:multiLevelType w:val="multilevel"/>
    <w:tmpl w:val="626D399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C617E"/>
    <w:rsid w:val="076C61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2017-07-27T10:36:00Z</dcterms:created>
  <dc:creator>Administrator</dc:creator>
  <cp:lastModifiedBy>Administrator</cp:lastModifiedBy>
  <dcterms:modified xsi:type="dcterms:W3CDTF">2017-07-27T10:38:22Z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