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昌吉州政协2022年部门预算公开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昌吉州政协概况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2022年昌吉州政协预算公开表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一、昌吉州政协收支总体情况表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二、昌吉州政协收入总体情况表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三、昌吉州政协支出总体情况表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2022昌吉州政协预算情况说明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一、关于昌吉州政协2022年收支预算情况的总体说明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二、关于昌吉州政协2022年收入预算情况说明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三、关于昌吉州政协2022年支出预算情况说明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rPr>
        <w:t>昌吉州政协2022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昌吉州政协2022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昌吉州政协2022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昌吉州政协2022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八、关于昌吉州政协2022年一般公共预算“三公”经费预算情况说明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九、关于昌吉州政协2022年政府性基金预算拨款情况说明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昌吉州政协概况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60" w:lineRule="exact"/>
        <w:jc w:val="left"/>
        <w:rPr>
          <w:rFonts w:ascii="仿宋" w:hAnsi="仿宋" w:eastAsia="仿宋"/>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宋体" w:eastAsia="仿宋_GB2312" w:cs="宋体"/>
          <w:kern w:val="0"/>
          <w:sz w:val="32"/>
          <w:szCs w:val="32"/>
        </w:rPr>
        <w:t>人民政协的主要职能是政治协商、民主监督、参政议政。这三项主要职能是各党派团体、各族各界人士在中国政治体制中参与国是、发挥作用的重要内容和基本形式，体现了人民政协的性质和特点，是人民政协区别于其他政治组织的重要标志。</w:t>
      </w:r>
      <w:r>
        <w:rPr>
          <w:rFonts w:hint="eastAsia" w:ascii="仿宋" w:hAnsi="仿宋" w:eastAsia="仿宋"/>
          <w:sz w:val="32"/>
          <w:szCs w:val="32"/>
        </w:rPr>
        <w:t xml:space="preserve"> </w:t>
      </w:r>
    </w:p>
    <w:p>
      <w:pPr>
        <w:spacing w:line="560" w:lineRule="exact"/>
        <w:rPr>
          <w:rFonts w:ascii="仿宋_GB2312" w:hAnsi="宋体" w:eastAsia="仿宋_GB2312" w:cs="宋体"/>
          <w:kern w:val="0"/>
          <w:sz w:val="32"/>
          <w:szCs w:val="32"/>
        </w:rPr>
      </w:pPr>
      <w:r>
        <w:rPr>
          <w:rFonts w:hint="eastAsia" w:ascii="仿宋" w:hAnsi="仿宋" w:eastAsia="仿宋"/>
          <w:sz w:val="32"/>
          <w:szCs w:val="32"/>
        </w:rPr>
        <w:t>　　</w:t>
      </w:r>
      <w:r>
        <w:rPr>
          <w:rFonts w:hint="eastAsia" w:ascii="仿宋" w:hAnsi="仿宋" w:eastAsia="仿宋"/>
          <w:b/>
          <w:sz w:val="32"/>
          <w:szCs w:val="32"/>
        </w:rPr>
        <w:t>政治协商</w:t>
      </w:r>
      <w:r>
        <w:rPr>
          <w:rFonts w:hint="eastAsia" w:ascii="仿宋" w:hAnsi="仿宋" w:eastAsia="仿宋"/>
          <w:sz w:val="32"/>
          <w:szCs w:val="32"/>
        </w:rPr>
        <w:t xml:space="preserve"> </w:t>
      </w:r>
      <w:r>
        <w:rPr>
          <w:rFonts w:hint="eastAsia" w:ascii="仿宋_GB2312" w:hAnsi="宋体" w:eastAsia="仿宋_GB2312" w:cs="宋体"/>
          <w:kern w:val="0"/>
          <w:sz w:val="32"/>
          <w:szCs w:val="32"/>
        </w:rPr>
        <w:t xml:space="preserve">是对国家和地方的大政方针以及政治、经济、文化和社会生活中的重要问题在决策之前进行协商和就决策执行过程中的重要问题进行协商。 </w:t>
      </w:r>
    </w:p>
    <w:p>
      <w:pPr>
        <w:spacing w:line="560" w:lineRule="exact"/>
        <w:rPr>
          <w:rFonts w:ascii="仿宋_GB2312" w:hAnsi="宋体" w:eastAsia="仿宋_GB2312" w:cs="宋体"/>
          <w:kern w:val="0"/>
          <w:sz w:val="32"/>
          <w:szCs w:val="32"/>
        </w:rPr>
      </w:pPr>
      <w:r>
        <w:rPr>
          <w:rFonts w:hint="eastAsia" w:ascii="仿宋" w:hAnsi="仿宋" w:eastAsia="仿宋"/>
          <w:sz w:val="32"/>
          <w:szCs w:val="32"/>
        </w:rPr>
        <w:t>　　</w:t>
      </w:r>
      <w:r>
        <w:rPr>
          <w:rFonts w:hint="eastAsia" w:ascii="仿宋" w:hAnsi="仿宋" w:eastAsia="仿宋"/>
          <w:b/>
          <w:sz w:val="32"/>
          <w:szCs w:val="32"/>
        </w:rPr>
        <w:t>民主监督</w:t>
      </w:r>
      <w:r>
        <w:rPr>
          <w:rFonts w:hint="eastAsia" w:ascii="仿宋" w:hAnsi="仿宋" w:eastAsia="仿宋"/>
          <w:sz w:val="32"/>
          <w:szCs w:val="32"/>
        </w:rPr>
        <w:t xml:space="preserve"> </w:t>
      </w:r>
      <w:r>
        <w:rPr>
          <w:rFonts w:hint="eastAsia" w:ascii="仿宋_GB2312" w:hAnsi="宋体" w:eastAsia="仿宋_GB2312" w:cs="宋体"/>
          <w:kern w:val="0"/>
          <w:sz w:val="32"/>
          <w:szCs w:val="32"/>
        </w:rPr>
        <w:t xml:space="preserve">是对国家宪法、法律和法规的实施，重大方针政策的贯彻执行、国家机关及其工作人员的工作，通过建议和批评进行监督。 </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仿宋" w:hAnsi="仿宋" w:eastAsia="仿宋"/>
          <w:b/>
          <w:sz w:val="32"/>
          <w:szCs w:val="32"/>
        </w:rPr>
        <w:t>参政议政</w:t>
      </w:r>
      <w:r>
        <w:rPr>
          <w:rFonts w:hint="eastAsia" w:ascii="仿宋" w:hAnsi="仿宋" w:eastAsia="仿宋"/>
          <w:sz w:val="32"/>
          <w:szCs w:val="32"/>
        </w:rPr>
        <w:t xml:space="preserve"> </w:t>
      </w:r>
      <w:r>
        <w:rPr>
          <w:rFonts w:hint="eastAsia" w:ascii="仿宋_GB2312" w:hAnsi="宋体" w:eastAsia="仿宋_GB2312" w:cs="宋体"/>
          <w:kern w:val="0"/>
          <w:sz w:val="32"/>
          <w:szCs w:val="32"/>
        </w:rPr>
        <w:t>是对政治、经济、文化和社会生活中的重要问题以及人民群众普遍关心的问题，开展调查研究，反映社情民意，进行协商讨论。通过调研报告、提案、建议案或其他形式，向中国共产党和国家机关提出意见和建议。</w:t>
      </w:r>
    </w:p>
    <w:p>
      <w:pPr>
        <w:widowControl/>
        <w:spacing w:line="540" w:lineRule="exact"/>
        <w:jc w:val="left"/>
        <w:rPr>
          <w:rFonts w:ascii="楷体_GB2312" w:hAnsi="楷体_GB2312" w:eastAsia="楷体_GB2312" w:cs="楷体_GB2312"/>
          <w:b/>
          <w:bCs/>
          <w:kern w:val="0"/>
          <w:sz w:val="32"/>
          <w:szCs w:val="32"/>
        </w:rPr>
      </w:pPr>
      <w:r>
        <w:rPr>
          <w:rFonts w:hint="eastAsia" w:ascii="仿宋_GB2312" w:hAnsi="宋体" w:eastAsia="仿宋_GB2312" w:cs="宋体"/>
          <w:bCs/>
          <w:kern w:val="0"/>
          <w:sz w:val="32"/>
          <w:szCs w:val="32"/>
        </w:rPr>
        <w:t xml:space="preserve">    </w:t>
      </w:r>
      <w:r>
        <w:rPr>
          <w:rFonts w:hint="eastAsia" w:ascii="楷体_GB2312" w:hAnsi="楷体_GB2312" w:eastAsia="楷体_GB2312" w:cs="楷体_GB2312"/>
          <w:b/>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政协机关无下属预算单位，内设机构为办公室和五个专门委员会。办公室下设：综合秘书科、行政管理科、人事老干科、联络接待处、财务科、文史编辑科、委员服务中心。五个专门委员会分别是：经济委员会、提案法制委员会、民族宗教侨务委员会、教科卫体委员会、文化文史学习和民主党派社团委员会。专门委员会内设工作一、二、三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昌吉政协机关编制数41人，实有人数98人，其中：在职41人；退休56人，增加1人；离休1人</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1人</w:t>
      </w:r>
      <w:r>
        <w:rPr>
          <w:rFonts w:hint="eastAsia" w:ascii="仿宋_GB2312" w:hAnsi="宋体" w:eastAsia="仿宋_GB2312" w:cs="宋体"/>
          <w:kern w:val="0"/>
          <w:sz w:val="32"/>
          <w:szCs w:val="32"/>
        </w:rPr>
        <w:t>。</w:t>
      </w: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编制部门（单位）：中国人民政治协商会议新疆昌吉回族自治州委员会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1134.32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917.52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1134.32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97.11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38"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56.83</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62.86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p>
        </w:tc>
      </w:tr>
      <w:tr>
        <w:tblPrEx>
          <w:tblLayout w:type="fixed"/>
          <w:tblCellMar>
            <w:top w:w="0" w:type="dxa"/>
            <w:left w:w="108" w:type="dxa"/>
            <w:bottom w:w="0" w:type="dxa"/>
            <w:right w:w="108" w:type="dxa"/>
          </w:tblCellMar>
        </w:tblPrEx>
        <w:trPr>
          <w:trHeight w:val="510"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b/>
                <w:bCs/>
                <w:kern w:val="0"/>
                <w:sz w:val="18"/>
                <w:szCs w:val="18"/>
              </w:rPr>
              <w:t>1134.32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1134.32　</w:t>
            </w:r>
          </w:p>
        </w:tc>
      </w:tr>
    </w:tbl>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编制部门（单位）：中国人民政治协商会议新疆昌吉回族自治州委员会  单位：万元</w:t>
      </w:r>
    </w:p>
    <w:tbl>
      <w:tblPr>
        <w:tblStyle w:val="6"/>
        <w:tblW w:w="9741" w:type="dxa"/>
        <w:tblInd w:w="-450" w:type="dxa"/>
        <w:tblLayout w:type="fixed"/>
        <w:tblCellMar>
          <w:top w:w="0" w:type="dxa"/>
          <w:left w:w="108" w:type="dxa"/>
          <w:bottom w:w="0" w:type="dxa"/>
          <w:right w:w="108" w:type="dxa"/>
        </w:tblCellMar>
      </w:tblPr>
      <w:tblGrid>
        <w:gridCol w:w="534"/>
        <w:gridCol w:w="447"/>
        <w:gridCol w:w="464"/>
        <w:gridCol w:w="1951"/>
        <w:gridCol w:w="1018"/>
        <w:gridCol w:w="1085"/>
        <w:gridCol w:w="474"/>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44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5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08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7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Layout w:type="fixed"/>
          <w:tblCellMar>
            <w:top w:w="0" w:type="dxa"/>
            <w:left w:w="108" w:type="dxa"/>
            <w:bottom w:w="0" w:type="dxa"/>
            <w:right w:w="108" w:type="dxa"/>
          </w:tblCellMar>
        </w:tblPrEx>
        <w:trPr>
          <w:trHeight w:val="1870"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4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64"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5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8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7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201</w:t>
            </w:r>
          </w:p>
        </w:tc>
        <w:tc>
          <w:tcPr>
            <w:tcW w:w="44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9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一般公共服务支出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917.52</w:t>
            </w:r>
          </w:p>
        </w:tc>
        <w:tc>
          <w:tcPr>
            <w:tcW w:w="108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917.52</w:t>
            </w:r>
          </w:p>
        </w:tc>
        <w:tc>
          <w:tcPr>
            <w:tcW w:w="47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201</w:t>
            </w:r>
          </w:p>
        </w:tc>
        <w:tc>
          <w:tcPr>
            <w:tcW w:w="44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02</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政协事务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917.52</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917.52</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201</w:t>
            </w:r>
          </w:p>
        </w:tc>
        <w:tc>
          <w:tcPr>
            <w:tcW w:w="44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02</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649.52</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649.52</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4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color w:val="000000"/>
                <w:sz w:val="20"/>
                <w:szCs w:val="20"/>
              </w:rPr>
              <w:t>一般行政管理事务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215.00</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215.00</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58"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201</w:t>
            </w:r>
          </w:p>
        </w:tc>
        <w:tc>
          <w:tcPr>
            <w:tcW w:w="44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02</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50</w:t>
            </w: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事业运行</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53.00</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53.00</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4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社会保障和就业支出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97.11</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97.11</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4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97.11</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97.11</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4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05</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行政单位离退休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25.11</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25.11</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4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05</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05</w:t>
            </w: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72.00</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72.00</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40"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56.83</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b/>
                <w:bCs/>
                <w:color w:val="000000"/>
                <w:kern w:val="0"/>
                <w:sz w:val="22"/>
                <w:szCs w:val="22"/>
              </w:rPr>
              <w:t>56.83</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76"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56.83</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56.83</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37.78</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37.78</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12"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02</w:t>
            </w: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4.97</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4.97</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03</w:t>
            </w: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13.50</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13.50</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99</w:t>
            </w: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0.58</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0.58</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4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住房保障支出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62.86</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62.86</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4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住房改革支出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62.86</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62.86</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4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62.86</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62.86</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910"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1134.32</w:t>
            </w:r>
          </w:p>
        </w:tc>
        <w:tc>
          <w:tcPr>
            <w:tcW w:w="10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1134.32</w:t>
            </w:r>
          </w:p>
        </w:tc>
        <w:tc>
          <w:tcPr>
            <w:tcW w:w="4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编制部门（单位）：中国人民政治协商会议新疆昌吉回族自治州委员会  单位：万元</w:t>
      </w:r>
    </w:p>
    <w:tbl>
      <w:tblPr>
        <w:tblStyle w:val="6"/>
        <w:tblW w:w="9420" w:type="dxa"/>
        <w:tblInd w:w="-240" w:type="dxa"/>
        <w:tblLayout w:type="fixed"/>
        <w:tblCellMar>
          <w:top w:w="0" w:type="dxa"/>
          <w:left w:w="108" w:type="dxa"/>
          <w:bottom w:w="0" w:type="dxa"/>
          <w:right w:w="108" w:type="dxa"/>
        </w:tblCellMar>
      </w:tblPr>
      <w:tblGrid>
        <w:gridCol w:w="521"/>
        <w:gridCol w:w="446"/>
        <w:gridCol w:w="572"/>
        <w:gridCol w:w="2482"/>
        <w:gridCol w:w="1639"/>
        <w:gridCol w:w="1856"/>
        <w:gridCol w:w="1904"/>
      </w:tblGrid>
      <w:tr>
        <w:tblPrEx>
          <w:tblLayout w:type="fixed"/>
          <w:tblCellMar>
            <w:top w:w="0" w:type="dxa"/>
            <w:left w:w="108" w:type="dxa"/>
            <w:bottom w:w="0" w:type="dxa"/>
            <w:right w:w="108" w:type="dxa"/>
          </w:tblCellMar>
        </w:tblPrEx>
        <w:trPr>
          <w:trHeight w:val="345" w:hRule="atLeast"/>
        </w:trPr>
        <w:tc>
          <w:tcPr>
            <w:tcW w:w="4021"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399"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539"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8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63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8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63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90" w:hRule="atLeast"/>
        </w:trPr>
        <w:tc>
          <w:tcPr>
            <w:tcW w:w="52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4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4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一般公共服务支出</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917.52</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917.52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90" w:hRule="atLeast"/>
        </w:trPr>
        <w:tc>
          <w:tcPr>
            <w:tcW w:w="52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4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4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政协事务</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917.52</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917.52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90" w:hRule="atLeast"/>
        </w:trPr>
        <w:tc>
          <w:tcPr>
            <w:tcW w:w="52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201</w:t>
            </w:r>
          </w:p>
        </w:tc>
        <w:tc>
          <w:tcPr>
            <w:tcW w:w="44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02</w:t>
            </w:r>
          </w:p>
        </w:tc>
        <w:tc>
          <w:tcPr>
            <w:tcW w:w="5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01</w:t>
            </w:r>
          </w:p>
        </w:tc>
        <w:tc>
          <w:tcPr>
            <w:tcW w:w="248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行政运行</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649.52</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649.52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201</w:t>
            </w:r>
          </w:p>
        </w:tc>
        <w:tc>
          <w:tcPr>
            <w:tcW w:w="44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02</w:t>
            </w:r>
          </w:p>
        </w:tc>
        <w:tc>
          <w:tcPr>
            <w:tcW w:w="5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02</w:t>
            </w:r>
          </w:p>
        </w:tc>
        <w:tc>
          <w:tcPr>
            <w:tcW w:w="248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一般行政管理事务</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215.00</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215.00</w:t>
            </w: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201</w:t>
            </w:r>
          </w:p>
        </w:tc>
        <w:tc>
          <w:tcPr>
            <w:tcW w:w="44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02</w:t>
            </w:r>
          </w:p>
        </w:tc>
        <w:tc>
          <w:tcPr>
            <w:tcW w:w="5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50</w:t>
            </w:r>
          </w:p>
        </w:tc>
        <w:tc>
          <w:tcPr>
            <w:tcW w:w="248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事业运行</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53.00</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53.00</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4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4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97.11</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97.11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4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4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97.11</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97.11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208</w:t>
            </w:r>
          </w:p>
        </w:tc>
        <w:tc>
          <w:tcPr>
            <w:tcW w:w="44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05</w:t>
            </w:r>
          </w:p>
        </w:tc>
        <w:tc>
          <w:tcPr>
            <w:tcW w:w="5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01</w:t>
            </w:r>
          </w:p>
        </w:tc>
        <w:tc>
          <w:tcPr>
            <w:tcW w:w="248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行政单位离退休</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25.11</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25.11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208</w:t>
            </w:r>
          </w:p>
        </w:tc>
        <w:tc>
          <w:tcPr>
            <w:tcW w:w="44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05</w:t>
            </w:r>
          </w:p>
        </w:tc>
        <w:tc>
          <w:tcPr>
            <w:tcW w:w="5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05</w:t>
            </w:r>
          </w:p>
        </w:tc>
        <w:tc>
          <w:tcPr>
            <w:tcW w:w="248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机关事业单位基本养老保险缴费支出</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72.00</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72.00</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4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4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56.83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56.83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4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4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56.83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56.83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210</w:t>
            </w:r>
          </w:p>
        </w:tc>
        <w:tc>
          <w:tcPr>
            <w:tcW w:w="44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11</w:t>
            </w:r>
          </w:p>
        </w:tc>
        <w:tc>
          <w:tcPr>
            <w:tcW w:w="5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01</w:t>
            </w:r>
          </w:p>
        </w:tc>
        <w:tc>
          <w:tcPr>
            <w:tcW w:w="248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行政单位医疗</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37.78</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37.78</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210</w:t>
            </w:r>
          </w:p>
        </w:tc>
        <w:tc>
          <w:tcPr>
            <w:tcW w:w="44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11</w:t>
            </w:r>
          </w:p>
        </w:tc>
        <w:tc>
          <w:tcPr>
            <w:tcW w:w="5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02</w:t>
            </w:r>
          </w:p>
        </w:tc>
        <w:tc>
          <w:tcPr>
            <w:tcW w:w="248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事业单位医疗</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4.97</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4.97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210</w:t>
            </w:r>
          </w:p>
        </w:tc>
        <w:tc>
          <w:tcPr>
            <w:tcW w:w="44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11</w:t>
            </w:r>
          </w:p>
        </w:tc>
        <w:tc>
          <w:tcPr>
            <w:tcW w:w="5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03</w:t>
            </w:r>
          </w:p>
        </w:tc>
        <w:tc>
          <w:tcPr>
            <w:tcW w:w="248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公务员医疗补助</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13.50</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13.50</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210</w:t>
            </w:r>
          </w:p>
        </w:tc>
        <w:tc>
          <w:tcPr>
            <w:tcW w:w="44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11</w:t>
            </w:r>
          </w:p>
        </w:tc>
        <w:tc>
          <w:tcPr>
            <w:tcW w:w="5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99</w:t>
            </w:r>
          </w:p>
        </w:tc>
        <w:tc>
          <w:tcPr>
            <w:tcW w:w="248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其他行政事业单位医疗支出</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0.58</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0.58</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4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4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住房保障支出</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62.86</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62.86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4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4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住房改改革支出</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62.86</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62.86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221</w:t>
            </w:r>
          </w:p>
        </w:tc>
        <w:tc>
          <w:tcPr>
            <w:tcW w:w="44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02</w:t>
            </w:r>
          </w:p>
        </w:tc>
        <w:tc>
          <w:tcPr>
            <w:tcW w:w="5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01</w:t>
            </w:r>
          </w:p>
        </w:tc>
        <w:tc>
          <w:tcPr>
            <w:tcW w:w="248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住房公积金</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62.86</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62.86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vAlign w:val="center"/>
          </w:tcPr>
          <w:p>
            <w:pPr>
              <w:jc w:val="center"/>
            </w:pPr>
          </w:p>
        </w:tc>
        <w:tc>
          <w:tcPr>
            <w:tcW w:w="446" w:type="dxa"/>
            <w:tcBorders>
              <w:top w:val="nil"/>
              <w:left w:val="nil"/>
              <w:bottom w:val="single" w:color="auto" w:sz="4" w:space="0"/>
              <w:right w:val="single" w:color="auto" w:sz="4" w:space="0"/>
            </w:tcBorders>
            <w:vAlign w:val="center"/>
          </w:tcPr>
          <w:p>
            <w:pPr>
              <w:jc w:val="center"/>
            </w:pPr>
          </w:p>
        </w:tc>
        <w:tc>
          <w:tcPr>
            <w:tcW w:w="572" w:type="dxa"/>
            <w:tcBorders>
              <w:top w:val="nil"/>
              <w:left w:val="nil"/>
              <w:bottom w:val="single" w:color="auto" w:sz="4" w:space="0"/>
              <w:right w:val="single" w:color="auto" w:sz="4" w:space="0"/>
            </w:tcBorders>
            <w:vAlign w:val="center"/>
          </w:tcPr>
          <w:p>
            <w:pPr>
              <w:jc w:val="center"/>
            </w:pPr>
          </w:p>
        </w:tc>
        <w:tc>
          <w:tcPr>
            <w:tcW w:w="2482" w:type="dxa"/>
            <w:tcBorders>
              <w:top w:val="nil"/>
              <w:left w:val="nil"/>
              <w:bottom w:val="single" w:color="auto" w:sz="4" w:space="0"/>
              <w:right w:val="single" w:color="auto" w:sz="4" w:space="0"/>
            </w:tcBorders>
            <w:vAlign w:val="center"/>
          </w:tcPr>
          <w:p>
            <w:pPr>
              <w:jc w:val="center"/>
            </w:pP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900"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4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72"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63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1134.32</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919.32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215.00</w:t>
            </w:r>
          </w:p>
        </w:tc>
      </w:tr>
    </w:tbl>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 xml:space="preserve">中国人民政治协商会议新疆昌吉回族自治州委员会 </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1049"/>
        <w:gridCol w:w="2445"/>
        <w:gridCol w:w="900"/>
        <w:gridCol w:w="851"/>
        <w:gridCol w:w="1134"/>
        <w:gridCol w:w="1134"/>
      </w:tblGrid>
      <w:tr>
        <w:tblPrEx>
          <w:tblLayout w:type="fixed"/>
          <w:tblCellMar>
            <w:top w:w="0" w:type="dxa"/>
            <w:left w:w="108" w:type="dxa"/>
            <w:bottom w:w="0" w:type="dxa"/>
            <w:right w:w="108" w:type="dxa"/>
          </w:tblCellMar>
        </w:tblPrEx>
        <w:trPr>
          <w:trHeight w:val="285" w:hRule="atLeast"/>
        </w:trPr>
        <w:tc>
          <w:tcPr>
            <w:tcW w:w="2985"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64"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49"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445"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04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1134.322</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b/>
                <w:bCs/>
                <w:kern w:val="0"/>
                <w:sz w:val="18"/>
                <w:szCs w:val="18"/>
              </w:rPr>
              <w:t>917.52</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r>
              <w:rPr>
                <w:rFonts w:hint="eastAsia" w:ascii="宋体" w:hAnsi="宋体" w:cs="宋体"/>
                <w:b/>
                <w:bCs/>
                <w:kern w:val="0"/>
                <w:sz w:val="18"/>
                <w:szCs w:val="18"/>
              </w:rPr>
              <w:t>917.52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4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1134.32</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4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04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b/>
                <w:bCs/>
                <w:kern w:val="0"/>
                <w:sz w:val="18"/>
                <w:szCs w:val="18"/>
              </w:rPr>
              <w:t>97.11</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r>
              <w:rPr>
                <w:rFonts w:hint="eastAsia" w:ascii="宋体" w:hAnsi="宋体" w:cs="宋体"/>
                <w:b/>
                <w:bCs/>
                <w:kern w:val="0"/>
                <w:sz w:val="18"/>
                <w:szCs w:val="18"/>
              </w:rPr>
              <w:t>97.11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b/>
                <w:bCs/>
                <w:kern w:val="0"/>
                <w:sz w:val="18"/>
                <w:szCs w:val="18"/>
              </w:rPr>
              <w:t>56.83</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r>
              <w:rPr>
                <w:rFonts w:hint="eastAsia" w:ascii="宋体" w:hAnsi="宋体" w:cs="宋体"/>
                <w:b/>
                <w:bCs/>
                <w:kern w:val="0"/>
                <w:sz w:val="18"/>
                <w:szCs w:val="18"/>
              </w:rPr>
              <w:t>56.83</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b/>
                <w:bCs/>
                <w:kern w:val="0"/>
                <w:sz w:val="18"/>
                <w:szCs w:val="18"/>
              </w:rPr>
              <w:t>62.86</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r>
              <w:rPr>
                <w:rFonts w:hint="eastAsia" w:ascii="宋体" w:hAnsi="宋体" w:cs="宋体"/>
                <w:b/>
                <w:bCs/>
                <w:kern w:val="0"/>
                <w:sz w:val="18"/>
                <w:szCs w:val="18"/>
              </w:rPr>
              <w:t>62.86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4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1049" w:type="dxa"/>
            <w:tcBorders>
              <w:top w:val="nil"/>
              <w:left w:val="nil"/>
              <w:bottom w:val="single" w:color="auto" w:sz="4" w:space="0"/>
              <w:right w:val="single" w:color="auto" w:sz="4" w:space="0"/>
            </w:tcBorders>
            <w:vAlign w:val="center"/>
          </w:tcPr>
          <w:p>
            <w:pPr>
              <w:jc w:val="right"/>
            </w:pPr>
          </w:p>
        </w:tc>
        <w:tc>
          <w:tcPr>
            <w:tcW w:w="2445"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1049" w:type="dxa"/>
            <w:tcBorders>
              <w:top w:val="nil"/>
              <w:left w:val="nil"/>
              <w:bottom w:val="single" w:color="auto" w:sz="4" w:space="0"/>
              <w:right w:val="single" w:color="auto" w:sz="4" w:space="0"/>
            </w:tcBorders>
            <w:vAlign w:val="center"/>
          </w:tcPr>
          <w:p>
            <w:pPr>
              <w:jc w:val="right"/>
            </w:pPr>
          </w:p>
        </w:tc>
        <w:tc>
          <w:tcPr>
            <w:tcW w:w="2445"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447"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4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b/>
                <w:bCs/>
                <w:color w:val="000000"/>
                <w:kern w:val="0"/>
                <w:sz w:val="22"/>
                <w:szCs w:val="22"/>
              </w:rPr>
              <w:t>1134.32</w:t>
            </w:r>
            <w:r>
              <w:rPr>
                <w:rFonts w:hint="eastAsia" w:ascii="仿宋_GB2312" w:hAnsi="宋体" w:eastAsia="仿宋_GB2312" w:cs="宋体"/>
                <w:color w:val="000000"/>
                <w:kern w:val="0"/>
                <w:sz w:val="22"/>
                <w:szCs w:val="22"/>
              </w:rPr>
              <w:t>　</w:t>
            </w:r>
          </w:p>
        </w:tc>
        <w:tc>
          <w:tcPr>
            <w:tcW w:w="24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r>
              <w:rPr>
                <w:rFonts w:hint="eastAsia" w:ascii="宋体" w:hAnsi="宋体" w:cs="宋体"/>
                <w:b/>
                <w:bCs/>
                <w:kern w:val="0"/>
                <w:sz w:val="18"/>
                <w:szCs w:val="18"/>
              </w:rPr>
              <w:t>1134.32</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kern w:val="0"/>
                <w:sz w:val="18"/>
                <w:szCs w:val="18"/>
              </w:rPr>
            </w:pPr>
            <w:r>
              <w:rPr>
                <w:rFonts w:hint="eastAsia" w:ascii="宋体" w:hAnsi="宋体" w:cs="宋体"/>
                <w:b/>
                <w:bCs/>
                <w:kern w:val="0"/>
                <w:sz w:val="18"/>
                <w:szCs w:val="18"/>
              </w:rPr>
              <w:t>1134.32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tblPrEx>
          <w:tblLayout w:type="fixed"/>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9214" w:type="dxa"/>
            <w:gridSpan w:val="7"/>
            <w:tcBorders>
              <w:top w:val="nil"/>
              <w:left w:val="nil"/>
              <w:bottom w:val="nil"/>
              <w:right w:val="nil"/>
            </w:tcBorders>
            <w:vAlign w:val="center"/>
          </w:tcPr>
          <w:p>
            <w:pPr>
              <w:widowControl/>
              <w:spacing w:beforeLines="50" w:line="280" w:lineRule="exact"/>
              <w:outlineLvl w:val="1"/>
              <w:rPr>
                <w:rFonts w:ascii="仿宋_GB2312" w:hAnsi="宋体" w:eastAsia="仿宋_GB2312" w:cs="宋体"/>
                <w:color w:val="000000"/>
                <w:kern w:val="0"/>
                <w:sz w:val="24"/>
              </w:rPr>
            </w:pPr>
            <w:r>
              <w:rPr>
                <w:rFonts w:hint="eastAsia" w:ascii="仿宋_GB2312" w:hAnsi="宋体" w:eastAsia="仿宋_GB2312"/>
                <w:kern w:val="0"/>
                <w:szCs w:val="21"/>
              </w:rPr>
              <w:t>编制部门（单位）：</w:t>
            </w:r>
            <w:r>
              <w:rPr>
                <w:rFonts w:hint="eastAsia" w:ascii="仿宋_GB2312" w:hAnsi="宋体" w:eastAsia="仿宋_GB2312"/>
                <w:kern w:val="0"/>
                <w:sz w:val="24"/>
              </w:rPr>
              <w:t xml:space="preserve">中国人民政治协商会议新疆昌吉回族自治州委员会 </w:t>
            </w:r>
            <w:r>
              <w:rPr>
                <w:rFonts w:hint="eastAsia" w:ascii="仿宋_GB2312" w:hAnsi="宋体" w:eastAsia="仿宋_GB2312"/>
                <w:kern w:val="0"/>
                <w:szCs w:val="21"/>
              </w:rPr>
              <w:t xml:space="preserve">     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一般公共服务支出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917.52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917.52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rPr>
              <w:t>政协事务</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917.52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917.52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rPr>
              <w:t>行政运行</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649.52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649.52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一般行政管理事务</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215.00</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215.00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50</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rPr>
              <w:t>事业运行</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53.00</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53.00</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rPr>
              <w:t>社会保障和就业支出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97.11</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97.11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rPr>
              <w:t>行政事业单位养老支出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97.11</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97.11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rPr>
              <w:t>行政单位离退休</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25.11</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25.11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rPr>
              <w:t>机关事业单位基本养老保险缴费支出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72.00</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72.00</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rPr>
              <w:t>卫生健康支出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56.83</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56.83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rPr>
              <w:t>行政事业单位医疗</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56.83</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56.83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rPr>
              <w:t>行政单位医疗</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37.78</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37.78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rPr>
              <w:t>事业单位医疗</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4.97</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4.97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rPr>
              <w:t>公务员医疗补助</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13.50</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13.50</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rPr>
              <w:t>其他行政事业单位医疗支出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0.58</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0.58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rPr>
              <w:t>住房保障支出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62.86</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62.86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rPr>
              <w:t>住房改改革支出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62.86</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62.86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rPr>
              <w:t>住房公积金</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62.86</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rPr>
              <w:t>62.86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8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0"/>
                <w:szCs w:val="20"/>
              </w:rPr>
            </w:pPr>
            <w:r>
              <w:rPr>
                <w:rFonts w:hint="eastAsia" w:ascii="宋体" w:hAnsi="宋体" w:cs="宋体"/>
                <w:b/>
                <w:bCs/>
                <w:color w:val="000000"/>
                <w:kern w:val="0"/>
                <w:sz w:val="20"/>
                <w:szCs w:val="20"/>
              </w:rPr>
              <w:t>1134.32</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0"/>
                <w:szCs w:val="20"/>
              </w:rPr>
            </w:pPr>
            <w:r>
              <w:rPr>
                <w:rFonts w:hint="eastAsia" w:ascii="宋体" w:hAnsi="宋体" w:cs="宋体"/>
                <w:b/>
                <w:bCs/>
                <w:color w:val="000000"/>
                <w:kern w:val="0"/>
                <w:sz w:val="20"/>
                <w:szCs w:val="20"/>
              </w:rPr>
              <w:t>919.32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0"/>
                <w:szCs w:val="20"/>
              </w:rPr>
            </w:pPr>
            <w:r>
              <w:rPr>
                <w:rFonts w:hint="eastAsia" w:ascii="宋体" w:hAnsi="宋体" w:cs="宋体"/>
                <w:b/>
                <w:bCs/>
                <w:color w:val="000000"/>
                <w:kern w:val="0"/>
                <w:sz w:val="20"/>
                <w:szCs w:val="20"/>
              </w:rPr>
              <w:t>215.00</w:t>
            </w:r>
          </w:p>
        </w:tc>
      </w:tr>
    </w:tbl>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1701"/>
        <w:gridCol w:w="1701"/>
        <w:gridCol w:w="1701"/>
      </w:tblGrid>
      <w:tr>
        <w:tblPrEx>
          <w:tblLayout w:type="fixed"/>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9328" w:type="dxa"/>
            <w:gridSpan w:val="6"/>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kern w:val="0"/>
                <w:szCs w:val="21"/>
              </w:rPr>
              <w:t>编制部门（单位）：</w:t>
            </w:r>
            <w:r>
              <w:rPr>
                <w:rFonts w:hint="eastAsia" w:ascii="仿宋_GB2312" w:hAnsi="宋体" w:eastAsia="仿宋_GB2312"/>
                <w:kern w:val="0"/>
                <w:sz w:val="24"/>
              </w:rPr>
              <w:t xml:space="preserve">中国人民政治协商会议新疆昌吉回族自治州委员会      </w:t>
            </w:r>
            <w:r>
              <w:rPr>
                <w:rFonts w:hint="eastAsia" w:ascii="仿宋_GB2312" w:hAnsi="宋体" w:eastAsia="仿宋_GB2312"/>
                <w:kern w:val="0"/>
                <w:szCs w:val="21"/>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 w:hAnsi="仿宋" w:eastAsia="仿宋" w:cs="宋体"/>
                <w:color w:val="000000"/>
                <w:kern w:val="0"/>
                <w:sz w:val="20"/>
                <w:szCs w:val="20"/>
              </w:rPr>
              <w:t>工资福利支出</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698.06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698.06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基本工资</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224.92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224.92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 w:hAnsi="仿宋" w:eastAsia="仿宋"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 w:hAnsi="仿宋" w:eastAsia="仿宋" w:cs="宋体"/>
                <w:color w:val="000000"/>
                <w:kern w:val="0"/>
                <w:sz w:val="20"/>
                <w:szCs w:val="20"/>
              </w:rPr>
              <w:t>津贴补贴</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189.39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189.39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奖金</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18.38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18.38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eastAsia="仿宋" w:cs="宋体"/>
                <w:color w:val="000000"/>
                <w:kern w:val="0"/>
                <w:sz w:val="20"/>
                <w:szCs w:val="20"/>
              </w:rPr>
            </w:pPr>
            <w:r>
              <w:rPr>
                <w:rFonts w:hint="eastAsia" w:ascii="仿宋" w:hAnsi="仿宋" w:eastAsia="仿宋"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绩效工资</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21.41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21.41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18"/>
                <w:szCs w:val="18"/>
              </w:rPr>
              <w:t>机关事业单位基本养老保险缴费</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72.00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72.00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职工基本医疗保险缴费</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42.75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42.75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公务员医疗补助缴费</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13.50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13.50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其他社会保障缴费</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0.79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0.79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住房公积金</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62.86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62.86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其他工资福利支出</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52.06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52.06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商品和服务支出</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121.81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121.81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办公费</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11.64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11.64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水费</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电费</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4.50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4.50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邮电费</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4.00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取暖费</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7.68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7.68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差旅费</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eastAsia="仿宋" w:cs="宋体"/>
                <w:color w:val="000000"/>
                <w:kern w:val="0"/>
                <w:sz w:val="20"/>
                <w:szCs w:val="20"/>
              </w:rPr>
            </w:pPr>
            <w:r>
              <w:rPr>
                <w:rFonts w:hint="eastAsia" w:ascii="仿宋" w:hAnsi="仿宋" w:eastAsia="仿宋"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维修(护)费</w:t>
            </w:r>
          </w:p>
        </w:tc>
        <w:tc>
          <w:tcPr>
            <w:tcW w:w="1701" w:type="dxa"/>
            <w:tcBorders>
              <w:top w:val="nil"/>
              <w:left w:val="nil"/>
              <w:bottom w:val="single" w:color="auto" w:sz="4" w:space="0"/>
              <w:right w:val="single" w:color="auto" w:sz="4" w:space="0"/>
            </w:tcBorders>
            <w:vAlign w:val="center"/>
          </w:tcPr>
          <w:p>
            <w:pPr>
              <w:widowControl/>
              <w:tabs>
                <w:tab w:val="center" w:pos="742"/>
                <w:tab w:val="right" w:pos="1605"/>
              </w:tabs>
              <w:jc w:val="left"/>
              <w:rPr>
                <w:rFonts w:ascii="宋体" w:hAnsi="宋体" w:cs="宋体"/>
                <w:color w:val="000000"/>
                <w:kern w:val="0"/>
                <w:sz w:val="20"/>
                <w:szCs w:val="20"/>
              </w:rPr>
            </w:pPr>
            <w:r>
              <w:rPr>
                <w:rFonts w:hint="eastAsia" w:ascii="宋体" w:hAnsi="宋体" w:cs="宋体"/>
                <w:color w:val="000000"/>
                <w:kern w:val="0"/>
                <w:sz w:val="20"/>
                <w:szCs w:val="20"/>
              </w:rPr>
              <w:t xml:space="preserve">          3.00      </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tabs>
                <w:tab w:val="center" w:pos="742"/>
                <w:tab w:val="right" w:pos="1605"/>
              </w:tabs>
              <w:jc w:val="left"/>
              <w:rPr>
                <w:rFonts w:ascii="宋体" w:hAnsi="宋体" w:cs="宋体"/>
                <w:color w:val="000000"/>
                <w:kern w:val="0"/>
                <w:sz w:val="20"/>
                <w:szCs w:val="20"/>
              </w:rPr>
            </w:pPr>
            <w:r>
              <w:rPr>
                <w:rFonts w:hint="eastAsia" w:ascii="宋体" w:hAnsi="宋体" w:cs="宋体"/>
                <w:color w:val="000000"/>
                <w:kern w:val="0"/>
                <w:sz w:val="20"/>
                <w:szCs w:val="20"/>
              </w:rPr>
              <w:t xml:space="preserve">          3.00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17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公务接待费</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2.64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2.64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26</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劳务费</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8.00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8.00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28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工会经费</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8.46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8.46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29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福利费</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7.62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7.62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公务车运行维护费</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46.00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46.00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其他商品和服务支出</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15.77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15.77</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对个人和家庭的补助</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99.45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99.45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离休费</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23.65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23.65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生活补助</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医疗费补助</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69.27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69.27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 w:hAnsi="仿宋" w:eastAsia="仿宋" w:cs="宋体"/>
                <w:color w:val="000000"/>
                <w:kern w:val="0"/>
                <w:sz w:val="20"/>
                <w:szCs w:val="20"/>
              </w:rPr>
              <w:t>奖励金</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919.32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797.51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121.81</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Style w:val="6"/>
        <w:tblW w:w="9540" w:type="dxa"/>
        <w:tblInd w:w="-360" w:type="dxa"/>
        <w:tblLayout w:type="fixed"/>
        <w:tblCellMar>
          <w:top w:w="0" w:type="dxa"/>
          <w:left w:w="108" w:type="dxa"/>
          <w:bottom w:w="0" w:type="dxa"/>
          <w:right w:w="108" w:type="dxa"/>
        </w:tblCellMar>
      </w:tblPr>
      <w:tblGrid>
        <w:gridCol w:w="8"/>
        <w:gridCol w:w="546"/>
        <w:gridCol w:w="532"/>
        <w:gridCol w:w="500"/>
        <w:gridCol w:w="911"/>
        <w:gridCol w:w="1536"/>
        <w:gridCol w:w="643"/>
        <w:gridCol w:w="410"/>
        <w:gridCol w:w="626"/>
        <w:gridCol w:w="293"/>
        <w:gridCol w:w="600"/>
        <w:gridCol w:w="648"/>
        <w:gridCol w:w="401"/>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9453" w:type="dxa"/>
            <w:gridSpan w:val="16"/>
            <w:tcBorders>
              <w:top w:val="nil"/>
              <w:left w:val="nil"/>
              <w:bottom w:val="nil"/>
              <w:right w:val="nil"/>
            </w:tcBorders>
            <w:vAlign w:val="center"/>
          </w:tcPr>
          <w:tbl>
            <w:tblPr>
              <w:tblStyle w:val="6"/>
              <w:tblW w:w="9328" w:type="dxa"/>
              <w:tblInd w:w="0" w:type="dxa"/>
              <w:tblLayout w:type="fixed"/>
              <w:tblCellMar>
                <w:top w:w="0" w:type="dxa"/>
                <w:left w:w="108" w:type="dxa"/>
                <w:bottom w:w="0" w:type="dxa"/>
                <w:right w:w="108" w:type="dxa"/>
              </w:tblCellMar>
            </w:tblPr>
            <w:tblGrid>
              <w:gridCol w:w="9328"/>
            </w:tblGrid>
            <w:tr>
              <w:tblPrEx>
                <w:tblLayout w:type="fixed"/>
                <w:tblCellMar>
                  <w:top w:w="0" w:type="dxa"/>
                  <w:left w:w="108" w:type="dxa"/>
                  <w:bottom w:w="0" w:type="dxa"/>
                  <w:right w:w="108" w:type="dxa"/>
                </w:tblCellMar>
              </w:tblPrEx>
              <w:trPr>
                <w:trHeight w:val="405" w:hRule="atLeast"/>
              </w:trPr>
              <w:tc>
                <w:tcPr>
                  <w:tcW w:w="9328" w:type="dxa"/>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kern w:val="0"/>
                      <w:szCs w:val="21"/>
                    </w:rPr>
                    <w:t>编制部门（单位）：</w:t>
                  </w:r>
                  <w:r>
                    <w:rPr>
                      <w:rFonts w:hint="eastAsia" w:ascii="仿宋_GB2312" w:hAnsi="宋体" w:eastAsia="仿宋_GB2312"/>
                      <w:kern w:val="0"/>
                      <w:sz w:val="24"/>
                    </w:rPr>
                    <w:t xml:space="preserve">中国人民政治协商会议新疆昌吉回族自治州委员会      </w:t>
                  </w:r>
                  <w:r>
                    <w:rPr>
                      <w:rFonts w:hint="eastAsia" w:ascii="仿宋_GB2312" w:hAnsi="宋体" w:eastAsia="仿宋_GB2312"/>
                      <w:kern w:val="0"/>
                      <w:szCs w:val="21"/>
                    </w:rPr>
                    <w:t xml:space="preserve"> 单位：万元</w:t>
                  </w:r>
                </w:p>
              </w:tc>
            </w:tr>
          </w:tbl>
          <w:p>
            <w:pPr>
              <w:widowControl/>
              <w:ind w:firstLine="960" w:firstLineChars="400"/>
              <w:rPr>
                <w:rFonts w:ascii="仿宋_GB2312" w:hAnsi="宋体" w:eastAsia="仿宋_GB2312"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586"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1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53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64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1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2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29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0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64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0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54"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32"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0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1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4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2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29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0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4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0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201</w:t>
            </w:r>
          </w:p>
        </w:tc>
        <w:tc>
          <w:tcPr>
            <w:tcW w:w="532" w:type="dxa"/>
            <w:vAlign w:val="center"/>
          </w:tcPr>
          <w:p>
            <w:pPr>
              <w:widowControl/>
              <w:jc w:val="center"/>
              <w:outlineLvl w:val="1"/>
              <w:rPr>
                <w:rFonts w:ascii="仿宋_GB2312" w:hAnsi="宋体" w:eastAsia="仿宋_GB2312"/>
                <w:kern w:val="0"/>
                <w:sz w:val="32"/>
                <w:szCs w:val="32"/>
              </w:rPr>
            </w:pPr>
          </w:p>
        </w:tc>
        <w:tc>
          <w:tcPr>
            <w:tcW w:w="500" w:type="dxa"/>
            <w:vAlign w:val="center"/>
          </w:tcPr>
          <w:p>
            <w:pPr>
              <w:widowControl/>
              <w:jc w:val="center"/>
              <w:outlineLvl w:val="1"/>
              <w:rPr>
                <w:rFonts w:ascii="仿宋_GB2312" w:hAnsi="宋体" w:eastAsia="仿宋_GB2312"/>
                <w:kern w:val="0"/>
                <w:sz w:val="32"/>
                <w:szCs w:val="32"/>
              </w:rPr>
            </w:pPr>
          </w:p>
        </w:tc>
        <w:tc>
          <w:tcPr>
            <w:tcW w:w="911"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一般公共服务支出</w:t>
            </w:r>
          </w:p>
        </w:tc>
        <w:tc>
          <w:tcPr>
            <w:tcW w:w="1536" w:type="dxa"/>
          </w:tcPr>
          <w:p>
            <w:pPr>
              <w:widowControl/>
              <w:jc w:val="center"/>
              <w:outlineLvl w:val="1"/>
              <w:rPr>
                <w:rFonts w:ascii="仿宋_GB2312" w:hAnsi="宋体" w:eastAsia="仿宋_GB2312"/>
                <w:kern w:val="0"/>
                <w:sz w:val="32"/>
                <w:szCs w:val="32"/>
              </w:rPr>
            </w:pPr>
          </w:p>
        </w:tc>
        <w:tc>
          <w:tcPr>
            <w:tcW w:w="64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215</w:t>
            </w:r>
          </w:p>
        </w:tc>
        <w:tc>
          <w:tcPr>
            <w:tcW w:w="410" w:type="dxa"/>
            <w:vAlign w:val="center"/>
          </w:tcPr>
          <w:p>
            <w:pPr>
              <w:widowControl/>
              <w:jc w:val="center"/>
              <w:outlineLvl w:val="1"/>
              <w:rPr>
                <w:rFonts w:ascii="仿宋_GB2312" w:hAnsi="宋体" w:eastAsia="仿宋_GB2312"/>
                <w:kern w:val="0"/>
                <w:sz w:val="18"/>
                <w:szCs w:val="18"/>
              </w:rPr>
            </w:pPr>
          </w:p>
        </w:tc>
        <w:tc>
          <w:tcPr>
            <w:tcW w:w="62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215</w:t>
            </w:r>
          </w:p>
        </w:tc>
        <w:tc>
          <w:tcPr>
            <w:tcW w:w="293" w:type="dxa"/>
            <w:vAlign w:val="center"/>
          </w:tcPr>
          <w:p>
            <w:pPr>
              <w:widowControl/>
              <w:jc w:val="center"/>
              <w:outlineLvl w:val="1"/>
              <w:rPr>
                <w:rFonts w:ascii="仿宋_GB2312" w:hAnsi="宋体" w:eastAsia="仿宋_GB2312"/>
                <w:kern w:val="0"/>
                <w:sz w:val="18"/>
                <w:szCs w:val="18"/>
              </w:rPr>
            </w:pPr>
          </w:p>
        </w:tc>
        <w:tc>
          <w:tcPr>
            <w:tcW w:w="600"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401"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201</w:t>
            </w:r>
          </w:p>
        </w:tc>
        <w:tc>
          <w:tcPr>
            <w:tcW w:w="532"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02</w:t>
            </w:r>
          </w:p>
        </w:tc>
        <w:tc>
          <w:tcPr>
            <w:tcW w:w="500" w:type="dxa"/>
            <w:vAlign w:val="center"/>
          </w:tcPr>
          <w:p>
            <w:pPr>
              <w:widowControl/>
              <w:jc w:val="center"/>
              <w:outlineLvl w:val="1"/>
              <w:rPr>
                <w:rFonts w:ascii="仿宋_GB2312" w:hAnsi="宋体" w:eastAsia="仿宋_GB2312"/>
                <w:kern w:val="0"/>
                <w:sz w:val="32"/>
                <w:szCs w:val="32"/>
              </w:rPr>
            </w:pPr>
          </w:p>
        </w:tc>
        <w:tc>
          <w:tcPr>
            <w:tcW w:w="911"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政协事务</w:t>
            </w:r>
          </w:p>
        </w:tc>
        <w:tc>
          <w:tcPr>
            <w:tcW w:w="1536" w:type="dxa"/>
          </w:tcPr>
          <w:p>
            <w:pPr>
              <w:widowControl/>
              <w:jc w:val="center"/>
              <w:outlineLvl w:val="1"/>
              <w:rPr>
                <w:rFonts w:ascii="仿宋_GB2312" w:hAnsi="宋体" w:eastAsia="仿宋_GB2312"/>
                <w:kern w:val="0"/>
                <w:sz w:val="32"/>
                <w:szCs w:val="32"/>
              </w:rPr>
            </w:pPr>
          </w:p>
        </w:tc>
        <w:tc>
          <w:tcPr>
            <w:tcW w:w="64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215</w:t>
            </w:r>
          </w:p>
        </w:tc>
        <w:tc>
          <w:tcPr>
            <w:tcW w:w="410" w:type="dxa"/>
            <w:vAlign w:val="center"/>
          </w:tcPr>
          <w:p>
            <w:pPr>
              <w:widowControl/>
              <w:jc w:val="center"/>
              <w:outlineLvl w:val="1"/>
              <w:rPr>
                <w:rFonts w:ascii="仿宋_GB2312" w:hAnsi="宋体" w:eastAsia="仿宋_GB2312"/>
                <w:kern w:val="0"/>
                <w:sz w:val="18"/>
                <w:szCs w:val="18"/>
              </w:rPr>
            </w:pPr>
          </w:p>
        </w:tc>
        <w:tc>
          <w:tcPr>
            <w:tcW w:w="62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215</w:t>
            </w:r>
          </w:p>
        </w:tc>
        <w:tc>
          <w:tcPr>
            <w:tcW w:w="293" w:type="dxa"/>
            <w:vAlign w:val="center"/>
          </w:tcPr>
          <w:p>
            <w:pPr>
              <w:widowControl/>
              <w:jc w:val="center"/>
              <w:outlineLvl w:val="1"/>
              <w:rPr>
                <w:rFonts w:ascii="仿宋_GB2312" w:hAnsi="宋体" w:eastAsia="仿宋_GB2312"/>
                <w:kern w:val="0"/>
                <w:sz w:val="18"/>
                <w:szCs w:val="18"/>
              </w:rPr>
            </w:pPr>
          </w:p>
        </w:tc>
        <w:tc>
          <w:tcPr>
            <w:tcW w:w="600"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401"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trPr>
        <w:tc>
          <w:tcPr>
            <w:tcW w:w="554"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201</w:t>
            </w:r>
          </w:p>
        </w:tc>
        <w:tc>
          <w:tcPr>
            <w:tcW w:w="532"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02</w:t>
            </w:r>
          </w:p>
        </w:tc>
        <w:tc>
          <w:tcPr>
            <w:tcW w:w="500"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02</w:t>
            </w:r>
          </w:p>
        </w:tc>
        <w:tc>
          <w:tcPr>
            <w:tcW w:w="911" w:type="dxa"/>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一般行政管理事务</w:t>
            </w:r>
          </w:p>
        </w:tc>
        <w:tc>
          <w:tcPr>
            <w:tcW w:w="1536" w:type="dxa"/>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专门委员会工作及政协委员活动经费</w:t>
            </w:r>
          </w:p>
        </w:tc>
        <w:tc>
          <w:tcPr>
            <w:tcW w:w="643"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83</w:t>
            </w:r>
          </w:p>
        </w:tc>
        <w:tc>
          <w:tcPr>
            <w:tcW w:w="410" w:type="dxa"/>
            <w:vAlign w:val="center"/>
          </w:tcPr>
          <w:p>
            <w:pPr>
              <w:widowControl/>
              <w:jc w:val="center"/>
              <w:outlineLvl w:val="1"/>
              <w:rPr>
                <w:rFonts w:ascii="仿宋_GB2312" w:hAnsi="宋体" w:eastAsia="仿宋_GB2312"/>
                <w:kern w:val="0"/>
                <w:sz w:val="32"/>
                <w:szCs w:val="32"/>
              </w:rPr>
            </w:pPr>
          </w:p>
        </w:tc>
        <w:tc>
          <w:tcPr>
            <w:tcW w:w="62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83</w:t>
            </w:r>
          </w:p>
        </w:tc>
        <w:tc>
          <w:tcPr>
            <w:tcW w:w="293" w:type="dxa"/>
          </w:tcPr>
          <w:p>
            <w:pPr>
              <w:widowControl/>
              <w:jc w:val="right"/>
              <w:outlineLvl w:val="1"/>
              <w:rPr>
                <w:rFonts w:ascii="仿宋_GB2312" w:hAnsi="宋体" w:eastAsia="仿宋_GB2312"/>
                <w:kern w:val="0"/>
                <w:sz w:val="32"/>
                <w:szCs w:val="32"/>
              </w:rPr>
            </w:pPr>
          </w:p>
        </w:tc>
        <w:tc>
          <w:tcPr>
            <w:tcW w:w="600"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401"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201</w:t>
            </w:r>
          </w:p>
        </w:tc>
        <w:tc>
          <w:tcPr>
            <w:tcW w:w="532"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02</w:t>
            </w:r>
          </w:p>
        </w:tc>
        <w:tc>
          <w:tcPr>
            <w:tcW w:w="500"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02</w:t>
            </w:r>
          </w:p>
        </w:tc>
        <w:tc>
          <w:tcPr>
            <w:tcW w:w="911" w:type="dxa"/>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一般行政管理事务</w:t>
            </w:r>
          </w:p>
        </w:tc>
        <w:tc>
          <w:tcPr>
            <w:tcW w:w="1536" w:type="dxa"/>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机关运转财政补助经费</w:t>
            </w:r>
          </w:p>
        </w:tc>
        <w:tc>
          <w:tcPr>
            <w:tcW w:w="643"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132</w:t>
            </w:r>
          </w:p>
        </w:tc>
        <w:tc>
          <w:tcPr>
            <w:tcW w:w="410" w:type="dxa"/>
            <w:vAlign w:val="center"/>
          </w:tcPr>
          <w:p>
            <w:pPr>
              <w:widowControl/>
              <w:jc w:val="center"/>
              <w:outlineLvl w:val="1"/>
              <w:rPr>
                <w:rFonts w:ascii="仿宋_GB2312" w:hAnsi="宋体" w:eastAsia="仿宋_GB2312"/>
                <w:kern w:val="0"/>
                <w:sz w:val="32"/>
                <w:szCs w:val="32"/>
              </w:rPr>
            </w:pPr>
          </w:p>
        </w:tc>
        <w:tc>
          <w:tcPr>
            <w:tcW w:w="62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132</w:t>
            </w:r>
          </w:p>
        </w:tc>
        <w:tc>
          <w:tcPr>
            <w:tcW w:w="293" w:type="dxa"/>
          </w:tcPr>
          <w:p>
            <w:pPr>
              <w:widowControl/>
              <w:jc w:val="right"/>
              <w:outlineLvl w:val="1"/>
              <w:rPr>
                <w:rFonts w:ascii="仿宋_GB2312" w:hAnsi="宋体" w:eastAsia="仿宋_GB2312"/>
                <w:kern w:val="0"/>
                <w:sz w:val="32"/>
                <w:szCs w:val="32"/>
              </w:rPr>
            </w:pPr>
          </w:p>
        </w:tc>
        <w:tc>
          <w:tcPr>
            <w:tcW w:w="600"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401"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tcPr>
          <w:p>
            <w:pPr>
              <w:widowControl/>
              <w:jc w:val="center"/>
              <w:outlineLvl w:val="1"/>
              <w:rPr>
                <w:rFonts w:ascii="仿宋_GB2312" w:hAnsi="宋体" w:eastAsia="仿宋_GB2312"/>
                <w:kern w:val="0"/>
                <w:sz w:val="32"/>
                <w:szCs w:val="32"/>
              </w:rPr>
            </w:pPr>
          </w:p>
        </w:tc>
        <w:tc>
          <w:tcPr>
            <w:tcW w:w="532" w:type="dxa"/>
          </w:tcPr>
          <w:p>
            <w:pPr>
              <w:widowControl/>
              <w:jc w:val="center"/>
              <w:outlineLvl w:val="1"/>
              <w:rPr>
                <w:rFonts w:ascii="仿宋_GB2312" w:hAnsi="宋体" w:eastAsia="仿宋_GB2312"/>
                <w:kern w:val="0"/>
                <w:sz w:val="32"/>
                <w:szCs w:val="32"/>
              </w:rPr>
            </w:pPr>
          </w:p>
        </w:tc>
        <w:tc>
          <w:tcPr>
            <w:tcW w:w="500" w:type="dxa"/>
          </w:tcPr>
          <w:p>
            <w:pPr>
              <w:widowControl/>
              <w:jc w:val="center"/>
              <w:outlineLvl w:val="1"/>
              <w:rPr>
                <w:rFonts w:ascii="仿宋_GB2312" w:hAnsi="宋体" w:eastAsia="仿宋_GB2312"/>
                <w:kern w:val="0"/>
                <w:sz w:val="32"/>
                <w:szCs w:val="32"/>
              </w:rPr>
            </w:pPr>
          </w:p>
        </w:tc>
        <w:tc>
          <w:tcPr>
            <w:tcW w:w="911" w:type="dxa"/>
          </w:tcPr>
          <w:p>
            <w:pPr>
              <w:widowControl/>
              <w:jc w:val="center"/>
              <w:outlineLvl w:val="1"/>
              <w:rPr>
                <w:rFonts w:ascii="仿宋_GB2312" w:hAnsi="宋体" w:eastAsia="仿宋_GB2312"/>
                <w:kern w:val="0"/>
                <w:sz w:val="32"/>
                <w:szCs w:val="32"/>
              </w:rPr>
            </w:pPr>
          </w:p>
        </w:tc>
        <w:tc>
          <w:tcPr>
            <w:tcW w:w="1536" w:type="dxa"/>
          </w:tcPr>
          <w:p>
            <w:pPr>
              <w:widowControl/>
              <w:jc w:val="center"/>
              <w:outlineLvl w:val="1"/>
              <w:rPr>
                <w:rFonts w:ascii="仿宋_GB2312" w:hAnsi="宋体" w:eastAsia="仿宋_GB2312"/>
                <w:kern w:val="0"/>
                <w:sz w:val="32"/>
                <w:szCs w:val="32"/>
              </w:rPr>
            </w:pPr>
          </w:p>
        </w:tc>
        <w:tc>
          <w:tcPr>
            <w:tcW w:w="643" w:type="dxa"/>
          </w:tcPr>
          <w:p>
            <w:pPr>
              <w:widowControl/>
              <w:jc w:val="right"/>
              <w:outlineLvl w:val="1"/>
              <w:rPr>
                <w:rFonts w:ascii="仿宋_GB2312" w:hAnsi="宋体" w:eastAsia="仿宋_GB2312"/>
                <w:kern w:val="0"/>
                <w:sz w:val="32"/>
                <w:szCs w:val="32"/>
              </w:rPr>
            </w:pPr>
          </w:p>
        </w:tc>
        <w:tc>
          <w:tcPr>
            <w:tcW w:w="410" w:type="dxa"/>
          </w:tcPr>
          <w:p>
            <w:pPr>
              <w:widowControl/>
              <w:jc w:val="right"/>
              <w:outlineLvl w:val="1"/>
              <w:rPr>
                <w:rFonts w:ascii="仿宋_GB2312" w:hAnsi="宋体" w:eastAsia="仿宋_GB2312"/>
                <w:kern w:val="0"/>
                <w:sz w:val="32"/>
                <w:szCs w:val="32"/>
              </w:rPr>
            </w:pPr>
          </w:p>
        </w:tc>
        <w:tc>
          <w:tcPr>
            <w:tcW w:w="626" w:type="dxa"/>
          </w:tcPr>
          <w:p>
            <w:pPr>
              <w:widowControl/>
              <w:jc w:val="right"/>
              <w:outlineLvl w:val="1"/>
              <w:rPr>
                <w:rFonts w:ascii="仿宋_GB2312" w:hAnsi="宋体" w:eastAsia="仿宋_GB2312"/>
                <w:kern w:val="0"/>
                <w:sz w:val="32"/>
                <w:szCs w:val="32"/>
              </w:rPr>
            </w:pPr>
          </w:p>
        </w:tc>
        <w:tc>
          <w:tcPr>
            <w:tcW w:w="293" w:type="dxa"/>
          </w:tcPr>
          <w:p>
            <w:pPr>
              <w:widowControl/>
              <w:jc w:val="right"/>
              <w:outlineLvl w:val="1"/>
              <w:rPr>
                <w:rFonts w:ascii="仿宋_GB2312" w:hAnsi="宋体" w:eastAsia="仿宋_GB2312"/>
                <w:kern w:val="0"/>
                <w:sz w:val="32"/>
                <w:szCs w:val="32"/>
              </w:rPr>
            </w:pPr>
          </w:p>
        </w:tc>
        <w:tc>
          <w:tcPr>
            <w:tcW w:w="600"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401"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54" w:type="dxa"/>
            <w:gridSpan w:val="2"/>
          </w:tcPr>
          <w:p>
            <w:pPr>
              <w:widowControl/>
              <w:jc w:val="center"/>
              <w:outlineLvl w:val="1"/>
              <w:rPr>
                <w:rFonts w:ascii="仿宋_GB2312" w:hAnsi="宋体" w:eastAsia="仿宋_GB2312"/>
                <w:kern w:val="0"/>
                <w:sz w:val="32"/>
                <w:szCs w:val="32"/>
              </w:rPr>
            </w:pPr>
          </w:p>
        </w:tc>
        <w:tc>
          <w:tcPr>
            <w:tcW w:w="532" w:type="dxa"/>
          </w:tcPr>
          <w:p>
            <w:pPr>
              <w:widowControl/>
              <w:jc w:val="center"/>
              <w:outlineLvl w:val="1"/>
              <w:rPr>
                <w:rFonts w:ascii="仿宋_GB2312" w:hAnsi="宋体" w:eastAsia="仿宋_GB2312"/>
                <w:kern w:val="0"/>
                <w:sz w:val="32"/>
                <w:szCs w:val="32"/>
              </w:rPr>
            </w:pPr>
          </w:p>
        </w:tc>
        <w:tc>
          <w:tcPr>
            <w:tcW w:w="500" w:type="dxa"/>
          </w:tcPr>
          <w:p>
            <w:pPr>
              <w:widowControl/>
              <w:jc w:val="center"/>
              <w:outlineLvl w:val="1"/>
              <w:rPr>
                <w:rFonts w:ascii="仿宋_GB2312" w:hAnsi="宋体" w:eastAsia="仿宋_GB2312"/>
                <w:kern w:val="0"/>
                <w:sz w:val="32"/>
                <w:szCs w:val="32"/>
              </w:rPr>
            </w:pPr>
          </w:p>
        </w:tc>
        <w:tc>
          <w:tcPr>
            <w:tcW w:w="911" w:type="dxa"/>
          </w:tcPr>
          <w:p>
            <w:pPr>
              <w:widowControl/>
              <w:jc w:val="center"/>
              <w:outlineLvl w:val="1"/>
              <w:rPr>
                <w:rFonts w:ascii="仿宋_GB2312" w:hAnsi="宋体" w:eastAsia="仿宋_GB2312"/>
                <w:kern w:val="0"/>
                <w:sz w:val="32"/>
                <w:szCs w:val="32"/>
              </w:rPr>
            </w:pPr>
          </w:p>
        </w:tc>
        <w:tc>
          <w:tcPr>
            <w:tcW w:w="1536" w:type="dxa"/>
          </w:tcPr>
          <w:p>
            <w:pPr>
              <w:widowControl/>
              <w:jc w:val="center"/>
              <w:outlineLvl w:val="1"/>
              <w:rPr>
                <w:rFonts w:ascii="仿宋_GB2312" w:hAnsi="宋体" w:eastAsia="仿宋_GB2312"/>
                <w:kern w:val="0"/>
                <w:sz w:val="32"/>
                <w:szCs w:val="32"/>
              </w:rPr>
            </w:pPr>
          </w:p>
        </w:tc>
        <w:tc>
          <w:tcPr>
            <w:tcW w:w="643" w:type="dxa"/>
          </w:tcPr>
          <w:p>
            <w:pPr>
              <w:widowControl/>
              <w:jc w:val="right"/>
              <w:outlineLvl w:val="1"/>
              <w:rPr>
                <w:rFonts w:ascii="仿宋_GB2312" w:hAnsi="宋体" w:eastAsia="仿宋_GB2312"/>
                <w:kern w:val="0"/>
                <w:sz w:val="32"/>
                <w:szCs w:val="32"/>
              </w:rPr>
            </w:pPr>
          </w:p>
        </w:tc>
        <w:tc>
          <w:tcPr>
            <w:tcW w:w="410" w:type="dxa"/>
          </w:tcPr>
          <w:p>
            <w:pPr>
              <w:widowControl/>
              <w:jc w:val="right"/>
              <w:outlineLvl w:val="1"/>
              <w:rPr>
                <w:rFonts w:ascii="仿宋_GB2312" w:hAnsi="宋体" w:eastAsia="仿宋_GB2312"/>
                <w:kern w:val="0"/>
                <w:sz w:val="32"/>
                <w:szCs w:val="32"/>
              </w:rPr>
            </w:pPr>
          </w:p>
        </w:tc>
        <w:tc>
          <w:tcPr>
            <w:tcW w:w="626" w:type="dxa"/>
          </w:tcPr>
          <w:p>
            <w:pPr>
              <w:widowControl/>
              <w:jc w:val="right"/>
              <w:outlineLvl w:val="1"/>
              <w:rPr>
                <w:rFonts w:ascii="仿宋_GB2312" w:hAnsi="宋体" w:eastAsia="仿宋_GB2312"/>
                <w:kern w:val="0"/>
                <w:sz w:val="32"/>
                <w:szCs w:val="32"/>
              </w:rPr>
            </w:pPr>
          </w:p>
        </w:tc>
        <w:tc>
          <w:tcPr>
            <w:tcW w:w="293" w:type="dxa"/>
          </w:tcPr>
          <w:p>
            <w:pPr>
              <w:widowControl/>
              <w:jc w:val="right"/>
              <w:outlineLvl w:val="1"/>
              <w:rPr>
                <w:rFonts w:ascii="仿宋_GB2312" w:hAnsi="宋体" w:eastAsia="仿宋_GB2312"/>
                <w:kern w:val="0"/>
                <w:sz w:val="32"/>
                <w:szCs w:val="32"/>
              </w:rPr>
            </w:pPr>
          </w:p>
        </w:tc>
        <w:tc>
          <w:tcPr>
            <w:tcW w:w="600"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401"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tcPr>
          <w:p>
            <w:pPr>
              <w:widowControl/>
              <w:jc w:val="center"/>
              <w:outlineLvl w:val="1"/>
              <w:rPr>
                <w:rFonts w:ascii="仿宋_GB2312" w:hAnsi="宋体" w:eastAsia="仿宋_GB2312"/>
                <w:kern w:val="0"/>
                <w:sz w:val="32"/>
                <w:szCs w:val="32"/>
              </w:rPr>
            </w:pPr>
          </w:p>
        </w:tc>
        <w:tc>
          <w:tcPr>
            <w:tcW w:w="532" w:type="dxa"/>
          </w:tcPr>
          <w:p>
            <w:pPr>
              <w:widowControl/>
              <w:jc w:val="center"/>
              <w:outlineLvl w:val="1"/>
              <w:rPr>
                <w:rFonts w:ascii="仿宋_GB2312" w:hAnsi="宋体" w:eastAsia="仿宋_GB2312"/>
                <w:kern w:val="0"/>
                <w:sz w:val="32"/>
                <w:szCs w:val="32"/>
              </w:rPr>
            </w:pPr>
          </w:p>
        </w:tc>
        <w:tc>
          <w:tcPr>
            <w:tcW w:w="500" w:type="dxa"/>
          </w:tcPr>
          <w:p>
            <w:pPr>
              <w:widowControl/>
              <w:jc w:val="center"/>
              <w:outlineLvl w:val="1"/>
              <w:rPr>
                <w:rFonts w:ascii="仿宋_GB2312" w:hAnsi="宋体" w:eastAsia="仿宋_GB2312"/>
                <w:kern w:val="0"/>
                <w:sz w:val="32"/>
                <w:szCs w:val="32"/>
              </w:rPr>
            </w:pPr>
          </w:p>
        </w:tc>
        <w:tc>
          <w:tcPr>
            <w:tcW w:w="911" w:type="dxa"/>
          </w:tcPr>
          <w:p>
            <w:pPr>
              <w:widowControl/>
              <w:jc w:val="center"/>
              <w:outlineLvl w:val="1"/>
              <w:rPr>
                <w:rFonts w:ascii="仿宋_GB2312" w:hAnsi="宋体" w:eastAsia="仿宋_GB2312"/>
                <w:kern w:val="0"/>
                <w:sz w:val="32"/>
                <w:szCs w:val="32"/>
              </w:rPr>
            </w:pPr>
          </w:p>
        </w:tc>
        <w:tc>
          <w:tcPr>
            <w:tcW w:w="1536" w:type="dxa"/>
          </w:tcPr>
          <w:p>
            <w:pPr>
              <w:widowControl/>
              <w:jc w:val="center"/>
              <w:outlineLvl w:val="1"/>
              <w:rPr>
                <w:rFonts w:ascii="仿宋_GB2312" w:hAnsi="宋体" w:eastAsia="仿宋_GB2312"/>
                <w:kern w:val="0"/>
                <w:sz w:val="32"/>
                <w:szCs w:val="32"/>
              </w:rPr>
            </w:pPr>
          </w:p>
        </w:tc>
        <w:tc>
          <w:tcPr>
            <w:tcW w:w="643" w:type="dxa"/>
          </w:tcPr>
          <w:p>
            <w:pPr>
              <w:widowControl/>
              <w:jc w:val="right"/>
              <w:outlineLvl w:val="1"/>
              <w:rPr>
                <w:rFonts w:ascii="仿宋_GB2312" w:hAnsi="宋体" w:eastAsia="仿宋_GB2312"/>
                <w:kern w:val="0"/>
                <w:sz w:val="32"/>
                <w:szCs w:val="32"/>
              </w:rPr>
            </w:pPr>
          </w:p>
        </w:tc>
        <w:tc>
          <w:tcPr>
            <w:tcW w:w="410" w:type="dxa"/>
          </w:tcPr>
          <w:p>
            <w:pPr>
              <w:widowControl/>
              <w:jc w:val="right"/>
              <w:outlineLvl w:val="1"/>
              <w:rPr>
                <w:rFonts w:ascii="仿宋_GB2312" w:hAnsi="宋体" w:eastAsia="仿宋_GB2312"/>
                <w:kern w:val="0"/>
                <w:sz w:val="32"/>
                <w:szCs w:val="32"/>
              </w:rPr>
            </w:pPr>
          </w:p>
        </w:tc>
        <w:tc>
          <w:tcPr>
            <w:tcW w:w="626" w:type="dxa"/>
          </w:tcPr>
          <w:p>
            <w:pPr>
              <w:widowControl/>
              <w:jc w:val="right"/>
              <w:outlineLvl w:val="1"/>
              <w:rPr>
                <w:rFonts w:ascii="仿宋_GB2312" w:hAnsi="宋体" w:eastAsia="仿宋_GB2312"/>
                <w:kern w:val="0"/>
                <w:sz w:val="32"/>
                <w:szCs w:val="32"/>
              </w:rPr>
            </w:pPr>
          </w:p>
        </w:tc>
        <w:tc>
          <w:tcPr>
            <w:tcW w:w="293" w:type="dxa"/>
          </w:tcPr>
          <w:p>
            <w:pPr>
              <w:widowControl/>
              <w:jc w:val="right"/>
              <w:outlineLvl w:val="1"/>
              <w:rPr>
                <w:rFonts w:ascii="仿宋_GB2312" w:hAnsi="宋体" w:eastAsia="仿宋_GB2312"/>
                <w:kern w:val="0"/>
                <w:sz w:val="32"/>
                <w:szCs w:val="32"/>
              </w:rPr>
            </w:pPr>
          </w:p>
        </w:tc>
        <w:tc>
          <w:tcPr>
            <w:tcW w:w="600"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401"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tcPr>
          <w:p>
            <w:pPr>
              <w:widowControl/>
              <w:jc w:val="center"/>
              <w:outlineLvl w:val="1"/>
              <w:rPr>
                <w:rFonts w:ascii="仿宋_GB2312" w:hAnsi="宋体" w:eastAsia="仿宋_GB2312"/>
                <w:kern w:val="0"/>
                <w:sz w:val="32"/>
                <w:szCs w:val="32"/>
              </w:rPr>
            </w:pPr>
          </w:p>
        </w:tc>
        <w:tc>
          <w:tcPr>
            <w:tcW w:w="532" w:type="dxa"/>
          </w:tcPr>
          <w:p>
            <w:pPr>
              <w:widowControl/>
              <w:jc w:val="center"/>
              <w:outlineLvl w:val="1"/>
              <w:rPr>
                <w:rFonts w:ascii="仿宋_GB2312" w:hAnsi="宋体" w:eastAsia="仿宋_GB2312"/>
                <w:kern w:val="0"/>
                <w:sz w:val="32"/>
                <w:szCs w:val="32"/>
              </w:rPr>
            </w:pPr>
          </w:p>
        </w:tc>
        <w:tc>
          <w:tcPr>
            <w:tcW w:w="500" w:type="dxa"/>
          </w:tcPr>
          <w:p>
            <w:pPr>
              <w:widowControl/>
              <w:jc w:val="center"/>
              <w:outlineLvl w:val="1"/>
              <w:rPr>
                <w:rFonts w:ascii="仿宋_GB2312" w:hAnsi="宋体" w:eastAsia="仿宋_GB2312"/>
                <w:kern w:val="0"/>
                <w:sz w:val="32"/>
                <w:szCs w:val="32"/>
              </w:rPr>
            </w:pPr>
          </w:p>
        </w:tc>
        <w:tc>
          <w:tcPr>
            <w:tcW w:w="911" w:type="dxa"/>
          </w:tcPr>
          <w:p>
            <w:pPr>
              <w:widowControl/>
              <w:jc w:val="center"/>
              <w:outlineLvl w:val="1"/>
              <w:rPr>
                <w:rFonts w:ascii="仿宋_GB2312" w:hAnsi="宋体" w:eastAsia="仿宋_GB2312"/>
                <w:kern w:val="0"/>
                <w:sz w:val="32"/>
                <w:szCs w:val="32"/>
              </w:rPr>
            </w:pPr>
          </w:p>
        </w:tc>
        <w:tc>
          <w:tcPr>
            <w:tcW w:w="153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643"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215</w:t>
            </w:r>
          </w:p>
        </w:tc>
        <w:tc>
          <w:tcPr>
            <w:tcW w:w="410" w:type="dxa"/>
            <w:vAlign w:val="center"/>
          </w:tcPr>
          <w:p>
            <w:pPr>
              <w:widowControl/>
              <w:jc w:val="center"/>
              <w:outlineLvl w:val="1"/>
              <w:rPr>
                <w:rFonts w:ascii="仿宋_GB2312" w:hAnsi="宋体" w:eastAsia="仿宋_GB2312"/>
                <w:kern w:val="0"/>
                <w:sz w:val="32"/>
                <w:szCs w:val="32"/>
              </w:rPr>
            </w:pPr>
          </w:p>
        </w:tc>
        <w:tc>
          <w:tcPr>
            <w:tcW w:w="626" w:type="dxa"/>
            <w:vAlign w:val="center"/>
          </w:tcPr>
          <w:p>
            <w:pPr>
              <w:widowControl/>
              <w:outlineLvl w:val="1"/>
              <w:rPr>
                <w:rFonts w:ascii="仿宋_GB2312" w:hAnsi="宋体" w:eastAsia="仿宋_GB2312"/>
                <w:kern w:val="0"/>
                <w:sz w:val="32"/>
                <w:szCs w:val="32"/>
              </w:rPr>
            </w:pPr>
            <w:r>
              <w:rPr>
                <w:rFonts w:hint="eastAsia" w:ascii="仿宋_GB2312" w:hAnsi="宋体" w:eastAsia="仿宋_GB2312"/>
                <w:kern w:val="0"/>
                <w:szCs w:val="21"/>
              </w:rPr>
              <w:t>215</w:t>
            </w:r>
          </w:p>
        </w:tc>
        <w:tc>
          <w:tcPr>
            <w:tcW w:w="293" w:type="dxa"/>
          </w:tcPr>
          <w:p>
            <w:pPr>
              <w:widowControl/>
              <w:jc w:val="right"/>
              <w:outlineLvl w:val="1"/>
              <w:rPr>
                <w:rFonts w:ascii="仿宋_GB2312" w:hAnsi="宋体" w:eastAsia="仿宋_GB2312"/>
                <w:kern w:val="0"/>
                <w:sz w:val="32"/>
                <w:szCs w:val="32"/>
              </w:rPr>
            </w:pPr>
          </w:p>
        </w:tc>
        <w:tc>
          <w:tcPr>
            <w:tcW w:w="600"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401"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编制部门（单位）：中国人民政治协商会议新疆昌吉回族自治州委员会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48.64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46.00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46.00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2.64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编制部门（单位）：中国人民政治协商会议新疆昌吉回族自治州委员会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2022年昌吉州政协预算情况说明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一、关于昌吉州政协2022年收支预算情况的总体说明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按照全口径预算的原则，昌吉州政协2022年所有收入和支出均纳入部门（单位）预算管理。收支总预算1134.32万元。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收入预算包括：一般公共预算1134.32万元。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支出预算包括：一般公共服务支出917.52万元、社会保障和就业支出97.11万元、医疗卫生健康支出56.83万元、住房保障支出62.86万元等。</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二、关于昌吉州政协2022年收入预算情况说明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昌吉州政协收入预算1134.32万元，其中：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一般公共预算1134.32万元，占100%，比上年预算增加40.69万元，增长3.72%，主要原因：一是调资增资，增加人员经费；二是机关食堂运转经费列入其他运转类项目预算。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三、关于昌吉州政协2022年支出预算情况说明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昌吉州政协2022年支出预算1134.32万元，其中：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基本支出919.32万元，占81.05%，比上年预算数减少91.31万元，下降9.03%，主要原因是机关运转补助经费调出，列入其他运转类项目预算。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项目支出215万元，占18.95%，比上年预算增加132万元，增长159.04%，主要原因是机关运转补助经费列入其他运转类项目预算。</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四、关于昌吉州政协2022年财政拨款收支预算情况的总体说明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2022年财政拨款收支总预算1134.32万元。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收入预算包括：一般公共预算拨款1134.32万元。</w:t>
      </w:r>
    </w:p>
    <w:p>
      <w:pPr>
        <w:spacing w:line="560" w:lineRule="exact"/>
        <w:ind w:firstLine="616" w:firstLineChars="200"/>
        <w:rPr>
          <w:rFonts w:ascii="仿宋_GB2312" w:hAnsi="宋体" w:eastAsia="仿宋_GB2312" w:cs="宋体"/>
          <w:b/>
          <w:kern w:val="0"/>
          <w:sz w:val="32"/>
          <w:szCs w:val="32"/>
        </w:rPr>
      </w:pPr>
      <w:r>
        <w:rPr>
          <w:rFonts w:hint="eastAsia" w:ascii="仿宋_GB2312" w:hAnsi="宋体" w:eastAsia="仿宋_GB2312" w:cs="宋体"/>
          <w:spacing w:val="-6"/>
          <w:kern w:val="0"/>
          <w:sz w:val="32"/>
          <w:szCs w:val="32"/>
        </w:rPr>
        <w:t>一般公共预算支出包括：一般公共服务支出917.52万元，主要用于政协机关正常运转、社会保障以及政协委员活动、专门委员会日常工作和调研、视察等；</w:t>
      </w:r>
      <w:r>
        <w:rPr>
          <w:rFonts w:hint="eastAsia" w:ascii="仿宋_GB2312" w:hAnsi="宋体" w:eastAsia="仿宋_GB2312" w:cs="宋体"/>
          <w:kern w:val="0"/>
          <w:sz w:val="32"/>
          <w:szCs w:val="32"/>
        </w:rPr>
        <w:t>社会保障和就业支出97.11万元，主要用于政协机关人员养老缴费和行政单位离退休人员费用；医疗卫生健康支出56.83万元，主要用于政协机关人员医疗保障；住房保障支出62.86万元，主要用于在职人员住房公积金缴费。</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关于昌吉州政协2022年一般公共预算当年拨款情况说明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昌吉州政协2022年一般公共预算拨款合计1134.32万元，其中：基本支出919.32万元，占81.05%，比上年预算数减少91.31万元，下降9.03%，主要原因是机关运转补助经费调出，列入其他运转类项目预算。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项目支出215万元，占18.95%，比上年预算增加132万元，增长159.04%，主要原因是机关运转补助经费列入其他运转类项目预算。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1.一般公共服务支出917.52万元，占83.72%。</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2.社会保障和就业支出97.11万元，</w:t>
      </w:r>
      <w:r>
        <w:rPr>
          <w:rFonts w:hint="eastAsia" w:ascii="仿宋_GB2312" w:eastAsia="仿宋_GB2312"/>
          <w:sz w:val="32"/>
          <w:szCs w:val="32"/>
        </w:rPr>
        <w:t>占8.5680.89%。</w:t>
      </w:r>
    </w:p>
    <w:p>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3.医疗卫生健康支出56.83万元，</w:t>
      </w:r>
      <w:r>
        <w:rPr>
          <w:rFonts w:hint="eastAsia" w:ascii="仿宋_GB2312" w:eastAsia="仿宋_GB2312"/>
          <w:sz w:val="32"/>
          <w:szCs w:val="32"/>
        </w:rPr>
        <w:t>占5.01%。</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4.住房保障支出62.86万元，占5.54%。</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政协</w:t>
      </w:r>
      <w:r>
        <w:rPr>
          <w:rFonts w:ascii="仿宋_GB2312" w:hAnsi="宋体" w:eastAsia="仿宋_GB2312" w:cs="宋体"/>
          <w:kern w:val="0"/>
          <w:sz w:val="32"/>
          <w:szCs w:val="32"/>
        </w:rPr>
        <w:t>事务（款）行政运行（项）: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649.52万元，比上年预算数减少121.81万元，增长15.79%，主要原因是：机关运转补助经费调出，列入其他运转类项目预算。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2.一</w:t>
      </w:r>
      <w:r>
        <w:rPr>
          <w:rFonts w:ascii="仿宋_GB2312" w:hAnsi="宋体" w:eastAsia="仿宋_GB2312" w:cs="宋体"/>
          <w:kern w:val="0"/>
          <w:sz w:val="32"/>
          <w:szCs w:val="32"/>
        </w:rPr>
        <w:t>般公共服务（类）</w:t>
      </w:r>
      <w:r>
        <w:rPr>
          <w:rFonts w:hint="eastAsia" w:ascii="仿宋_GB2312" w:hAnsi="宋体" w:eastAsia="仿宋_GB2312" w:cs="宋体"/>
          <w:kern w:val="0"/>
          <w:sz w:val="32"/>
          <w:szCs w:val="32"/>
        </w:rPr>
        <w:t>政协</w:t>
      </w:r>
      <w:r>
        <w:rPr>
          <w:rFonts w:ascii="仿宋_GB2312" w:hAnsi="宋体" w:eastAsia="仿宋_GB2312" w:cs="宋体"/>
          <w:kern w:val="0"/>
          <w:sz w:val="32"/>
          <w:szCs w:val="32"/>
        </w:rPr>
        <w:t>事务（款）</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215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比上年预算数增加132万元，增长159.04%，主要原因是机关运转补助经费列入其他运转类项目预算。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政协</w:t>
      </w:r>
      <w:r>
        <w:rPr>
          <w:rFonts w:ascii="仿宋_GB2312" w:hAnsi="宋体" w:eastAsia="仿宋_GB2312" w:cs="宋体"/>
          <w:kern w:val="0"/>
          <w:sz w:val="32"/>
          <w:szCs w:val="32"/>
        </w:rPr>
        <w:t>事务（款）</w:t>
      </w:r>
      <w:r>
        <w:rPr>
          <w:rFonts w:hint="eastAsia" w:ascii="仿宋_GB2312" w:hAnsi="宋体" w:eastAsia="仿宋_GB2312" w:cs="宋体"/>
          <w:kern w:val="0"/>
          <w:sz w:val="32"/>
          <w:szCs w:val="32"/>
        </w:rPr>
        <w:t>事业</w:t>
      </w:r>
      <w:r>
        <w:rPr>
          <w:rFonts w:ascii="仿宋_GB2312" w:hAnsi="宋体" w:eastAsia="仿宋_GB2312" w:cs="宋体"/>
          <w:kern w:val="0"/>
          <w:sz w:val="32"/>
          <w:szCs w:val="32"/>
        </w:rPr>
        <w:t>运行（项）: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53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比上年预算数减少8.31万元，下降13.55%，主要原因是住房公积金调出，单位列示。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4.社会保障和就业支出（类）行政事业单位养老支出（款）</w:t>
      </w:r>
      <w:r>
        <w:rPr>
          <w:rFonts w:hint="eastAsia" w:ascii="仿宋_GB2312" w:hAnsi="宋体" w:eastAsia="仿宋_GB2312" w:cs="宋体"/>
          <w:color w:val="000000"/>
          <w:sz w:val="32"/>
          <w:szCs w:val="32"/>
        </w:rPr>
        <w:t>行政单位离退休（项）：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25.11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比上年预算数增加25.11万元，增长100%，主要原因是：行政单位离退休经费由行政运行调入。</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5.社会保障和就业支出（类）行政事业单位养老支出（款）</w:t>
      </w:r>
      <w:r>
        <w:rPr>
          <w:rFonts w:hint="eastAsia" w:ascii="仿宋_GB2312" w:hAnsi="宋体" w:eastAsia="仿宋_GB2312" w:cs="宋体"/>
          <w:color w:val="000000"/>
          <w:sz w:val="32"/>
          <w:szCs w:val="32"/>
        </w:rPr>
        <w:t>机关事业单位基本养老保险缴费支出（项）：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72.00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比上年预算数增加7.42万元，增长11.49%，主要原因是：人员工资增加，养老数相应增加。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6.卫生健康支出（类）行政事业单位医疗（款）</w:t>
      </w:r>
      <w:r>
        <w:rPr>
          <w:rFonts w:hint="eastAsia" w:ascii="仿宋_GB2312" w:hAnsi="宋体" w:eastAsia="仿宋_GB2312" w:cs="宋体"/>
          <w:color w:val="000000"/>
          <w:sz w:val="32"/>
          <w:szCs w:val="32"/>
        </w:rPr>
        <w:t>行政单位医疗（项）：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37.78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比上年预算数减少47.63万元，下降55.77%，主要原因是：一是标准下调；二是事业单位医疗调出，单独列示。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7.卫生健康支出（类）行政事业单位医疗（款）事业</w:t>
      </w:r>
      <w:r>
        <w:rPr>
          <w:rFonts w:hint="eastAsia" w:ascii="仿宋_GB2312" w:hAnsi="宋体" w:eastAsia="仿宋_GB2312" w:cs="宋体"/>
          <w:color w:val="000000"/>
          <w:sz w:val="32"/>
          <w:szCs w:val="32"/>
        </w:rPr>
        <w:t>单位医疗（项）：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4.97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比上年预算数增加4.97万元，增长100%，主要原因是：事业单位医疗由行政单位医疗调出，单独列示。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8.卫生健康支出（类）行政事业单位医疗（款）</w:t>
      </w:r>
      <w:r>
        <w:rPr>
          <w:rFonts w:hint="eastAsia" w:ascii="仿宋_GB2312" w:hAnsi="宋体" w:eastAsia="仿宋_GB2312" w:cs="宋体"/>
          <w:color w:val="000000"/>
          <w:sz w:val="32"/>
          <w:szCs w:val="32"/>
        </w:rPr>
        <w:t>公务员医疗补助（项）：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13.50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比上年预算数减少14.30万元，下降51.44%，主要原因是标准下调。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9.卫生健康支出（类）行政事业单位医疗（款）其他</w:t>
      </w:r>
      <w:r>
        <w:rPr>
          <w:rFonts w:hint="eastAsia" w:ascii="仿宋_GB2312" w:hAnsi="宋体" w:eastAsia="仿宋_GB2312" w:cs="宋体"/>
          <w:color w:val="000000"/>
          <w:sz w:val="32"/>
          <w:szCs w:val="32"/>
        </w:rPr>
        <w:t>行政事业单位医疗支出（项）：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0.58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比上年预算数增加0.38万元，增长190%，主要原因是：人员工资增加，其他行政事业单位医疗支出相应增加。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10.住房保障支出（类）住房改革（款）住房公积金</w:t>
      </w:r>
      <w:r>
        <w:rPr>
          <w:rFonts w:hint="eastAsia" w:ascii="仿宋_GB2312" w:hAnsi="宋体" w:eastAsia="仿宋_GB2312" w:cs="宋体"/>
          <w:color w:val="00000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62.86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比上年预算数增加62.86万元，增长100%，主要原因是：住房公积金由行政运行调出，单独列示。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关于昌吉州政协2022年一般公共预算基本支出情况说明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昌吉州政协2022年一般公共预算基本支出</w:t>
      </w:r>
      <w:r>
        <w:rPr>
          <w:rFonts w:hint="eastAsia" w:ascii="仿宋_GB2312" w:hAnsi="宋体" w:eastAsia="仿宋_GB2312" w:cs="宋体"/>
          <w:kern w:val="0"/>
          <w:sz w:val="32"/>
          <w:szCs w:val="32"/>
          <w:lang w:val="en-US" w:eastAsia="zh-CN"/>
        </w:rPr>
        <w:t>919</w:t>
      </w:r>
      <w:r>
        <w:rPr>
          <w:rFonts w:hint="eastAsia" w:ascii="仿宋_GB2312" w:hAnsi="宋体" w:eastAsia="仿宋_GB2312" w:cs="宋体"/>
          <w:kern w:val="0"/>
          <w:sz w:val="32"/>
          <w:szCs w:val="32"/>
        </w:rPr>
        <w:t>.32万元，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797.51万元，主要包括：基本工资224.92万元、津贴补贴189.39万元、奖金18.38万元、绩效工资21.41万元、机关事业单位基本养老保险缴费72.00万元、职工基本医疗保险缴费42.75万元、公务员医疗补助缴费13.50万元、其他社会保障缴费0.79万元、住房公积金62.86万元、其他工资福利支出52.06万元、离休费23.65万元、生活补助1.47万元、医疗费补助69.27万元、奖励金5.06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121.81万元，主要包括：办公费11.64万元、水费1.50万元、电费4.50万元、邮电费4.00万元、取暖费7.68万元、差旅费1.00万元、维修（护）费3.00万元、公务接待费2.64万元、劳务费8.00万元、工会经费8.46万元、福利费7.62万元、公务用车运行维护费46.00万元、其他商品和服务支出15.77万元等。</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关于昌吉州政协2022年一般公共预算项目支出情况说明</w:t>
      </w:r>
    </w:p>
    <w:p>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bCs/>
          <w:sz w:val="32"/>
          <w:szCs w:val="32"/>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专门委员会工作及政协委员活动经费</w:t>
      </w:r>
    </w:p>
    <w:p>
      <w:pPr>
        <w:widowControl/>
        <w:spacing w:line="580" w:lineRule="exact"/>
        <w:ind w:firstLine="640" w:firstLineChars="20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：昌吉州政协“三定方案”及承担的政协工作基本情况</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83万元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：昌吉州政协</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：按业务开展进度拨付</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2022年全年</w:t>
      </w:r>
    </w:p>
    <w:p>
      <w:pPr>
        <w:widowControl/>
        <w:spacing w:line="580" w:lineRule="exact"/>
        <w:ind w:firstLine="640"/>
        <w:jc w:val="left"/>
        <w:rPr>
          <w:rFonts w:ascii="仿宋_GB2312" w:hAnsi="黑体" w:eastAsia="仿宋_GB2312"/>
          <w:sz w:val="32"/>
          <w:szCs w:val="32"/>
        </w:rPr>
      </w:pPr>
      <w:r>
        <w:rPr>
          <w:rFonts w:hint="eastAsia" w:ascii="仿宋_GB2312" w:hAnsi="宋体" w:eastAsia="仿宋_GB2312" w:cs="宋体"/>
          <w:kern w:val="0"/>
          <w:sz w:val="32"/>
          <w:szCs w:val="32"/>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机关运转财政补助经费</w:t>
      </w:r>
    </w:p>
    <w:p>
      <w:pPr>
        <w:widowControl/>
        <w:spacing w:line="580" w:lineRule="exact"/>
        <w:ind w:firstLine="640" w:firstLineChars="20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：昌吉州政协“三定方案”中涉及的政协委员活动职责</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132万元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：本单位</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：按业务开展进度拨付</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2022年全年</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八、关于昌吉州政协2022年一般公共预算“三公”经费预算情况说明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昌吉州政协2022年一般公共预算“三公”经费数为48.64万元，其中：因公出国（境）费0万元，公务用车购置0万元，公务用车运行费46万元，公务接待费2.64万元。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16.96万元，其中：因公出国（境）费增加0万元，未安排预算；公务用车购置费为0万元，未安排预算。公务用车运行费增加16万元，增长53.33%，主要原因是厅级领导防疫、督导等任务重，财政调增指标；公务接待费增加0.96万元，增长57.14%，主要原因是财政调增指标。</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九、关于昌吉州政协2022年政府性基金预算拨款情况说明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昌吉州政协2022年没有使用政府性基金预算拨款安排的支出，政府性基金预算支出情况表为空表。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昌吉州政协的机关运行经费财政拨款预算121.81万元，比上年预算减少106.36万元，下降46.61%。主要原因是机关运转补助经费调出，列入其他运转类项目预算。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昌吉州政协政府采购预算156.44万元，其中：政府采购货物预算14.42万元，政府采购工程预算0万元，政府采购服务预算142.02万元。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2022年度本部门面向中小企业预留政府采购项目预算金额113.38万元，其中：面向小微企业预留政府采购项目预算金额0万元。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截至2021年底，昌吉州政协及下属各预算单位占用使用国有资产总体情况为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1.房屋3074.32平方米，价值274.85万元。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2.车辆8辆，价值182.64万元；其中：一般公务用车8辆，价值182.64万元；执法执勤用车0辆，价值0万元；其他车辆0辆，价值0万元。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3.办公家具价值88.30万元。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4.其他资产价值150.93万元。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单位价值50万元以上大型设备0台（套），单位价值100万元以上大型设备0台（套）。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2022年昌吉州政协部门预算未安排购置车辆经费，安排购置50万元以上大型设备0台（套），单位价值100万元以上大型设备0台（套）。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2022年，本年度预算绩效管理的财政拨款项目2个，涉及预算金额215万元。具体情况见下表（按项目分别填报）：</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70"/>
        <w:gridCol w:w="10"/>
        <w:gridCol w:w="906"/>
        <w:gridCol w:w="1476"/>
        <w:gridCol w:w="1039"/>
        <w:gridCol w:w="1481"/>
        <w:gridCol w:w="1183"/>
      </w:tblGrid>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5"/>
                <w:szCs w:val="15"/>
              </w:rPr>
              <w:t>中国人民政治协商会议新疆昌吉回族自治州委员会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5"/>
                <w:szCs w:val="15"/>
              </w:rPr>
              <w:t>专门委员会工作及政协委员活动经费</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83</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83</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54"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 保证州各专门委员会的工作能够有效落实，使政治协商、民主监督、参政议政的三大主要职能得到实施，围绕党委的中心工作开展调研、视察工作，为州党委的决策提供依据。目标1：全年组织委员调研视察8次;目标2：完成调研课题3项完成视察课题3项；目标3：评议部门2个，提出意见、建议50条。提高政协委员参政议政的能力。</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7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7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组织委员调研视察（次）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&gt;=8次</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完成调研、视察报告数量（篇）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&gt;=6篇</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民主评议部门（个）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=2个</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提出意见、建议数量（条）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&gt;=50条</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调研、视察报告经州领导批示率（%）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&gt;=66.70%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调研视察、民主评议完成及时率（%）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各项工作完成时限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2022年12月底</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专门委员会办公经费支出（万元）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&lt;=40万元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政协领导检查、督导，专门委员会差旅费支出（万元）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&lt;=33万元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政协委员培训（万元）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&lt;=10万元</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7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调研、视察提出意见、建议采纳率（%）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&gt;=70%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持续提高政协委员参政议政的能力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持续提高</w:t>
            </w:r>
          </w:p>
        </w:tc>
      </w:tr>
      <w:tr>
        <w:tblPrEx>
          <w:tblLayout w:type="fixed"/>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7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政协委员履职满意度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5"/>
                <w:szCs w:val="15"/>
              </w:rPr>
              <w:t>中国人民政治协商会议新疆昌吉回族自治州委员会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5"/>
                <w:szCs w:val="15"/>
              </w:rPr>
              <w:t>机关运转财政补助经费</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132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132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54"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 保证州各专门委员会的工作能够有效落实，使政治协商、民主监督、参政议政的三大主要职能得到实施，围绕党委的中心工作开展调研、视察工作，为州党委的决策提供依据。目标1：全年组织委员调研视察8次;目标2：完成调研课题3项完成视察课题3项；目标3：评议部门2个，提出意见、建议50条。提高政协委员参政议政的能力。</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7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7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租用公务用车（辆）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&lt;=4辆</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聘用物业管理人员（人）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=7人</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组织老干部活动（次）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&gt;=2次</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就餐人员保障率（%）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20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老干部活动完成率（%）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各项任务完成及时率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慰问老干部活动完成时限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10月底前</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租用公务用车相关费用（万元）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&lt;=50万元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物业管理经费（万元）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&lt;=32.16万元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老干部活动经费（万元）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&lt;=10万元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机关食堂运转经费（万元）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&lt;=39.84万元</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7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机关安全保障能力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得到提升</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老干部参加活动积极性</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持续提高</w:t>
            </w:r>
          </w:p>
        </w:tc>
      </w:tr>
      <w:tr>
        <w:tblPrEx>
          <w:tblLayout w:type="fixed"/>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7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4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机关干部职工满意度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bl>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bookmarkStart w:id="0" w:name="_GoBack"/>
      <w:bookmarkEnd w:id="0"/>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昌吉州政协</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path/>
          <v:fill on="f" focussize="0,0"/>
          <v:stroke on="f" joinstyle="miter"/>
          <v:imagedata o:title=""/>
          <o:lock v:ext="edit"/>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_x0000_s1028" o:spid="_x0000_s1028"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path/>
          <v:fill on="f" focussize="0,0"/>
          <v:stroke on="f" joinstyle="miter"/>
          <v:imagedata o:title=""/>
          <o:lock v:ext="edit"/>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v:textbox>
        </v:shape>
      </w:pic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_x0000_s1027" o:spid="_x0000_s1027"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path/>
          <v:fill on="f" focussize="0,0"/>
          <v:stroke on="f" weight="0.5pt" joinstyle="miter"/>
          <v:imagedata o:title=""/>
          <o:lock v:ext="edit"/>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- 58 -</w:t>
                </w:r>
                <w:r>
                  <w:rPr>
                    <w:rFonts w:hint="eastAsia" w:ascii="宋体" w:hAnsi="宋体" w:cs="宋体"/>
                    <w:sz w:val="28"/>
                    <w:szCs w:val="28"/>
                  </w:rPr>
                  <w:fldChar w:fldCharType="end"/>
                </w:r>
              </w:p>
            </w:txbxContent>
          </v:textbox>
        </v:shape>
      </w:pic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4D477F"/>
    <w:rsid w:val="001E49DA"/>
    <w:rsid w:val="002E5250"/>
    <w:rsid w:val="003923D8"/>
    <w:rsid w:val="004265FD"/>
    <w:rsid w:val="00432BE1"/>
    <w:rsid w:val="0047118F"/>
    <w:rsid w:val="004A4E32"/>
    <w:rsid w:val="004D477F"/>
    <w:rsid w:val="0059437A"/>
    <w:rsid w:val="0090107A"/>
    <w:rsid w:val="00944B81"/>
    <w:rsid w:val="00A56163"/>
    <w:rsid w:val="00AF3F7E"/>
    <w:rsid w:val="00B141E5"/>
    <w:rsid w:val="00C12D75"/>
    <w:rsid w:val="00CE4C77"/>
    <w:rsid w:val="00D85033"/>
    <w:rsid w:val="00F91EEB"/>
    <w:rsid w:val="03F969B4"/>
    <w:rsid w:val="095F3626"/>
    <w:rsid w:val="0AAC4264"/>
    <w:rsid w:val="0B5E6B96"/>
    <w:rsid w:val="0EA33C4B"/>
    <w:rsid w:val="0F2B2C20"/>
    <w:rsid w:val="10ED2925"/>
    <w:rsid w:val="140575BF"/>
    <w:rsid w:val="14C203E0"/>
    <w:rsid w:val="158838FB"/>
    <w:rsid w:val="15A4052A"/>
    <w:rsid w:val="15FF73EC"/>
    <w:rsid w:val="16734ECE"/>
    <w:rsid w:val="171F695B"/>
    <w:rsid w:val="17E672A8"/>
    <w:rsid w:val="190C12A6"/>
    <w:rsid w:val="1B745C6E"/>
    <w:rsid w:val="1BAA45F8"/>
    <w:rsid w:val="1BBE1B85"/>
    <w:rsid w:val="1C1B657B"/>
    <w:rsid w:val="1C2B1BA3"/>
    <w:rsid w:val="1CFE5AA7"/>
    <w:rsid w:val="207C084C"/>
    <w:rsid w:val="2256666F"/>
    <w:rsid w:val="22D86CCA"/>
    <w:rsid w:val="25AA62AF"/>
    <w:rsid w:val="28FF7158"/>
    <w:rsid w:val="298A066E"/>
    <w:rsid w:val="2AC541A0"/>
    <w:rsid w:val="2B273415"/>
    <w:rsid w:val="2C7C6C3C"/>
    <w:rsid w:val="2EA461D8"/>
    <w:rsid w:val="2EB40F43"/>
    <w:rsid w:val="2FA807A8"/>
    <w:rsid w:val="2FF35E1A"/>
    <w:rsid w:val="30DE6AA3"/>
    <w:rsid w:val="332E3531"/>
    <w:rsid w:val="334801B9"/>
    <w:rsid w:val="34FC7582"/>
    <w:rsid w:val="35DA64B3"/>
    <w:rsid w:val="36DA0812"/>
    <w:rsid w:val="3912643E"/>
    <w:rsid w:val="3BF26087"/>
    <w:rsid w:val="3C74584C"/>
    <w:rsid w:val="3DF14BF5"/>
    <w:rsid w:val="3FCA48B3"/>
    <w:rsid w:val="41EE530E"/>
    <w:rsid w:val="42552CFA"/>
    <w:rsid w:val="427B0E39"/>
    <w:rsid w:val="42CD4B67"/>
    <w:rsid w:val="436D36AC"/>
    <w:rsid w:val="439B5C1B"/>
    <w:rsid w:val="47BF0432"/>
    <w:rsid w:val="4D930467"/>
    <w:rsid w:val="506F107C"/>
    <w:rsid w:val="510C0513"/>
    <w:rsid w:val="52B44CBB"/>
    <w:rsid w:val="53A037D8"/>
    <w:rsid w:val="594147FB"/>
    <w:rsid w:val="59521727"/>
    <w:rsid w:val="599E0A2B"/>
    <w:rsid w:val="5A623831"/>
    <w:rsid w:val="5CA379D2"/>
    <w:rsid w:val="5E56584D"/>
    <w:rsid w:val="5E90390F"/>
    <w:rsid w:val="5F057A81"/>
    <w:rsid w:val="627157D5"/>
    <w:rsid w:val="648331F9"/>
    <w:rsid w:val="65972DEC"/>
    <w:rsid w:val="66080F20"/>
    <w:rsid w:val="6BF22E7D"/>
    <w:rsid w:val="70E1594B"/>
    <w:rsid w:val="71A674ED"/>
    <w:rsid w:val="72264BAB"/>
    <w:rsid w:val="75166BC2"/>
    <w:rsid w:val="76C82190"/>
    <w:rsid w:val="78856D04"/>
    <w:rsid w:val="795152A0"/>
    <w:rsid w:val="797535E0"/>
    <w:rsid w:val="7B4215C6"/>
    <w:rsid w:val="7B464DC9"/>
    <w:rsid w:val="7B8A6BAC"/>
    <w:rsid w:val="7CBD0AC5"/>
    <w:rsid w:val="7F702A63"/>
    <w:rsid w:val="7FCB27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26</Pages>
  <Words>1959</Words>
  <Characters>11171</Characters>
  <Lines>93</Lines>
  <Paragraphs>26</Paragraphs>
  <TotalTime>55</TotalTime>
  <ScaleCrop>false</ScaleCrop>
  <LinksUpToDate>false</LinksUpToDate>
  <CharactersWithSpaces>13104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cp:lastModifiedBy>
  <cp:lastPrinted>2022-03-24T04:43:00Z</cp:lastPrinted>
  <dcterms:modified xsi:type="dcterms:W3CDTF">2022-04-13T05:14:07Z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