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 w:line="240" w:lineRule="auto"/>
        <w:jc w:val="center"/>
        <w:rPr>
          <w:rFonts w:hint="eastAsia" w:ascii="宋体" w:hAnsi="宋体" w:cs="仿宋_GB2312"/>
          <w:b/>
          <w:bCs/>
          <w:color w:val="auto"/>
          <w:sz w:val="24"/>
          <w:szCs w:val="24"/>
        </w:rPr>
      </w:pPr>
      <w:r>
        <w:rPr>
          <w:rFonts w:hint="eastAsia" w:ascii="宋体" w:hAnsi="宋体" w:cs="仿宋_GB2312"/>
          <w:b/>
          <w:bCs/>
          <w:color w:val="auto"/>
          <w:sz w:val="24"/>
          <w:szCs w:val="24"/>
        </w:rPr>
        <w:t>《</w:t>
      </w:r>
      <w:r>
        <w:rPr>
          <w:rFonts w:hint="eastAsia" w:ascii="宋体" w:hAnsi="宋体" w:cs="仿宋_GB2312"/>
          <w:b/>
          <w:bCs/>
          <w:color w:val="auto"/>
          <w:sz w:val="24"/>
          <w:szCs w:val="24"/>
          <w:lang w:val="zh-CN"/>
        </w:rPr>
        <w:t>奇台县国开矿产能源有限公司新疆奇台县黄羊山11区饰面石材用花岗岩矿④号矿体</w:t>
      </w:r>
      <w:r>
        <w:rPr>
          <w:rFonts w:hint="eastAsia" w:ascii="宋体" w:hAnsi="宋体" w:cs="仿宋_GB2312"/>
          <w:b/>
          <w:bCs/>
          <w:color w:val="auto"/>
          <w:sz w:val="24"/>
          <w:szCs w:val="24"/>
        </w:rPr>
        <w:t>采矿权出让收益评估</w:t>
      </w:r>
      <w:bookmarkStart w:id="0" w:name="_GoBack"/>
      <w:bookmarkEnd w:id="0"/>
      <w:r>
        <w:rPr>
          <w:rFonts w:hint="eastAsia" w:ascii="宋体" w:hAnsi="宋体" w:cs="仿宋_GB2312"/>
          <w:b/>
          <w:bCs/>
          <w:color w:val="auto"/>
          <w:sz w:val="24"/>
          <w:szCs w:val="24"/>
        </w:rPr>
        <w:t>报告》</w:t>
      </w:r>
    </w:p>
    <w:p>
      <w:pPr>
        <w:spacing w:afterLines="50" w:line="240" w:lineRule="auto"/>
        <w:jc w:val="center"/>
        <w:rPr>
          <w:rFonts w:ascii="宋体" w:hAnsi="宋体" w:cs="仿宋_GB2312"/>
          <w:b/>
          <w:bCs/>
          <w:color w:val="auto"/>
          <w:sz w:val="24"/>
          <w:szCs w:val="24"/>
        </w:rPr>
      </w:pPr>
      <w:r>
        <w:rPr>
          <w:rFonts w:hint="eastAsia" w:ascii="宋体" w:hAnsi="宋体" w:cs="仿宋_GB2312"/>
          <w:b/>
          <w:bCs/>
          <w:color w:val="auto"/>
          <w:sz w:val="24"/>
          <w:szCs w:val="24"/>
        </w:rPr>
        <w:t>主要参数表</w:t>
      </w:r>
    </w:p>
    <w:tbl>
      <w:tblPr>
        <w:tblStyle w:val="6"/>
        <w:tblW w:w="861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623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评估项目名称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left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val="zh-CN"/>
              </w:rPr>
              <w:t>奇台县国开矿产能源有限公司新疆奇台县黄羊山11区饰面石材用花岗岩矿④号矿体</w:t>
            </w:r>
            <w:r>
              <w:rPr>
                <w:rFonts w:hint="eastAsia" w:ascii="仿宋_GB2312" w:eastAsia="仿宋_GB2312" w:cs="宋体"/>
                <w:color w:val="auto"/>
                <w:szCs w:val="21"/>
              </w:rPr>
              <w:t>采矿权出让收益评估报告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勘查程度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勘探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矿种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花岗岩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评估目的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为拟出让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  <w:t>采矿权提供出让收益参考意见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出让机关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昌吉州自然资源局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评估委托人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昌吉州自然资源局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评估方法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</w:rPr>
              <w:t>折现现金流量法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</w:rPr>
              <w:t>评估矿区</w:t>
            </w:r>
            <w:r>
              <w:rPr>
                <w:rFonts w:hint="eastAsia" w:ascii="仿宋_GB2312" w:eastAsia="仿宋_GB2312"/>
                <w:color w:val="auto"/>
                <w:lang w:val="en-US" w:eastAsia="zh-CN"/>
              </w:rPr>
              <w:t>范围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面积：1.54km</w:t>
            </w:r>
            <w:r>
              <w:rPr>
                <w:rFonts w:hint="eastAsia" w:ascii="仿宋_GB2312" w:eastAsia="仿宋_GB2312" w:cs="宋体"/>
                <w:color w:val="auto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eastAsia" w:ascii="仿宋_GB2312" w:eastAsia="仿宋_GB2312" w:cs="宋体"/>
                <w:color w:val="auto"/>
                <w:szCs w:val="21"/>
                <w:vertAlign w:val="baseline"/>
                <w:lang w:eastAsia="zh-CN"/>
              </w:rPr>
              <w:t>，标高</w:t>
            </w:r>
            <w:r>
              <w:rPr>
                <w:rFonts w:hint="eastAsia" w:ascii="仿宋_GB2312" w:eastAsia="仿宋_GB2312" w:cs="宋体"/>
                <w:color w:val="auto"/>
                <w:szCs w:val="21"/>
                <w:vertAlign w:val="baseline"/>
                <w:lang w:val="en-US" w:eastAsia="zh-CN"/>
              </w:rPr>
              <w:t>1231米-1160米</w:t>
            </w:r>
            <w:r>
              <w:rPr>
                <w:rFonts w:hint="eastAsia" w:ascii="仿宋_GB2312" w:eastAsia="仿宋_GB2312" w:cs="宋体"/>
                <w:color w:val="auto"/>
                <w:szCs w:val="21"/>
                <w:vertAlign w:val="baseline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资源储量合计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left"/>
              <w:textAlignment w:val="auto"/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  <w:t>保有</w:t>
            </w:r>
            <w:r>
              <w:rPr>
                <w:rFonts w:hint="eastAsia" w:ascii="仿宋_GB2312" w:eastAsia="仿宋_GB2312" w:cs="宋体"/>
                <w:color w:val="auto"/>
                <w:szCs w:val="21"/>
              </w:rPr>
              <w:t>资源量（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TM+KZ</w:t>
            </w:r>
            <w:r>
              <w:rPr>
                <w:rFonts w:hint="eastAsia" w:ascii="仿宋_GB2312" w:eastAsia="仿宋_GB2312" w:cs="宋体"/>
                <w:color w:val="auto"/>
                <w:szCs w:val="21"/>
              </w:rPr>
              <w:t>+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TD</w:t>
            </w:r>
            <w:r>
              <w:rPr>
                <w:rFonts w:hint="eastAsia" w:ascii="仿宋_GB2312" w:eastAsia="仿宋_GB2312" w:cs="宋体"/>
                <w:color w:val="auto"/>
                <w:szCs w:val="21"/>
              </w:rPr>
              <w:t>）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为：矿石量1375.01万立方米，荒料量268.00万立方米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  <w:t>；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其中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  <w:t>：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探明资源量为矿石294.85万立方米，荒料量57.47万立方米；控制资源量为矿石量619.38万立方米，荒料量120.72万立方米，推断资源量为矿石量460.78万立方米，荒料量89.81万立方米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生产规模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</w:rPr>
              <w:t>生产规模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9万立方米</w:t>
            </w:r>
            <w:r>
              <w:rPr>
                <w:rFonts w:hint="eastAsia" w:ascii="仿宋_GB2312" w:eastAsia="仿宋_GB2312" w:cs="宋体"/>
                <w:color w:val="auto"/>
                <w:szCs w:val="21"/>
              </w:rPr>
              <w:t>/年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荒料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ascii="仿宋_GB2312" w:eastAsia="仿宋_GB2312"/>
                <w:color w:val="auto"/>
              </w:rPr>
            </w:pPr>
            <w:r>
              <w:rPr>
                <w:rFonts w:hint="eastAsia" w:ascii="仿宋_GB2312" w:eastAsia="仿宋_GB2312"/>
                <w:color w:val="auto"/>
              </w:rPr>
              <w:t>可采储量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hint="default" w:ascii="仿宋_GB2312" w:eastAsia="仿宋_GB2312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266.16万立方米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荒料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矿山理论服务年限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28.99</w:t>
            </w:r>
            <w:r>
              <w:rPr>
                <w:rFonts w:hint="eastAsia" w:ascii="仿宋_GB2312" w:eastAsia="仿宋_GB2312" w:cs="宋体"/>
                <w:color w:val="auto"/>
                <w:szCs w:val="21"/>
              </w:rPr>
              <w:t>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评估服务年限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29.99</w:t>
            </w:r>
            <w:r>
              <w:rPr>
                <w:rFonts w:hint="eastAsia" w:ascii="仿宋_GB2312" w:eastAsia="仿宋_GB2312" w:cs="宋体"/>
                <w:color w:val="auto"/>
                <w:szCs w:val="21"/>
              </w:rPr>
              <w:t>年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基建期1年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产品方案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  <w:t>饰面石材用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花岗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  <w:t>岩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荒料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采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、</w:t>
            </w:r>
            <w:r>
              <w:rPr>
                <w:rFonts w:hint="eastAsia" w:ascii="仿宋_GB2312" w:eastAsia="仿宋_GB2312"/>
                <w:color w:val="auto"/>
                <w:lang w:val="en-US" w:eastAsia="zh-CN"/>
              </w:rPr>
              <w:t>选</w:t>
            </w:r>
            <w:r>
              <w:rPr>
                <w:rFonts w:hint="eastAsia" w:ascii="仿宋_GB2312" w:eastAsia="仿宋_GB2312"/>
                <w:color w:val="auto"/>
              </w:rPr>
              <w:t>矿技术指标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left"/>
              <w:textAlignment w:val="auto"/>
              <w:rPr>
                <w:rFonts w:hint="default" w:ascii="仿宋_GB2312" w:eastAsia="仿宋_GB2312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露天</w:t>
            </w:r>
            <w:r>
              <w:rPr>
                <w:rFonts w:hint="eastAsia" w:ascii="仿宋_GB2312" w:eastAsia="仿宋_GB2312" w:cs="宋体"/>
                <w:color w:val="auto"/>
                <w:szCs w:val="21"/>
              </w:rPr>
              <w:t>开采；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设计损失荒料量1.84万立方米，吊装运输损失系数2%。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评估</w:t>
            </w:r>
            <w:r>
              <w:rPr>
                <w:rFonts w:hint="eastAsia" w:ascii="仿宋_GB2312" w:eastAsia="仿宋_GB2312"/>
                <w:color w:val="auto"/>
                <w:lang w:val="en-US" w:eastAsia="zh-CN"/>
              </w:rPr>
              <w:t>年限内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评估利用</w:t>
            </w:r>
            <w:r>
              <w:rPr>
                <w:rFonts w:hint="eastAsia" w:ascii="仿宋_GB2312" w:eastAsia="仿宋_GB2312"/>
                <w:color w:val="auto"/>
                <w:lang w:val="en-US" w:eastAsia="zh-CN"/>
              </w:rPr>
              <w:t>资源</w:t>
            </w:r>
            <w:r>
              <w:rPr>
                <w:rFonts w:hint="eastAsia" w:ascii="仿宋_GB2312" w:eastAsia="仿宋_GB2312"/>
                <w:color w:val="auto"/>
              </w:rPr>
              <w:t>量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268万立方米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荒料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固定资产投资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</w:rPr>
              <w:t>固定资产投资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4157.43</w:t>
            </w:r>
            <w:r>
              <w:rPr>
                <w:rFonts w:hint="eastAsia" w:ascii="仿宋_GB2312" w:eastAsia="仿宋_GB2312" w:cs="宋体"/>
                <w:color w:val="auto"/>
                <w:szCs w:val="21"/>
              </w:rPr>
              <w:t>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原矿销售价格（不含税）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不含税价约为633.81元/立方米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单位总成本费用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</w:rPr>
              <w:t>单位总成本费用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473.21</w:t>
            </w:r>
            <w:r>
              <w:rPr>
                <w:rFonts w:hint="eastAsia" w:ascii="仿宋_GB2312" w:eastAsia="仿宋_GB2312" w:cs="宋体"/>
                <w:color w:val="auto"/>
                <w:szCs w:val="21"/>
              </w:rPr>
              <w:t>元/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立方米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单位经营成本费用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</w:rPr>
              <w:t>单位经营成本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446.36</w:t>
            </w:r>
            <w:r>
              <w:rPr>
                <w:rFonts w:hint="eastAsia" w:ascii="仿宋_GB2312" w:eastAsia="仿宋_GB2312" w:cs="宋体"/>
                <w:color w:val="auto"/>
                <w:szCs w:val="21"/>
              </w:rPr>
              <w:t>元/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立方米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折现率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</w:rPr>
              <w:t>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lang w:val="en-US" w:eastAsia="zh-CN"/>
              </w:rPr>
              <w:t>出让收益</w:t>
            </w:r>
            <w:r>
              <w:rPr>
                <w:rFonts w:hint="eastAsia" w:ascii="仿宋_GB2312" w:eastAsia="仿宋_GB2312"/>
                <w:color w:val="auto"/>
              </w:rPr>
              <w:t>评估价值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left"/>
              <w:textAlignment w:val="auto"/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6303.64万元，大写人民币：陆仟叁佰零叁万陆仟肆佰元整。折合饰面石材用大理岩荒料单位资源量出让收益评估价值23.52元/立方米。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评估基准日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</w:rPr>
              <w:t>20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25</w:t>
            </w:r>
            <w:r>
              <w:rPr>
                <w:rFonts w:hint="eastAsia" w:ascii="仿宋_GB2312" w:eastAsia="仿宋_GB2312" w:cs="宋体"/>
                <w:color w:val="auto"/>
                <w:szCs w:val="21"/>
              </w:rPr>
              <w:t>年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7</w:t>
            </w:r>
            <w:r>
              <w:rPr>
                <w:rFonts w:hint="eastAsia" w:ascii="仿宋_GB2312" w:eastAsia="仿宋_GB2312" w:cs="宋体"/>
                <w:color w:val="auto"/>
                <w:szCs w:val="21"/>
              </w:rPr>
              <w:t>月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31</w:t>
            </w:r>
            <w:r>
              <w:rPr>
                <w:rFonts w:hint="eastAsia" w:ascii="仿宋_GB2312" w:eastAsia="仿宋_GB2312" w:cs="宋体"/>
                <w:color w:val="auto"/>
                <w:szCs w:val="21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评估机构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</w:rPr>
              <w:t>乌鲁木齐西源矿业信息咨询有限公司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法定代表人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康富栋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项目负责人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杨承海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签字评估师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20" w:lineRule="exact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杨承海</w:t>
            </w:r>
            <w:r>
              <w:rPr>
                <w:rFonts w:hint="eastAsia" w:ascii="仿宋_GB2312" w:eastAsia="仿宋_GB2312" w:cs="宋体"/>
                <w:color w:val="auto"/>
                <w:szCs w:val="21"/>
              </w:rPr>
              <w:t>、康富栋</w:t>
            </w:r>
          </w:p>
        </w:tc>
      </w:tr>
    </w:tbl>
    <w:p>
      <w:pPr>
        <w:rPr>
          <w:color w:val="auto"/>
        </w:rPr>
      </w:pP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wN2VlZGQ3ZjdmZTZmNDFkOTQ4YWJiZmY0Y2ZhY2IifQ=="/>
  </w:docVars>
  <w:rsids>
    <w:rsidRoot w:val="00586447"/>
    <w:rsid w:val="000202CF"/>
    <w:rsid w:val="00090698"/>
    <w:rsid w:val="001051B4"/>
    <w:rsid w:val="00157F58"/>
    <w:rsid w:val="001D554F"/>
    <w:rsid w:val="002145E6"/>
    <w:rsid w:val="00275440"/>
    <w:rsid w:val="003A3BA4"/>
    <w:rsid w:val="003A6179"/>
    <w:rsid w:val="003B0A0C"/>
    <w:rsid w:val="00417AD8"/>
    <w:rsid w:val="00422EF9"/>
    <w:rsid w:val="004A5288"/>
    <w:rsid w:val="00577D67"/>
    <w:rsid w:val="00586447"/>
    <w:rsid w:val="005B0B14"/>
    <w:rsid w:val="005B15D5"/>
    <w:rsid w:val="005C0030"/>
    <w:rsid w:val="005E4289"/>
    <w:rsid w:val="006677BD"/>
    <w:rsid w:val="00687597"/>
    <w:rsid w:val="006D4EB3"/>
    <w:rsid w:val="00712EA4"/>
    <w:rsid w:val="00722744"/>
    <w:rsid w:val="007903B4"/>
    <w:rsid w:val="00883434"/>
    <w:rsid w:val="00931BD2"/>
    <w:rsid w:val="009B5E59"/>
    <w:rsid w:val="00A05BC3"/>
    <w:rsid w:val="00AF4E61"/>
    <w:rsid w:val="00B020B9"/>
    <w:rsid w:val="00B52672"/>
    <w:rsid w:val="00B7531E"/>
    <w:rsid w:val="00BD75E1"/>
    <w:rsid w:val="00C300F7"/>
    <w:rsid w:val="00C46496"/>
    <w:rsid w:val="00C65EDC"/>
    <w:rsid w:val="00C83CDE"/>
    <w:rsid w:val="00D46AF7"/>
    <w:rsid w:val="00D84304"/>
    <w:rsid w:val="00DB7263"/>
    <w:rsid w:val="00E110C4"/>
    <w:rsid w:val="00E71B16"/>
    <w:rsid w:val="00EB1541"/>
    <w:rsid w:val="00EE3D4E"/>
    <w:rsid w:val="00EF679C"/>
    <w:rsid w:val="00F150CD"/>
    <w:rsid w:val="017164D8"/>
    <w:rsid w:val="040E09FE"/>
    <w:rsid w:val="06C5267D"/>
    <w:rsid w:val="0BA803EC"/>
    <w:rsid w:val="0CCF33A6"/>
    <w:rsid w:val="0D7F51FB"/>
    <w:rsid w:val="0DDD0653"/>
    <w:rsid w:val="0E884AC8"/>
    <w:rsid w:val="10275037"/>
    <w:rsid w:val="10436EEF"/>
    <w:rsid w:val="10700374"/>
    <w:rsid w:val="10F27161"/>
    <w:rsid w:val="158207ED"/>
    <w:rsid w:val="17430560"/>
    <w:rsid w:val="174D43AA"/>
    <w:rsid w:val="1CAB4A05"/>
    <w:rsid w:val="1E625A64"/>
    <w:rsid w:val="1EE43FCA"/>
    <w:rsid w:val="202D5877"/>
    <w:rsid w:val="207954F5"/>
    <w:rsid w:val="22FB7E1B"/>
    <w:rsid w:val="249A325F"/>
    <w:rsid w:val="28796C4A"/>
    <w:rsid w:val="294F28CA"/>
    <w:rsid w:val="298227C9"/>
    <w:rsid w:val="2BA61037"/>
    <w:rsid w:val="2DD86E3D"/>
    <w:rsid w:val="2FC777D3"/>
    <w:rsid w:val="30201A70"/>
    <w:rsid w:val="30646B9F"/>
    <w:rsid w:val="31E1129F"/>
    <w:rsid w:val="31FF14C5"/>
    <w:rsid w:val="368E7FB7"/>
    <w:rsid w:val="39BF3488"/>
    <w:rsid w:val="3AD636A7"/>
    <w:rsid w:val="3D2264CD"/>
    <w:rsid w:val="3F3F6937"/>
    <w:rsid w:val="3F5D34C5"/>
    <w:rsid w:val="406B0139"/>
    <w:rsid w:val="406C65EF"/>
    <w:rsid w:val="41C538B7"/>
    <w:rsid w:val="41F713B4"/>
    <w:rsid w:val="41F96F3D"/>
    <w:rsid w:val="41FA46E7"/>
    <w:rsid w:val="4567646C"/>
    <w:rsid w:val="489D5CF9"/>
    <w:rsid w:val="4B645A36"/>
    <w:rsid w:val="4D5E1F34"/>
    <w:rsid w:val="500B1CC2"/>
    <w:rsid w:val="50FF7014"/>
    <w:rsid w:val="51B77759"/>
    <w:rsid w:val="51D22390"/>
    <w:rsid w:val="53A266A2"/>
    <w:rsid w:val="570566FB"/>
    <w:rsid w:val="57AC1170"/>
    <w:rsid w:val="57D21476"/>
    <w:rsid w:val="59266609"/>
    <w:rsid w:val="5AF923D5"/>
    <w:rsid w:val="5C606182"/>
    <w:rsid w:val="5E0A14AE"/>
    <w:rsid w:val="5E322D12"/>
    <w:rsid w:val="5E5F6D73"/>
    <w:rsid w:val="5FA343ED"/>
    <w:rsid w:val="5FF52853"/>
    <w:rsid w:val="612F176B"/>
    <w:rsid w:val="612F589E"/>
    <w:rsid w:val="61934116"/>
    <w:rsid w:val="61E174D1"/>
    <w:rsid w:val="64A04DC8"/>
    <w:rsid w:val="662F38E8"/>
    <w:rsid w:val="6B38411C"/>
    <w:rsid w:val="6DA5433C"/>
    <w:rsid w:val="6EA10040"/>
    <w:rsid w:val="6F06035F"/>
    <w:rsid w:val="706D3EC0"/>
    <w:rsid w:val="71E5583A"/>
    <w:rsid w:val="739849BC"/>
    <w:rsid w:val="73A611D5"/>
    <w:rsid w:val="73E338DD"/>
    <w:rsid w:val="741D7EAA"/>
    <w:rsid w:val="77057CCB"/>
    <w:rsid w:val="78013A40"/>
    <w:rsid w:val="79C13E0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beforeLines="0" w:after="260" w:afterLines="0" w:line="416" w:lineRule="auto"/>
      <w:outlineLvl w:val="2"/>
    </w:pPr>
    <w:rPr>
      <w:rFonts w:eastAsia="仿宋_GB2312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/>
    </w:p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报告正文 Char"/>
    <w:link w:val="11"/>
    <w:qFormat/>
    <w:uiPriority w:val="0"/>
    <w:rPr>
      <w:rFonts w:ascii="宋体" w:hAnsi="宋体"/>
      <w:kern w:val="0"/>
      <w:sz w:val="28"/>
      <w:szCs w:val="20"/>
    </w:rPr>
  </w:style>
  <w:style w:type="paragraph" w:customStyle="1" w:styleId="11">
    <w:name w:val="报告正文"/>
    <w:basedOn w:val="1"/>
    <w:link w:val="10"/>
    <w:qFormat/>
    <w:uiPriority w:val="0"/>
    <w:pPr>
      <w:spacing w:line="360" w:lineRule="auto"/>
      <w:ind w:firstLine="560" w:firstLineChars="200"/>
    </w:pPr>
    <w:rPr>
      <w:rFonts w:ascii="宋体" w:hAnsi="宋体"/>
      <w:kern w:val="0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524</Words>
  <Characters>612</Characters>
  <Lines>5</Lines>
  <Paragraphs>1</Paragraphs>
  <TotalTime>15</TotalTime>
  <ScaleCrop>false</ScaleCrop>
  <LinksUpToDate>false</LinksUpToDate>
  <CharactersWithSpaces>612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2017-11-18T08:51:00Z</dcterms:created>
  <dc:creator>acer</dc:creator>
  <cp:lastModifiedBy>名字不要起的太长太长太长比如像我就不好了</cp:lastModifiedBy>
  <cp:lastPrinted>2025-08-28T04:02:35Z</cp:lastPrinted>
  <dcterms:modified xsi:type="dcterms:W3CDTF">2025-08-28T04:12:30Z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D7211B7C9927479C855066B941EAB891</vt:lpwstr>
  </property>
  <property fmtid="{D5CDD505-2E9C-101B-9397-08002B2CF9AE}" pid="4" name="KSOTemplateDocerSaveRecord">
    <vt:lpwstr>eyJoZGlkIjoiY2Y4NDM2MDI2MGI2ZTViNjdmODJkYjFmOTljNmRjYjgiLCJ1c2VySWQiOiI1NTUwNDAxODEifQ==</vt:lpwstr>
  </property>
</Properties>
</file>