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213AB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附件1</w:t>
      </w:r>
    </w:p>
    <w:p w14:paraId="313DCA9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新宋体" w:hAnsi="新宋体" w:eastAsia="新宋体" w:cs="新宋体"/>
          <w:sz w:val="32"/>
          <w:szCs w:val="32"/>
        </w:rPr>
      </w:pPr>
      <w:r>
        <w:rPr>
          <w:rFonts w:hint="eastAsia" w:ascii="方正小标宋简体" w:hAnsi="方正小标宋简体" w:eastAsia="方正小标宋简体" w:cs="方正小标宋简体"/>
          <w:b w:val="0"/>
          <w:bCs w:val="0"/>
          <w:sz w:val="44"/>
          <w:szCs w:val="44"/>
        </w:rPr>
        <w:t>既有小区公用桩建设管理流程</w:t>
      </w:r>
    </w:p>
    <w:p w14:paraId="3D5363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424242"/>
          <w:kern w:val="0"/>
          <w:sz w:val="32"/>
          <w:szCs w:val="32"/>
          <w:lang w:val="en-US" w:eastAsia="zh-CN" w:bidi="ar-SA"/>
        </w:rPr>
      </w:pPr>
      <w:r>
        <w:rPr>
          <w:rFonts w:hint="eastAsia" w:ascii="仿宋_GB2312" w:hAnsi="仿宋_GB2312" w:eastAsia="仿宋_GB2312" w:cs="仿宋_GB2312"/>
          <w:b w:val="0"/>
          <w:bCs w:val="0"/>
          <w:color w:val="424242"/>
          <w:kern w:val="0"/>
          <w:sz w:val="32"/>
          <w:szCs w:val="32"/>
          <w:lang w:val="en-US" w:eastAsia="zh-CN" w:bidi="ar-SA"/>
        </w:rPr>
        <w:t>一、既有小区建设公用桩须符合以下条件:</w:t>
      </w:r>
    </w:p>
    <w:p w14:paraId="37B3C82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222222"/>
          <w:kern w:val="0"/>
          <w:sz w:val="32"/>
          <w:szCs w:val="32"/>
          <w:lang w:val="en-US" w:eastAsia="zh-CN" w:bidi="ar-SA"/>
        </w:rPr>
      </w:pPr>
      <w:r>
        <w:rPr>
          <w:rFonts w:hint="eastAsia" w:ascii="仿宋_GB2312" w:hAnsi="仿宋_GB2312" w:eastAsia="仿宋_GB2312" w:cs="仿宋_GB2312"/>
          <w:color w:val="222222"/>
          <w:kern w:val="0"/>
          <w:sz w:val="32"/>
          <w:szCs w:val="32"/>
          <w:lang w:val="en-US" w:eastAsia="zh-CN" w:bidi="ar-SA"/>
        </w:rPr>
        <w:t>1.车位条件。小区具备建设公用桩所需的公共车位(包括人防车位、业主共有车位、其他可建设公用桩的车位等)。</w:t>
      </w:r>
    </w:p>
    <w:p w14:paraId="4FBEFC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222222"/>
          <w:kern w:val="0"/>
          <w:sz w:val="32"/>
          <w:szCs w:val="32"/>
          <w:lang w:val="en-US" w:eastAsia="zh-CN" w:bidi="ar-SA"/>
        </w:rPr>
      </w:pPr>
      <w:r>
        <w:rPr>
          <w:rFonts w:hint="eastAsia" w:ascii="仿宋_GB2312" w:hAnsi="仿宋_GB2312" w:eastAsia="仿宋_GB2312" w:cs="仿宋_GB2312"/>
          <w:color w:val="222222"/>
          <w:kern w:val="0"/>
          <w:sz w:val="32"/>
          <w:szCs w:val="32"/>
          <w:lang w:val="en-US" w:eastAsia="zh-CN" w:bidi="ar-SA"/>
        </w:rPr>
        <w:t>2.电力容量。小区剩余电力变配电容量能够满足充电桩用电负荷需求；不满足的，须采用智能有序充电方式建设或开展小区变压器增容，合计新增容量超过160kW后应由充电运营投资方建设配电设施，支持优先应用智能有序充电。</w:t>
      </w:r>
    </w:p>
    <w:p w14:paraId="3BABA1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222222"/>
          <w:kern w:val="0"/>
          <w:sz w:val="32"/>
          <w:szCs w:val="32"/>
          <w:lang w:val="en-US" w:eastAsia="zh-CN" w:bidi="ar-SA"/>
        </w:rPr>
      </w:pPr>
      <w:r>
        <w:rPr>
          <w:rFonts w:hint="eastAsia" w:ascii="仿宋_GB2312" w:hAnsi="仿宋_GB2312" w:eastAsia="仿宋_GB2312" w:cs="仿宋_GB2312"/>
          <w:color w:val="222222"/>
          <w:kern w:val="0"/>
          <w:sz w:val="32"/>
          <w:szCs w:val="32"/>
          <w:lang w:val="en-US" w:eastAsia="zh-CN" w:bidi="ar-SA"/>
        </w:rPr>
        <w:t>3.消防设施。小区地下、半地下车库和高层汽车库具备火灾自动报警系统、排烟设施、自动喷水灭火系统、消防应急照明和疏散指示标志。</w:t>
      </w:r>
    </w:p>
    <w:p w14:paraId="66061E3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424242"/>
          <w:kern w:val="0"/>
          <w:sz w:val="32"/>
          <w:szCs w:val="32"/>
          <w:lang w:val="en-US" w:eastAsia="zh-CN" w:bidi="ar-SA"/>
        </w:rPr>
      </w:pPr>
      <w:r>
        <w:rPr>
          <w:rFonts w:hint="eastAsia" w:ascii="仿宋_GB2312" w:hAnsi="仿宋_GB2312" w:eastAsia="仿宋_GB2312" w:cs="仿宋_GB2312"/>
          <w:b w:val="0"/>
          <w:bCs w:val="0"/>
          <w:color w:val="424242"/>
          <w:kern w:val="0"/>
          <w:sz w:val="32"/>
          <w:szCs w:val="32"/>
          <w:lang w:val="en-US" w:eastAsia="zh-CN" w:bidi="ar-SA"/>
        </w:rPr>
        <w:t>二、既有小区公用桩建设管理流程如下：</w:t>
      </w:r>
    </w:p>
    <w:p w14:paraId="1B1372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222222"/>
          <w:kern w:val="0"/>
          <w:sz w:val="32"/>
          <w:szCs w:val="32"/>
          <w:lang w:val="en-US" w:eastAsia="zh-CN" w:bidi="ar-SA"/>
        </w:rPr>
      </w:pPr>
      <w:r>
        <w:rPr>
          <w:rFonts w:hint="eastAsia" w:ascii="仿宋_GB2312" w:hAnsi="仿宋_GB2312" w:eastAsia="仿宋_GB2312" w:cs="仿宋_GB2312"/>
          <w:color w:val="222222"/>
          <w:kern w:val="0"/>
          <w:sz w:val="32"/>
          <w:szCs w:val="32"/>
          <w:lang w:val="en-US" w:eastAsia="zh-CN" w:bidi="ar-SA"/>
        </w:rPr>
        <w:t>1.签订协议。充电运营商会同小区管理单位进行现场查勘，确认小区满足建设公用桩的基本条件，并将选址情况在小区进行公示(不低于5天)，公示期满后充电运营商与小区管理单位签订建设运营协议，约定各方权责义务、建设运营方式等。</w:t>
      </w:r>
    </w:p>
    <w:p w14:paraId="18052A2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222222"/>
          <w:kern w:val="0"/>
          <w:sz w:val="32"/>
          <w:szCs w:val="32"/>
          <w:lang w:val="en-US" w:eastAsia="zh-CN" w:bidi="ar-SA"/>
        </w:rPr>
      </w:pPr>
      <w:r>
        <w:rPr>
          <w:rFonts w:hint="eastAsia" w:ascii="仿宋_GB2312" w:hAnsi="仿宋_GB2312" w:eastAsia="仿宋_GB2312" w:cs="仿宋_GB2312"/>
          <w:color w:val="222222"/>
          <w:kern w:val="0"/>
          <w:sz w:val="32"/>
          <w:szCs w:val="32"/>
          <w:lang w:val="en-US" w:eastAsia="zh-CN" w:bidi="ar-SA"/>
        </w:rPr>
        <w:t>2.报装申请。向电网企业直接报装接电的，由充电运营商按需向属地供电企业提出申请，供电企业履行一次性告知义务，接收、查验、审核接电申请资料。申请资料包括:</w:t>
      </w:r>
    </w:p>
    <w:p w14:paraId="26D595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222222"/>
          <w:kern w:val="0"/>
          <w:sz w:val="32"/>
          <w:szCs w:val="32"/>
          <w:lang w:val="en-US" w:eastAsia="zh-CN" w:bidi="ar-SA"/>
        </w:rPr>
      </w:pPr>
      <w:r>
        <w:rPr>
          <w:rFonts w:hint="eastAsia" w:ascii="仿宋_GB2312" w:hAnsi="仿宋_GB2312" w:eastAsia="仿宋_GB2312" w:cs="仿宋_GB2312"/>
          <w:color w:val="222222"/>
          <w:kern w:val="0"/>
          <w:sz w:val="32"/>
          <w:szCs w:val="32"/>
          <w:lang w:val="en-US" w:eastAsia="zh-CN" w:bidi="ar-SA"/>
        </w:rPr>
        <w:t>(1)充电运营商营业执照复印件(加盖运营商公章)。</w:t>
      </w:r>
    </w:p>
    <w:p w14:paraId="44ECE1F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222222"/>
          <w:kern w:val="0"/>
          <w:sz w:val="32"/>
          <w:szCs w:val="32"/>
          <w:lang w:val="en-US" w:eastAsia="zh-CN" w:bidi="ar-SA"/>
        </w:rPr>
      </w:pPr>
      <w:r>
        <w:rPr>
          <w:rFonts w:hint="eastAsia" w:ascii="仿宋_GB2312" w:hAnsi="仿宋_GB2312" w:eastAsia="仿宋_GB2312" w:cs="仿宋_GB2312"/>
          <w:color w:val="222222"/>
          <w:kern w:val="0"/>
          <w:sz w:val="32"/>
          <w:szCs w:val="32"/>
          <w:lang w:val="en-US" w:eastAsia="zh-CN" w:bidi="ar-SA"/>
        </w:rPr>
        <w:t>(2)充电运营商法人代表身份证复印件、经办人员身份证复印件以及授权委托书原件(均须加盖公章)。</w:t>
      </w:r>
    </w:p>
    <w:p w14:paraId="6992D71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222222"/>
          <w:kern w:val="0"/>
          <w:sz w:val="32"/>
          <w:szCs w:val="32"/>
          <w:lang w:val="en-US" w:eastAsia="zh-CN" w:bidi="ar-SA"/>
        </w:rPr>
      </w:pPr>
      <w:r>
        <w:rPr>
          <w:rFonts w:hint="eastAsia" w:ascii="仿宋_GB2312" w:hAnsi="仿宋_GB2312" w:eastAsia="仿宋_GB2312" w:cs="仿宋_GB2312"/>
          <w:color w:val="222222"/>
          <w:kern w:val="0"/>
          <w:sz w:val="32"/>
          <w:szCs w:val="32"/>
          <w:lang w:val="en-US" w:eastAsia="zh-CN" w:bidi="ar-SA"/>
        </w:rPr>
        <w:t>(3)小区管理单位与充电运营商签订的同意充电运营商报装接电的合作协议复印件(加盖公章)；无相关协议的，由小区管理单位出具《电力接入说明》(附件1-1)并盖章。</w:t>
      </w:r>
    </w:p>
    <w:p w14:paraId="3A7F95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222222"/>
          <w:kern w:val="0"/>
          <w:sz w:val="32"/>
          <w:szCs w:val="32"/>
          <w:lang w:val="en-US" w:eastAsia="zh-CN" w:bidi="ar-SA"/>
        </w:rPr>
      </w:pPr>
      <w:r>
        <w:rPr>
          <w:rFonts w:hint="eastAsia" w:ascii="仿宋_GB2312" w:hAnsi="仿宋_GB2312" w:eastAsia="仿宋_GB2312" w:cs="仿宋_GB2312"/>
          <w:color w:val="222222"/>
          <w:kern w:val="0"/>
          <w:sz w:val="32"/>
          <w:szCs w:val="32"/>
          <w:lang w:val="en-US" w:eastAsia="zh-CN" w:bidi="ar-SA"/>
        </w:rPr>
        <w:t>3.现场查勘。电网企业受理报装申请后3个工作日内，会同小区管理单位和充电运营商到现场进行用电可行性勘察，小区管理单位应积极配合勘察。</w:t>
      </w:r>
    </w:p>
    <w:p w14:paraId="04DFC0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222222"/>
          <w:kern w:val="0"/>
          <w:sz w:val="32"/>
          <w:szCs w:val="32"/>
          <w:lang w:val="en-US" w:eastAsia="zh-CN" w:bidi="ar-SA"/>
        </w:rPr>
      </w:pPr>
      <w:r>
        <w:rPr>
          <w:rFonts w:hint="eastAsia" w:ascii="仿宋_GB2312" w:hAnsi="仿宋_GB2312" w:eastAsia="仿宋_GB2312" w:cs="仿宋_GB2312"/>
          <w:color w:val="222222"/>
          <w:kern w:val="0"/>
          <w:sz w:val="32"/>
          <w:szCs w:val="32"/>
          <w:lang w:val="en-US" w:eastAsia="zh-CN" w:bidi="ar-SA"/>
        </w:rPr>
        <w:t>现有配电设施确实无法满足公用桩用电负荷需求的，产权为电网企业的，由供电企业提出解决方案；产权为用电用户的，由用电用户会同充电运营商提供解决方案，支持优先应用智能有序充电。</w:t>
      </w:r>
    </w:p>
    <w:p w14:paraId="6F75EB1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222222"/>
          <w:kern w:val="0"/>
          <w:sz w:val="32"/>
          <w:szCs w:val="32"/>
          <w:lang w:val="en-US" w:eastAsia="zh-CN" w:bidi="ar-SA"/>
        </w:rPr>
      </w:pPr>
      <w:r>
        <w:rPr>
          <w:rFonts w:hint="eastAsia" w:ascii="仿宋_GB2312" w:hAnsi="仿宋_GB2312" w:eastAsia="仿宋_GB2312" w:cs="仿宋_GB2312"/>
          <w:color w:val="222222"/>
          <w:kern w:val="0"/>
          <w:sz w:val="32"/>
          <w:szCs w:val="32"/>
          <w:lang w:val="en-US" w:eastAsia="zh-CN" w:bidi="ar-SA"/>
        </w:rPr>
        <w:t>4.施工建设。充电运营商组织具有充电设施安装资质的施工单位，按照相应施工规范、技术标准以及安全管理规定，组织开展工程施工建设。</w:t>
      </w:r>
    </w:p>
    <w:p w14:paraId="109475A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222222"/>
          <w:kern w:val="0"/>
          <w:sz w:val="32"/>
          <w:szCs w:val="32"/>
          <w:lang w:val="en-US" w:eastAsia="zh-CN" w:bidi="ar-SA"/>
        </w:rPr>
      </w:pPr>
      <w:r>
        <w:rPr>
          <w:rFonts w:hint="eastAsia" w:ascii="仿宋_GB2312" w:hAnsi="仿宋_GB2312" w:eastAsia="仿宋_GB2312" w:cs="仿宋_GB2312"/>
          <w:color w:val="222222"/>
          <w:kern w:val="0"/>
          <w:sz w:val="32"/>
          <w:szCs w:val="32"/>
          <w:lang w:val="en-US" w:eastAsia="zh-CN" w:bidi="ar-SA"/>
        </w:rPr>
        <w:t>5.装表接电。电力工程施工完成后，电网企业在三个工作日内完成装表接电。</w:t>
      </w:r>
    </w:p>
    <w:p w14:paraId="0BABBC0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222222"/>
          <w:kern w:val="0"/>
          <w:sz w:val="32"/>
          <w:szCs w:val="32"/>
          <w:lang w:val="en-US" w:eastAsia="zh-CN" w:bidi="ar-SA"/>
        </w:rPr>
      </w:pPr>
      <w:r>
        <w:rPr>
          <w:rFonts w:hint="eastAsia" w:ascii="仿宋_GB2312" w:hAnsi="仿宋_GB2312" w:eastAsia="仿宋_GB2312" w:cs="仿宋_GB2312"/>
          <w:color w:val="222222"/>
          <w:kern w:val="0"/>
          <w:sz w:val="32"/>
          <w:szCs w:val="32"/>
          <w:lang w:val="en-US" w:eastAsia="zh-CN" w:bidi="ar-SA"/>
        </w:rPr>
        <w:t>6.项目验收。项目通电上线后，充电运营商组织整体验收，相关资料留存备查。</w:t>
      </w:r>
    </w:p>
    <w:p w14:paraId="4E53327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222222"/>
          <w:kern w:val="0"/>
          <w:sz w:val="32"/>
          <w:szCs w:val="32"/>
          <w:lang w:val="en-US" w:eastAsia="zh-CN" w:bidi="ar-SA"/>
        </w:rPr>
        <w:t>7.运营维护。充电运营商作为充电设施投资建设主体，履行安全生产主体责任，负责充电设施日常维护管理，承担相应安全管理责任。提供有偿服务的，实行明码标价。协议期满不再运营的，充电运营商应拆除相关设施设备，并恢复原状。</w:t>
      </w:r>
    </w:p>
    <w:p w14:paraId="4E4B0C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小标宋简体" w:hAnsi="方正小标宋简体" w:eastAsia="方正小标宋简体" w:cs="方正小标宋简体"/>
          <w:b w:val="0"/>
          <w:bCs w:val="0"/>
          <w:sz w:val="44"/>
          <w:szCs w:val="44"/>
        </w:rPr>
      </w:pPr>
      <w:r>
        <w:rPr>
          <w:rFonts w:hint="eastAsia" w:ascii="仿宋_GB2312" w:hAnsi="仿宋_GB2312" w:eastAsia="仿宋_GB2312" w:cs="仿宋_GB2312"/>
          <w:color w:val="424242"/>
          <w:kern w:val="0"/>
          <w:sz w:val="32"/>
          <w:szCs w:val="32"/>
          <w:lang w:val="en-US" w:eastAsia="zh-CN" w:bidi="ar-SA"/>
        </w:rPr>
        <w:t>附件1-1.xx小区新能源汽车充电设施电力接入说明（适用运营商报装）</w:t>
      </w:r>
      <w:r>
        <w:rPr>
          <w:rFonts w:hint="eastAsia" w:ascii="方正小标宋简体" w:hAnsi="方正小标宋简体" w:eastAsia="方正小标宋简体" w:cs="方正小标宋简体"/>
          <w:b w:val="0"/>
          <w:bCs w:val="0"/>
          <w:sz w:val="44"/>
          <w:szCs w:val="44"/>
        </w:rPr>
        <w:br w:type="page"/>
      </w:r>
    </w:p>
    <w:p w14:paraId="1086196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val="0"/>
          <w:sz w:val="32"/>
          <w:szCs w:val="32"/>
        </w:rPr>
      </w:pPr>
      <w:r>
        <w:rPr>
          <w:rFonts w:hint="eastAsia" w:ascii="方正小标宋简体" w:hAnsi="方正小标宋简体" w:eastAsia="方正小标宋简体" w:cs="方正小标宋简体"/>
          <w:b w:val="0"/>
          <w:bCs w:val="0"/>
          <w:sz w:val="44"/>
          <w:szCs w:val="44"/>
        </w:rPr>
        <w:t>既有小区</w:t>
      </w:r>
      <w:r>
        <w:rPr>
          <w:rFonts w:hint="eastAsia" w:ascii="方正小标宋简体" w:hAnsi="方正小标宋简体" w:eastAsia="方正小标宋简体" w:cs="方正小标宋简体"/>
          <w:b w:val="0"/>
          <w:bCs w:val="0"/>
          <w:sz w:val="44"/>
          <w:szCs w:val="44"/>
          <w:lang w:val="en-US" w:eastAsia="zh-CN"/>
        </w:rPr>
        <w:t>公</w:t>
      </w:r>
      <w:r>
        <w:rPr>
          <w:rFonts w:hint="eastAsia" w:ascii="方正小标宋简体" w:hAnsi="方正小标宋简体" w:eastAsia="方正小标宋简体" w:cs="方正小标宋简体"/>
          <w:b w:val="0"/>
          <w:bCs w:val="0"/>
          <w:sz w:val="44"/>
          <w:szCs w:val="44"/>
        </w:rPr>
        <w:t>用桩建设管理流程图</w:t>
      </w:r>
    </w:p>
    <w:tbl>
      <w:tblPr>
        <w:tblStyle w:val="9"/>
        <w:tblpPr w:leftFromText="180" w:rightFromText="180" w:vertAnchor="text" w:horzAnchor="page" w:tblpX="1347" w:tblpY="74"/>
        <w:tblOverlap w:val="never"/>
        <w:tblW w:w="953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6"/>
        <w:gridCol w:w="8543"/>
      </w:tblGrid>
      <w:tr w14:paraId="480494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8" w:hRule="atLeast"/>
        </w:trPr>
        <w:tc>
          <w:tcPr>
            <w:tcW w:w="996" w:type="dxa"/>
            <w:noWrap w:val="0"/>
            <w:vAlign w:val="top"/>
          </w:tcPr>
          <w:p w14:paraId="7FA5E734">
            <w:pPr>
              <w:pStyle w:val="8"/>
              <w:keepNext w:val="0"/>
              <w:keepLines w:val="0"/>
              <w:pageBreakBefore w:val="0"/>
              <w:widowControl w:val="0"/>
              <w:kinsoku/>
              <w:wordWrap/>
              <w:overflowPunct/>
              <w:topLinePunct w:val="0"/>
              <w:autoSpaceDE/>
              <w:autoSpaceDN/>
              <w:bidi w:val="0"/>
              <w:adjustRightInd/>
              <w:snapToGrid/>
              <w:spacing w:before="136" w:line="269" w:lineRule="auto"/>
              <w:ind w:left="176" w:right="215"/>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签订协议</w:t>
            </w:r>
          </w:p>
        </w:tc>
        <w:tc>
          <w:tcPr>
            <w:tcW w:w="8543" w:type="dxa"/>
            <w:noWrap w:val="0"/>
            <w:vAlign w:val="center"/>
          </w:tcPr>
          <w:p w14:paraId="3A33D863">
            <w:pPr>
              <w:pStyle w:val="8"/>
              <w:keepNext w:val="0"/>
              <w:keepLines w:val="0"/>
              <w:pageBreakBefore w:val="0"/>
              <w:widowControl w:val="0"/>
              <w:kinsoku/>
              <w:wordWrap/>
              <w:overflowPunct/>
              <w:topLinePunct w:val="0"/>
              <w:autoSpaceDE/>
              <w:autoSpaceDN/>
              <w:bidi w:val="0"/>
              <w:adjustRightInd/>
              <w:snapToGrid/>
              <w:spacing w:line="269" w:lineRule="auto"/>
              <w:ind w:left="210" w:leftChars="100" w:right="210" w:rightChars="100" w:firstLine="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充电运</w:t>
            </w:r>
            <w:r>
              <w:rPr>
                <w:rFonts w:hint="eastAsia" w:ascii="仿宋_GB2312" w:hAnsi="仿宋_GB2312" w:eastAsia="仿宋_GB2312" w:cs="仿宋_GB2312"/>
                <w:sz w:val="24"/>
                <w:szCs w:val="24"/>
              </w:rPr>
              <w:t>营商会</w:t>
            </w:r>
            <w:r>
              <w:rPr>
                <w:rFonts w:hint="eastAsia" w:ascii="仿宋_GB2312" w:hAnsi="仿宋_GB2312" w:eastAsia="仿宋_GB2312" w:cs="仿宋_GB2312"/>
                <w:sz w:val="24"/>
                <w:szCs w:val="24"/>
                <w:lang w:val="en-US" w:eastAsia="zh-CN"/>
              </w:rPr>
              <w:t>同</w:t>
            </w:r>
            <w:r>
              <w:rPr>
                <w:rFonts w:hint="eastAsia" w:ascii="仿宋_GB2312" w:hAnsi="仿宋_GB2312" w:eastAsia="仿宋_GB2312" w:cs="仿宋_GB2312"/>
                <w:sz w:val="24"/>
                <w:szCs w:val="24"/>
              </w:rPr>
              <w:t>小区管理单位进行现场勘察，确认建设条</w:t>
            </w:r>
            <w:r>
              <w:rPr>
                <w:rFonts w:hint="eastAsia" w:ascii="仿宋_GB2312" w:hAnsi="仿宋_GB2312" w:eastAsia="仿宋_GB2312" w:cs="仿宋_GB2312"/>
                <w:sz w:val="24"/>
                <w:szCs w:val="24"/>
                <w:lang w:val="en-US" w:eastAsia="zh-CN"/>
              </w:rPr>
              <w:t>件</w:t>
            </w:r>
            <w:r>
              <w:rPr>
                <w:rFonts w:hint="eastAsia" w:ascii="仿宋_GB2312" w:hAnsi="仿宋_GB2312" w:eastAsia="仿宋_GB2312" w:cs="仿宋_GB2312"/>
                <w:sz w:val="24"/>
                <w:szCs w:val="24"/>
              </w:rPr>
              <w:t>并将选</w:t>
            </w:r>
            <w:r>
              <w:rPr>
                <w:rFonts w:hint="eastAsia" w:ascii="仿宋_GB2312" w:hAnsi="仿宋_GB2312" w:eastAsia="仿宋_GB2312" w:cs="仿宋_GB2312"/>
                <w:sz w:val="24"/>
                <w:szCs w:val="24"/>
                <w:lang w:val="en-US" w:eastAsia="zh-CN"/>
              </w:rPr>
              <w:t>址</w:t>
            </w:r>
            <w:r>
              <w:rPr>
                <w:rFonts w:hint="eastAsia" w:ascii="仿宋_GB2312" w:hAnsi="仿宋_GB2312" w:eastAsia="仿宋_GB2312" w:cs="仿宋_GB2312"/>
                <w:sz w:val="24"/>
                <w:szCs w:val="24"/>
              </w:rPr>
              <w:t>情况在小区进行公示</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公示期不低于5天。</w:t>
            </w:r>
          </w:p>
          <w:p w14:paraId="458E4EDD">
            <w:pPr>
              <w:pStyle w:val="8"/>
              <w:keepNext w:val="0"/>
              <w:keepLines w:val="0"/>
              <w:pageBreakBefore w:val="0"/>
              <w:widowControl w:val="0"/>
              <w:kinsoku/>
              <w:wordWrap/>
              <w:overflowPunct/>
              <w:topLinePunct w:val="0"/>
              <w:autoSpaceDE/>
              <w:autoSpaceDN/>
              <w:bidi w:val="0"/>
              <w:adjustRightInd/>
              <w:snapToGrid/>
              <w:spacing w:line="269" w:lineRule="auto"/>
              <w:ind w:left="210" w:leftChars="100" w:right="210" w:rightChars="100" w:firstLine="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充电运营商</w:t>
            </w:r>
            <w:r>
              <w:rPr>
                <w:rFonts w:hint="eastAsia" w:ascii="仿宋_GB2312" w:hAnsi="仿宋_GB2312" w:eastAsia="仿宋_GB2312" w:cs="仿宋_GB2312"/>
                <w:sz w:val="24"/>
                <w:szCs w:val="24"/>
              </w:rPr>
              <w:t>与小区管理单位签订建设运</w:t>
            </w:r>
            <w:r>
              <w:rPr>
                <w:rFonts w:hint="eastAsia" w:ascii="仿宋_GB2312" w:hAnsi="仿宋_GB2312" w:eastAsia="仿宋_GB2312" w:cs="仿宋_GB2312"/>
                <w:sz w:val="24"/>
                <w:szCs w:val="24"/>
                <w:lang w:val="en-US" w:eastAsia="zh-CN"/>
              </w:rPr>
              <w:t>营</w:t>
            </w:r>
            <w:r>
              <w:rPr>
                <w:rFonts w:hint="eastAsia" w:ascii="仿宋_GB2312" w:hAnsi="仿宋_GB2312" w:eastAsia="仿宋_GB2312" w:cs="仿宋_GB2312"/>
                <w:sz w:val="24"/>
                <w:szCs w:val="24"/>
              </w:rPr>
              <w:t>协议</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明确各方权责。</w:t>
            </w:r>
          </w:p>
        </w:tc>
      </w:tr>
    </w:tbl>
    <w:tbl>
      <w:tblPr>
        <w:tblStyle w:val="9"/>
        <w:tblpPr w:leftFromText="180" w:rightFromText="180" w:vertAnchor="text" w:horzAnchor="page" w:tblpX="1369" w:tblpY="1806"/>
        <w:tblOverlap w:val="never"/>
        <w:tblW w:w="952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85"/>
        <w:gridCol w:w="8540"/>
      </w:tblGrid>
      <w:tr w14:paraId="411625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9" w:hRule="atLeast"/>
        </w:trPr>
        <w:tc>
          <w:tcPr>
            <w:tcW w:w="985" w:type="dxa"/>
            <w:noWrap w:val="0"/>
            <w:vAlign w:val="center"/>
          </w:tcPr>
          <w:p w14:paraId="71D239F5">
            <w:pPr>
              <w:pStyle w:val="8"/>
              <w:keepNext w:val="0"/>
              <w:keepLines w:val="0"/>
              <w:pageBreakBefore w:val="0"/>
              <w:widowControl w:val="0"/>
              <w:kinsoku/>
              <w:wordWrap/>
              <w:overflowPunct/>
              <w:topLinePunct w:val="0"/>
              <w:autoSpaceDE/>
              <w:autoSpaceDN/>
              <w:bidi w:val="0"/>
              <w:adjustRightInd/>
              <w:snapToGrid/>
              <w:spacing w:before="81" w:line="269" w:lineRule="auto"/>
              <w:ind w:left="204" w:right="21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5"/>
                <w:sz w:val="24"/>
                <w:szCs w:val="24"/>
              </w:rPr>
              <w:t>报装</w:t>
            </w:r>
            <w:r>
              <w:rPr>
                <w:rFonts w:hint="eastAsia" w:ascii="仿宋_GB2312" w:hAnsi="仿宋_GB2312" w:eastAsia="仿宋_GB2312" w:cs="仿宋_GB2312"/>
                <w:sz w:val="24"/>
                <w:szCs w:val="24"/>
              </w:rPr>
              <w:t xml:space="preserve"> </w:t>
            </w:r>
            <w:r>
              <w:rPr>
                <w:rFonts w:hint="eastAsia" w:ascii="仿宋_GB2312" w:hAnsi="仿宋_GB2312" w:eastAsia="仿宋_GB2312" w:cs="仿宋_GB2312"/>
                <w:spacing w:val="15"/>
                <w:sz w:val="24"/>
                <w:szCs w:val="24"/>
              </w:rPr>
              <w:t>申请</w:t>
            </w:r>
          </w:p>
        </w:tc>
        <w:tc>
          <w:tcPr>
            <w:tcW w:w="8540" w:type="dxa"/>
            <w:noWrap w:val="0"/>
            <w:vAlign w:val="center"/>
          </w:tcPr>
          <w:p w14:paraId="484FBC79">
            <w:pPr>
              <w:pStyle w:val="8"/>
              <w:keepNext w:val="0"/>
              <w:keepLines w:val="0"/>
              <w:pageBreakBefore w:val="0"/>
              <w:widowControl w:val="0"/>
              <w:kinsoku/>
              <w:wordWrap/>
              <w:overflowPunct/>
              <w:topLinePunct w:val="0"/>
              <w:autoSpaceDE/>
              <w:autoSpaceDN/>
              <w:bidi w:val="0"/>
              <w:adjustRightInd/>
              <w:snapToGrid/>
              <w:spacing w:line="269" w:lineRule="auto"/>
              <w:ind w:left="210" w:leftChars="100" w:right="210" w:rightChars="100" w:firstLine="0" w:firstLineChars="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充电运营</w:t>
            </w:r>
            <w:r>
              <w:rPr>
                <w:rFonts w:hint="eastAsia" w:ascii="仿宋_GB2312" w:hAnsi="仿宋_GB2312" w:eastAsia="仿宋_GB2312" w:cs="仿宋_GB2312"/>
                <w:sz w:val="24"/>
                <w:szCs w:val="24"/>
              </w:rPr>
              <w:t>商准备资科，提出报装申请</w:t>
            </w:r>
            <w:r>
              <w:rPr>
                <w:rFonts w:hint="eastAsia" w:ascii="仿宋_GB2312" w:hAnsi="仿宋_GB2312" w:eastAsia="仿宋_GB2312" w:cs="仿宋_GB2312"/>
                <w:sz w:val="24"/>
                <w:szCs w:val="24"/>
                <w:lang w:eastAsia="zh-CN"/>
              </w:rPr>
              <w:t>：</w:t>
            </w:r>
          </w:p>
          <w:p w14:paraId="540C47DC">
            <w:pPr>
              <w:pStyle w:val="8"/>
              <w:keepNext w:val="0"/>
              <w:keepLines w:val="0"/>
              <w:pageBreakBefore w:val="0"/>
              <w:widowControl w:val="0"/>
              <w:kinsoku/>
              <w:wordWrap/>
              <w:overflowPunct/>
              <w:topLinePunct w:val="0"/>
              <w:autoSpaceDE/>
              <w:autoSpaceDN/>
              <w:bidi w:val="0"/>
              <w:adjustRightInd/>
              <w:snapToGrid/>
              <w:spacing w:line="269" w:lineRule="auto"/>
              <w:ind w:left="210" w:leftChars="100" w:right="210" w:rightChars="100" w:firstLine="0" w:firstLineChars="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1.运营</w:t>
            </w:r>
            <w:r>
              <w:rPr>
                <w:rFonts w:hint="eastAsia" w:ascii="仿宋_GB2312" w:hAnsi="仿宋_GB2312" w:eastAsia="仿宋_GB2312" w:cs="仿宋_GB2312"/>
                <w:sz w:val="24"/>
                <w:szCs w:val="24"/>
                <w:lang w:val="en-US" w:eastAsia="zh-CN"/>
              </w:rPr>
              <w:t>商</w:t>
            </w:r>
            <w:r>
              <w:rPr>
                <w:rFonts w:hint="eastAsia" w:ascii="仿宋_GB2312" w:hAnsi="仿宋_GB2312" w:eastAsia="仿宋_GB2312" w:cs="仿宋_GB2312"/>
                <w:sz w:val="24"/>
                <w:szCs w:val="24"/>
              </w:rPr>
              <w:t>营业执照复印件(加盖</w:t>
            </w:r>
            <w:r>
              <w:rPr>
                <w:rFonts w:hint="eastAsia" w:ascii="仿宋_GB2312" w:hAnsi="仿宋_GB2312" w:eastAsia="仿宋_GB2312" w:cs="仿宋_GB2312"/>
                <w:sz w:val="24"/>
                <w:szCs w:val="24"/>
                <w:lang w:val="en-US" w:eastAsia="zh-CN"/>
              </w:rPr>
              <w:t>运营商</w:t>
            </w:r>
            <w:r>
              <w:rPr>
                <w:rFonts w:hint="eastAsia" w:ascii="仿宋_GB2312" w:hAnsi="仿宋_GB2312" w:eastAsia="仿宋_GB2312" w:cs="仿宋_GB2312"/>
                <w:sz w:val="24"/>
                <w:szCs w:val="24"/>
              </w:rPr>
              <w:t>公章)</w:t>
            </w:r>
            <w:r>
              <w:rPr>
                <w:rFonts w:hint="eastAsia" w:ascii="仿宋_GB2312" w:hAnsi="仿宋_GB2312" w:eastAsia="仿宋_GB2312" w:cs="仿宋_GB2312"/>
                <w:sz w:val="24"/>
                <w:szCs w:val="24"/>
                <w:lang w:eastAsia="zh-CN"/>
              </w:rPr>
              <w:t>；</w:t>
            </w:r>
          </w:p>
          <w:p w14:paraId="11AC399D">
            <w:pPr>
              <w:pStyle w:val="8"/>
              <w:keepNext w:val="0"/>
              <w:keepLines w:val="0"/>
              <w:pageBreakBefore w:val="0"/>
              <w:widowControl w:val="0"/>
              <w:kinsoku/>
              <w:wordWrap/>
              <w:overflowPunct/>
              <w:topLinePunct w:val="0"/>
              <w:autoSpaceDE/>
              <w:autoSpaceDN/>
              <w:bidi w:val="0"/>
              <w:adjustRightInd/>
              <w:snapToGrid/>
              <w:spacing w:line="269" w:lineRule="auto"/>
              <w:ind w:left="210" w:leftChars="100" w:right="210" w:rightChars="100" w:firstLine="0" w:firstLineChars="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2.运营商法人代表身份证复印件(加盖</w:t>
            </w:r>
            <w:r>
              <w:rPr>
                <w:rFonts w:hint="eastAsia" w:ascii="仿宋_GB2312" w:hAnsi="仿宋_GB2312" w:eastAsia="仿宋_GB2312" w:cs="仿宋_GB2312"/>
                <w:sz w:val="24"/>
                <w:szCs w:val="24"/>
                <w:lang w:val="en-US" w:eastAsia="zh-CN"/>
              </w:rPr>
              <w:t>运营商</w:t>
            </w:r>
            <w:r>
              <w:rPr>
                <w:rFonts w:hint="eastAsia" w:ascii="仿宋_GB2312" w:hAnsi="仿宋_GB2312" w:eastAsia="仿宋_GB2312" w:cs="仿宋_GB2312"/>
                <w:sz w:val="24"/>
                <w:szCs w:val="24"/>
              </w:rPr>
              <w:t>公章)</w:t>
            </w:r>
            <w:r>
              <w:rPr>
                <w:rFonts w:hint="eastAsia" w:ascii="仿宋_GB2312" w:hAnsi="仿宋_GB2312" w:eastAsia="仿宋_GB2312" w:cs="仿宋_GB2312"/>
                <w:sz w:val="24"/>
                <w:szCs w:val="24"/>
                <w:lang w:eastAsia="zh-CN"/>
              </w:rPr>
              <w:t>；</w:t>
            </w:r>
          </w:p>
          <w:p w14:paraId="67D99CEF">
            <w:pPr>
              <w:pStyle w:val="8"/>
              <w:keepNext w:val="0"/>
              <w:keepLines w:val="0"/>
              <w:pageBreakBefore w:val="0"/>
              <w:widowControl w:val="0"/>
              <w:kinsoku/>
              <w:wordWrap/>
              <w:overflowPunct/>
              <w:topLinePunct w:val="0"/>
              <w:autoSpaceDE/>
              <w:autoSpaceDN/>
              <w:bidi w:val="0"/>
              <w:adjustRightInd/>
              <w:snapToGrid/>
              <w:spacing w:line="269" w:lineRule="auto"/>
              <w:ind w:left="210" w:leftChars="100" w:right="210" w:rightChars="100" w:firstLine="0" w:firstLineChars="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3.经办人员身份证复印件以及授权委托书原件(加盖</w:t>
            </w:r>
            <w:r>
              <w:rPr>
                <w:rFonts w:hint="eastAsia" w:ascii="仿宋_GB2312" w:hAnsi="仿宋_GB2312" w:eastAsia="仿宋_GB2312" w:cs="仿宋_GB2312"/>
                <w:sz w:val="24"/>
                <w:szCs w:val="24"/>
                <w:lang w:val="en-US" w:eastAsia="zh-CN"/>
              </w:rPr>
              <w:t>运营商</w:t>
            </w:r>
            <w:r>
              <w:rPr>
                <w:rFonts w:hint="eastAsia" w:ascii="仿宋_GB2312" w:hAnsi="仿宋_GB2312" w:eastAsia="仿宋_GB2312" w:cs="仿宋_GB2312"/>
                <w:sz w:val="24"/>
                <w:szCs w:val="24"/>
              </w:rPr>
              <w:t>公章)</w:t>
            </w:r>
            <w:r>
              <w:rPr>
                <w:rFonts w:hint="eastAsia" w:ascii="仿宋_GB2312" w:hAnsi="仿宋_GB2312" w:eastAsia="仿宋_GB2312" w:cs="仿宋_GB2312"/>
                <w:sz w:val="24"/>
                <w:szCs w:val="24"/>
                <w:lang w:eastAsia="zh-CN"/>
              </w:rPr>
              <w:t>；</w:t>
            </w:r>
          </w:p>
          <w:p w14:paraId="6D6F3332">
            <w:pPr>
              <w:pStyle w:val="8"/>
              <w:keepNext w:val="0"/>
              <w:keepLines w:val="0"/>
              <w:pageBreakBefore w:val="0"/>
              <w:widowControl w:val="0"/>
              <w:kinsoku/>
              <w:wordWrap/>
              <w:overflowPunct/>
              <w:topLinePunct w:val="0"/>
              <w:autoSpaceDE/>
              <w:autoSpaceDN/>
              <w:bidi w:val="0"/>
              <w:adjustRightInd/>
              <w:snapToGrid/>
              <w:spacing w:line="269" w:lineRule="auto"/>
              <w:ind w:left="210" w:leftChars="100" w:right="210" w:rightChars="100" w:firstLine="0"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小区管理单位与运营商签订的同意报装接电的合作协议复印件(加盖运营商公章)或小区管理单位出具的《电力接入说明</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并</w:t>
            </w:r>
            <w:r>
              <w:rPr>
                <w:rFonts w:hint="eastAsia" w:ascii="仿宋_GB2312" w:hAnsi="仿宋_GB2312" w:eastAsia="仿宋_GB2312" w:cs="仿宋_GB2312"/>
                <w:sz w:val="24"/>
                <w:szCs w:val="24"/>
              </w:rPr>
              <w:t>盖章。</w:t>
            </w:r>
          </w:p>
        </w:tc>
      </w:tr>
    </w:tbl>
    <w:p w14:paraId="12A77A51">
      <w:pPr>
        <w:spacing w:before="85"/>
        <w:rPr>
          <w:rFonts w:hint="eastAsia" w:ascii="仿宋_GB2312" w:hAnsi="仿宋_GB2312" w:eastAsia="仿宋_GB2312" w:cs="仿宋_GB2312"/>
          <w:sz w:val="20"/>
          <w:szCs w:val="20"/>
        </w:rPr>
      </w:pPr>
      <w:r>
        <w:rPr>
          <w:rFonts w:hint="eastAsia" w:ascii="仿宋_GB2312" w:hAnsi="仿宋_GB2312" w:eastAsia="仿宋_GB2312" w:cs="仿宋_GB2312"/>
          <w:sz w:val="20"/>
        </w:rPr>
        <mc:AlternateContent>
          <mc:Choice Requires="wps">
            <w:drawing>
              <wp:anchor distT="0" distB="0" distL="114300" distR="114300" simplePos="0" relativeHeight="251659264" behindDoc="0" locked="0" layoutInCell="1" allowOverlap="1">
                <wp:simplePos x="0" y="0"/>
                <wp:positionH relativeFrom="column">
                  <wp:posOffset>-56515</wp:posOffset>
                </wp:positionH>
                <wp:positionV relativeFrom="paragraph">
                  <wp:posOffset>949960</wp:posOffset>
                </wp:positionV>
                <wp:extent cx="190500" cy="149860"/>
                <wp:effectExtent l="25400" t="5080" r="31750" b="16510"/>
                <wp:wrapNone/>
                <wp:docPr id="1" name="下箭头 1"/>
                <wp:cNvGraphicFramePr/>
                <a:graphic xmlns:a="http://schemas.openxmlformats.org/drawingml/2006/main">
                  <a:graphicData uri="http://schemas.microsoft.com/office/word/2010/wordprocessingShape">
                    <wps:wsp>
                      <wps:cNvSpPr/>
                      <wps:spPr>
                        <a:xfrm>
                          <a:off x="0" y="0"/>
                          <a:ext cx="190500" cy="149860"/>
                        </a:xfrm>
                        <a:prstGeom prst="downArrow">
                          <a:avLst>
                            <a:gd name="adj1" fmla="val 49999"/>
                            <a:gd name="adj2" fmla="val 25000"/>
                          </a:avLst>
                        </a:prstGeom>
                        <a:solidFill>
                          <a:srgbClr val="000000"/>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67" type="#_x0000_t67" style="position:absolute;left:0pt;margin-left:-4.45pt;margin-top:74.8pt;height:11.8pt;width:15pt;z-index:251659264;mso-width-relative:page;mso-height-relative:page;" fillcolor="#000000" filled="t" stroked="t" coordsize="21600,21600" o:gfxdata="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ZkN+T1gAA&#10;AAkBAAAPAAAAAAAAAAEAIAAAACIAAABkcnMvZG93bnJldi54bWxQSwECFAAUAAAACACHTuJApk6f&#10;cSACAAB2BAAADgAAAAAAAAABACAAAAAlAQAAZHJzL2Uyb0RvYy54bWxQSwUGAAAAAAYABgBZAQAA&#10;twUAAAAA&#10;" adj="16200,5400">
                <v:fill on="t" focussize="0,0"/>
                <v:stroke color="#000000" joinstyle="miter"/>
                <v:imagedata o:title=""/>
                <o:lock v:ext="edit" aspectratio="f"/>
              </v:shape>
            </w:pict>
          </mc:Fallback>
        </mc:AlternateContent>
      </w:r>
    </w:p>
    <w:p w14:paraId="3C8F7551">
      <w:pPr>
        <w:spacing w:before="85"/>
        <w:rPr>
          <w:rFonts w:hint="eastAsia" w:ascii="仿宋_GB2312" w:hAnsi="仿宋_GB2312" w:eastAsia="仿宋_GB2312" w:cs="仿宋_GB2312"/>
          <w:sz w:val="20"/>
          <w:szCs w:val="20"/>
        </w:rPr>
      </w:pPr>
      <w:r>
        <w:rPr>
          <w:rFonts w:hint="eastAsia" w:ascii="仿宋_GB2312" w:hAnsi="仿宋_GB2312" w:eastAsia="仿宋_GB2312" w:cs="仿宋_GB2312"/>
          <w:sz w:val="20"/>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1706880</wp:posOffset>
                </wp:positionV>
                <wp:extent cx="190500" cy="149860"/>
                <wp:effectExtent l="25400" t="5080" r="31750" b="16510"/>
                <wp:wrapNone/>
                <wp:docPr id="5" name="下箭头 5"/>
                <wp:cNvGraphicFramePr/>
                <a:graphic xmlns:a="http://schemas.openxmlformats.org/drawingml/2006/main">
                  <a:graphicData uri="http://schemas.microsoft.com/office/word/2010/wordprocessingShape">
                    <wps:wsp>
                      <wps:cNvSpPr/>
                      <wps:spPr>
                        <a:xfrm>
                          <a:off x="0" y="0"/>
                          <a:ext cx="190500" cy="149860"/>
                        </a:xfrm>
                        <a:prstGeom prst="downArrow">
                          <a:avLst>
                            <a:gd name="adj1" fmla="val 49999"/>
                            <a:gd name="adj2" fmla="val 25000"/>
                          </a:avLst>
                        </a:prstGeom>
                        <a:solidFill>
                          <a:srgbClr val="000000"/>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67" type="#_x0000_t67" style="position:absolute;left:0pt;margin-left:-5.25pt;margin-top:134.4pt;height:11.8pt;width:15pt;z-index:251660288;mso-width-relative:page;mso-height-relative:page;" fillcolor="#000000" filled="t" stroked="t" coordsize="21600,21600" o:gfxdata="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aXtZ1gAA&#10;AAoBAAAPAAAAAAAAAAEAIAAAACIAAABkcnMvZG93bnJldi54bWxQSwECFAAUAAAACACHTuJAF/L3&#10;9iACAAB2BAAADgAAAAAAAAABACAAAAAlAQAAZHJzL2Uyb0RvYy54bWxQSwUGAAAAAAYABgBZAQAA&#10;twUAAAAA&#10;" adj="16200,5400">
                <v:fill on="t" focussize="0,0"/>
                <v:stroke color="#000000" joinstyle="miter"/>
                <v:imagedata o:title=""/>
                <o:lock v:ext="edit" aspectratio="f"/>
              </v:shape>
            </w:pict>
          </mc:Fallback>
        </mc:AlternateContent>
      </w:r>
      <w:r>
        <w:rPr>
          <w:rFonts w:hint="eastAsia" w:ascii="仿宋_GB2312" w:hAnsi="仿宋_GB2312" w:eastAsia="仿宋_GB2312" w:cs="仿宋_GB2312"/>
          <w:sz w:val="20"/>
        </w:rPr>
        <mc:AlternateContent>
          <mc:Choice Requires="wps">
            <w:drawing>
              <wp:anchor distT="0" distB="0" distL="114300" distR="114300" simplePos="0" relativeHeight="251661312" behindDoc="0" locked="0" layoutInCell="1" allowOverlap="1">
                <wp:simplePos x="0" y="0"/>
                <wp:positionH relativeFrom="column">
                  <wp:posOffset>-64135</wp:posOffset>
                </wp:positionH>
                <wp:positionV relativeFrom="paragraph">
                  <wp:posOffset>3286125</wp:posOffset>
                </wp:positionV>
                <wp:extent cx="190500" cy="149860"/>
                <wp:effectExtent l="25400" t="5080" r="31750" b="16510"/>
                <wp:wrapNone/>
                <wp:docPr id="2" name="下箭头 2"/>
                <wp:cNvGraphicFramePr/>
                <a:graphic xmlns:a="http://schemas.openxmlformats.org/drawingml/2006/main">
                  <a:graphicData uri="http://schemas.microsoft.com/office/word/2010/wordprocessingShape">
                    <wps:wsp>
                      <wps:cNvSpPr/>
                      <wps:spPr>
                        <a:xfrm>
                          <a:off x="0" y="0"/>
                          <a:ext cx="190500" cy="149860"/>
                        </a:xfrm>
                        <a:prstGeom prst="downArrow">
                          <a:avLst>
                            <a:gd name="adj1" fmla="val 49999"/>
                            <a:gd name="adj2" fmla="val 25000"/>
                          </a:avLst>
                        </a:prstGeom>
                        <a:solidFill>
                          <a:srgbClr val="000000"/>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67" type="#_x0000_t67" style="position:absolute;left:0pt;margin-left:-5.05pt;margin-top:258.75pt;height:11.8pt;width:15pt;z-index:251661312;mso-width-relative:page;mso-height-relative:page;" fillcolor="#000000" filled="t" stroked="t" coordsize="21600,21600" o:gfxdata="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M2eYfzX&#10;AAAACgEAAA8AAAAAAAAAAQAgAAAAIgAAAGRycy9kb3ducmV2LnhtbFBLAQIUABQAAAAIAIdO4kBi&#10;/ZWIIQIAAHYEAAAOAAAAAAAAAAEAIAAAACYBAABkcnMvZTJvRG9jLnhtbFBLBQYAAAAABgAGAFkB&#10;AAC5BQAAAAA=&#10;" adj="16200,5400">
                <v:fill on="t" focussize="0,0"/>
                <v:stroke color="#000000" joinstyle="miter"/>
                <v:imagedata o:title=""/>
                <o:lock v:ext="edit" aspectratio="f"/>
              </v:shape>
            </w:pict>
          </mc:Fallback>
        </mc:AlternateContent>
      </w:r>
    </w:p>
    <w:tbl>
      <w:tblPr>
        <w:tblStyle w:val="9"/>
        <w:tblpPr w:leftFromText="180" w:rightFromText="180" w:vertAnchor="text" w:horzAnchor="page" w:tblpX="1411" w:tblpY="-60"/>
        <w:tblOverlap w:val="never"/>
        <w:tblW w:w="950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43"/>
        <w:gridCol w:w="8564"/>
      </w:tblGrid>
      <w:tr w14:paraId="41477D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8" w:hRule="atLeast"/>
        </w:trPr>
        <w:tc>
          <w:tcPr>
            <w:tcW w:w="943" w:type="dxa"/>
            <w:noWrap w:val="0"/>
            <w:vAlign w:val="center"/>
          </w:tcPr>
          <w:p w14:paraId="0EF0264D">
            <w:pPr>
              <w:pStyle w:val="8"/>
              <w:keepNext w:val="0"/>
              <w:keepLines w:val="0"/>
              <w:pageBreakBefore w:val="0"/>
              <w:widowControl w:val="0"/>
              <w:kinsoku/>
              <w:wordWrap/>
              <w:overflowPunct/>
              <w:topLinePunct w:val="0"/>
              <w:autoSpaceDE/>
              <w:autoSpaceDN/>
              <w:bidi w:val="0"/>
              <w:adjustRightInd/>
              <w:snapToGrid/>
              <w:spacing w:before="78" w:line="269" w:lineRule="auto"/>
              <w:ind w:left="176" w:right="266"/>
              <w:jc w:val="center"/>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4"/>
                <w:szCs w:val="24"/>
                <w:lang w:val="en-US" w:eastAsia="zh-CN"/>
              </w:rPr>
              <w:t>现场 查勘</w:t>
            </w:r>
          </w:p>
        </w:tc>
        <w:tc>
          <w:tcPr>
            <w:tcW w:w="8564" w:type="dxa"/>
            <w:noWrap w:val="0"/>
            <w:vAlign w:val="top"/>
          </w:tcPr>
          <w:p w14:paraId="499F490B">
            <w:pPr>
              <w:pStyle w:val="8"/>
              <w:keepNext w:val="0"/>
              <w:keepLines w:val="0"/>
              <w:pageBreakBefore w:val="0"/>
              <w:widowControl w:val="0"/>
              <w:kinsoku/>
              <w:wordWrap/>
              <w:overflowPunct/>
              <w:topLinePunct w:val="0"/>
              <w:autoSpaceDE/>
              <w:autoSpaceDN/>
              <w:bidi w:val="0"/>
              <w:adjustRightInd/>
              <w:snapToGrid/>
              <w:spacing w:line="269" w:lineRule="auto"/>
              <w:ind w:left="210" w:leftChars="100" w:right="210" w:rightChars="100" w:firstLine="0" w:firstLineChars="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电网企业履行“一次告知”义务</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受理、审核报装申请资料、受理申请资料后</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个工作日进行现场查勘，明确接入电源点及表计安装点位</w:t>
            </w:r>
            <w:r>
              <w:rPr>
                <w:rFonts w:hint="eastAsia" w:ascii="仿宋_GB2312" w:hAnsi="仿宋_GB2312" w:eastAsia="仿宋_GB2312" w:cs="仿宋_GB2312"/>
                <w:sz w:val="24"/>
                <w:szCs w:val="24"/>
                <w:lang w:eastAsia="zh-CN"/>
              </w:rPr>
              <w:t>。</w:t>
            </w:r>
          </w:p>
          <w:p w14:paraId="32B88A13">
            <w:pPr>
              <w:pStyle w:val="8"/>
              <w:keepNext w:val="0"/>
              <w:keepLines w:val="0"/>
              <w:pageBreakBefore w:val="0"/>
              <w:widowControl w:val="0"/>
              <w:kinsoku/>
              <w:wordWrap/>
              <w:overflowPunct/>
              <w:topLinePunct w:val="0"/>
              <w:autoSpaceDE/>
              <w:autoSpaceDN/>
              <w:bidi w:val="0"/>
              <w:adjustRightInd/>
              <w:snapToGrid/>
              <w:spacing w:line="269" w:lineRule="auto"/>
              <w:ind w:left="210" w:leftChars="100" w:right="210" w:rightChars="100" w:firstLine="0" w:firstLineChars="0"/>
              <w:jc w:val="left"/>
              <w:textAlignment w:val="auto"/>
              <w:rPr>
                <w:rFonts w:hint="eastAsia" w:ascii="仿宋_GB2312" w:hAnsi="仿宋_GB2312" w:eastAsia="仿宋_GB2312" w:cs="仿宋_GB2312"/>
                <w:sz w:val="22"/>
                <w:szCs w:val="22"/>
                <w:lang w:eastAsia="zh-CN"/>
              </w:rPr>
            </w:pPr>
            <w:r>
              <w:rPr>
                <w:rFonts w:hint="eastAsia" w:ascii="仿宋_GB2312" w:hAnsi="仿宋_GB2312" w:eastAsia="仿宋_GB2312" w:cs="仿宋_GB2312"/>
                <w:sz w:val="24"/>
                <w:szCs w:val="24"/>
              </w:rPr>
              <w:t>现有配电设施确实无法满足自用桩用电负荷需求的</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产权为电网企业的</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由供电企业提出解决方案</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产权为用电用户的</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由用电用户提供解决方案(按照统建统管方式建设的</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由用电用户会同充电运营商提供解决方案)</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支持应用智能充电技术</w:t>
            </w:r>
            <w:r>
              <w:rPr>
                <w:rFonts w:hint="eastAsia" w:ascii="仿宋_GB2312" w:hAnsi="仿宋_GB2312" w:eastAsia="仿宋_GB2312" w:cs="仿宋_GB2312"/>
                <w:sz w:val="24"/>
                <w:szCs w:val="24"/>
                <w:lang w:eastAsia="zh-CN"/>
              </w:rPr>
              <w:t>。</w:t>
            </w:r>
          </w:p>
        </w:tc>
      </w:tr>
    </w:tbl>
    <w:tbl>
      <w:tblPr>
        <w:tblStyle w:val="9"/>
        <w:tblpPr w:leftFromText="180" w:rightFromText="180" w:vertAnchor="text" w:horzAnchor="page" w:tblpX="1390" w:tblpY="12"/>
        <w:tblOverlap w:val="never"/>
        <w:tblW w:w="952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4"/>
        <w:gridCol w:w="8561"/>
      </w:tblGrid>
      <w:tr w14:paraId="64BF5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5" w:hRule="atLeast"/>
        </w:trPr>
        <w:tc>
          <w:tcPr>
            <w:tcW w:w="964" w:type="dxa"/>
            <w:noWrap w:val="0"/>
            <w:vAlign w:val="center"/>
          </w:tcPr>
          <w:p w14:paraId="1B193307">
            <w:pPr>
              <w:pStyle w:val="8"/>
              <w:keepNext w:val="0"/>
              <w:keepLines w:val="0"/>
              <w:pageBreakBefore w:val="0"/>
              <w:widowControl w:val="0"/>
              <w:kinsoku/>
              <w:wordWrap/>
              <w:overflowPunct/>
              <w:topLinePunct w:val="0"/>
              <w:autoSpaceDE/>
              <w:autoSpaceDN/>
              <w:bidi w:val="0"/>
              <w:adjustRightInd/>
              <w:snapToGrid/>
              <w:spacing w:before="149" w:line="269" w:lineRule="auto"/>
              <w:ind w:left="194" w:leftChars="0" w:right="235" w:righ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施工 建设</w:t>
            </w:r>
          </w:p>
        </w:tc>
        <w:tc>
          <w:tcPr>
            <w:tcW w:w="8561" w:type="dxa"/>
            <w:noWrap w:val="0"/>
            <w:vAlign w:val="center"/>
          </w:tcPr>
          <w:p w14:paraId="07FF2B64">
            <w:pPr>
              <w:pStyle w:val="8"/>
              <w:keepNext w:val="0"/>
              <w:keepLines w:val="0"/>
              <w:pageBreakBefore w:val="0"/>
              <w:widowControl w:val="0"/>
              <w:kinsoku/>
              <w:wordWrap/>
              <w:overflowPunct/>
              <w:topLinePunct w:val="0"/>
              <w:autoSpaceDE/>
              <w:autoSpaceDN/>
              <w:bidi w:val="0"/>
              <w:adjustRightInd/>
              <w:snapToGrid/>
              <w:spacing w:line="269" w:lineRule="auto"/>
              <w:ind w:left="210" w:leftChars="100" w:right="567" w:rightChars="0" w:firstLine="0" w:firstLineChars="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充电运营商组织具有充电设施安装资质的施工单位，按照相应施工规范、技术标准以及安全管理规定，组织开展工程施工建设。</w:t>
            </w:r>
            <w:r>
              <w:rPr>
                <w:rFonts w:hint="eastAsia" w:ascii="仿宋_GB2312" w:hAnsi="仿宋_GB2312" w:eastAsia="仿宋_GB2312" w:cs="仿宋_GB2312"/>
                <w:sz w:val="24"/>
                <w:szCs w:val="24"/>
              </w:rPr>
              <w:tab/>
            </w:r>
          </w:p>
        </w:tc>
      </w:tr>
    </w:tbl>
    <w:p w14:paraId="2327B316">
      <w:pPr>
        <w:spacing w:before="98"/>
        <w:jc w:val="left"/>
        <w:rPr>
          <w:rFonts w:hint="eastAsia" w:ascii="仿宋_GB2312" w:hAnsi="仿宋_GB2312" w:eastAsia="仿宋_GB2312" w:cs="仿宋_GB2312"/>
          <w:sz w:val="20"/>
          <w:szCs w:val="20"/>
        </w:rPr>
      </w:pPr>
      <w:r>
        <w:rPr>
          <w:rFonts w:hint="eastAsia" w:ascii="仿宋_GB2312" w:hAnsi="仿宋_GB2312" w:eastAsia="仿宋_GB2312" w:cs="仿宋_GB2312"/>
          <w:sz w:val="20"/>
        </w:rPr>
        <mc:AlternateContent>
          <mc:Choice Requires="wps">
            <w:drawing>
              <wp:anchor distT="0" distB="0" distL="114300" distR="114300" simplePos="0" relativeHeight="251662336" behindDoc="0" locked="0" layoutInCell="1" allowOverlap="1">
                <wp:simplePos x="0" y="0"/>
                <wp:positionH relativeFrom="column">
                  <wp:posOffset>-84455</wp:posOffset>
                </wp:positionH>
                <wp:positionV relativeFrom="paragraph">
                  <wp:posOffset>600075</wp:posOffset>
                </wp:positionV>
                <wp:extent cx="190500" cy="149860"/>
                <wp:effectExtent l="25400" t="5080" r="31750" b="16510"/>
                <wp:wrapNone/>
                <wp:docPr id="3" name="下箭头 3"/>
                <wp:cNvGraphicFramePr/>
                <a:graphic xmlns:a="http://schemas.openxmlformats.org/drawingml/2006/main">
                  <a:graphicData uri="http://schemas.microsoft.com/office/word/2010/wordprocessingShape">
                    <wps:wsp>
                      <wps:cNvSpPr/>
                      <wps:spPr>
                        <a:xfrm>
                          <a:off x="0" y="0"/>
                          <a:ext cx="190500" cy="149860"/>
                        </a:xfrm>
                        <a:prstGeom prst="downArrow">
                          <a:avLst>
                            <a:gd name="adj1" fmla="val 49999"/>
                            <a:gd name="adj2" fmla="val 25000"/>
                          </a:avLst>
                        </a:prstGeom>
                        <a:solidFill>
                          <a:srgbClr val="000000"/>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67" type="#_x0000_t67" style="position:absolute;left:0pt;margin-left:-6.65pt;margin-top:47.25pt;height:11.8pt;width:15pt;z-index:251662336;mso-width-relative:page;mso-height-relative:page;" fillcolor="#000000" filled="t" stroked="t" coordsize="21600,21600" o:gfxdata="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GAvBvvX&#10;AAAACQEAAA8AAAAAAAAAAQAgAAAAIgAAAGRycy9kb3ducmV2LnhtbFBLAQIUABQAAAAIAIdO4kDe&#10;k5PfIQIAAHYEAAAOAAAAAAAAAAEAIAAAACYBAABkcnMvZTJvRG9jLnhtbFBLBQYAAAAABgAGAFkB&#10;AAC5BQAAAAA=&#10;" adj="16200,5400">
                <v:fill on="t" focussize="0,0"/>
                <v:stroke color="#000000" joinstyle="miter"/>
                <v:imagedata o:title=""/>
                <o:lock v:ext="edit" aspectratio="f"/>
              </v:shape>
            </w:pict>
          </mc:Fallback>
        </mc:AlternateContent>
      </w:r>
    </w:p>
    <w:tbl>
      <w:tblPr>
        <w:tblStyle w:val="9"/>
        <w:tblpPr w:leftFromText="180" w:rightFromText="180" w:vertAnchor="text" w:horzAnchor="page" w:tblpX="1390" w:tblpY="18"/>
        <w:tblOverlap w:val="never"/>
        <w:tblW w:w="950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21"/>
        <w:gridCol w:w="8582"/>
      </w:tblGrid>
      <w:tr w14:paraId="5B89D7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921" w:type="dxa"/>
            <w:noWrap w:val="0"/>
            <w:vAlign w:val="center"/>
          </w:tcPr>
          <w:p w14:paraId="4019CFD5">
            <w:pPr>
              <w:pStyle w:val="8"/>
              <w:keepNext w:val="0"/>
              <w:keepLines w:val="0"/>
              <w:pageBreakBefore w:val="0"/>
              <w:widowControl w:val="0"/>
              <w:kinsoku/>
              <w:wordWrap/>
              <w:overflowPunct/>
              <w:topLinePunct w:val="0"/>
              <w:autoSpaceDE/>
              <w:autoSpaceDN/>
              <w:bidi w:val="0"/>
              <w:adjustRightInd/>
              <w:snapToGrid/>
              <w:spacing w:line="269" w:lineRule="auto"/>
              <w:ind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装表</w:t>
            </w:r>
          </w:p>
          <w:p w14:paraId="0C13E39F">
            <w:pPr>
              <w:pStyle w:val="8"/>
              <w:keepNext w:val="0"/>
              <w:keepLines w:val="0"/>
              <w:pageBreakBefore w:val="0"/>
              <w:widowControl w:val="0"/>
              <w:kinsoku/>
              <w:wordWrap/>
              <w:overflowPunct/>
              <w:topLinePunct w:val="0"/>
              <w:autoSpaceDE/>
              <w:autoSpaceDN/>
              <w:bidi w:val="0"/>
              <w:adjustRightInd/>
              <w:snapToGrid/>
              <w:spacing w:line="269" w:lineRule="auto"/>
              <w:ind w:right="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接电</w:t>
            </w:r>
          </w:p>
        </w:tc>
        <w:tc>
          <w:tcPr>
            <w:tcW w:w="8582" w:type="dxa"/>
            <w:noWrap w:val="0"/>
            <w:vAlign w:val="center"/>
          </w:tcPr>
          <w:p w14:paraId="7A3ACAD7">
            <w:pPr>
              <w:pStyle w:val="8"/>
              <w:keepNext w:val="0"/>
              <w:keepLines w:val="0"/>
              <w:pageBreakBefore w:val="0"/>
              <w:widowControl w:val="0"/>
              <w:kinsoku/>
              <w:wordWrap/>
              <w:overflowPunct/>
              <w:topLinePunct w:val="0"/>
              <w:autoSpaceDE/>
              <w:autoSpaceDN/>
              <w:bidi w:val="0"/>
              <w:adjustRightInd/>
              <w:snapToGrid/>
              <w:spacing w:line="269" w:lineRule="auto"/>
              <w:ind w:left="210" w:leftChars="100" w:right="567" w:rightChars="0" w:firstLine="0" w:firstLineChars="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电力</w:t>
            </w:r>
            <w:r>
              <w:rPr>
                <w:rFonts w:hint="eastAsia" w:ascii="仿宋_GB2312" w:hAnsi="仿宋_GB2312" w:eastAsia="仿宋_GB2312" w:cs="仿宋_GB2312"/>
                <w:sz w:val="24"/>
                <w:szCs w:val="24"/>
              </w:rPr>
              <w:t>工程施工完成后，电网企业</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个工作日内完成装表接电。</w:t>
            </w:r>
          </w:p>
        </w:tc>
      </w:tr>
      <w:tr w14:paraId="0DC417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7" w:hRule="atLeast"/>
        </w:trPr>
        <w:tc>
          <w:tcPr>
            <w:tcW w:w="921" w:type="dxa"/>
            <w:noWrap w:val="0"/>
            <w:vAlign w:val="center"/>
          </w:tcPr>
          <w:p w14:paraId="34DD346A">
            <w:pPr>
              <w:keepNext w:val="0"/>
              <w:keepLines w:val="0"/>
              <w:pageBreakBefore w:val="0"/>
              <w:widowControl w:val="0"/>
              <w:kinsoku/>
              <w:wordWrap/>
              <w:overflowPunct/>
              <w:topLinePunct w:val="0"/>
              <w:autoSpaceDE/>
              <w:autoSpaceDN/>
              <w:bidi w:val="0"/>
              <w:adjustRightInd/>
              <w:snapToGrid/>
              <w:spacing w:line="269" w:lineRule="auto"/>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项目</w:t>
            </w:r>
          </w:p>
          <w:p w14:paraId="5E45252D">
            <w:pPr>
              <w:keepNext w:val="0"/>
              <w:keepLines w:val="0"/>
              <w:pageBreakBefore w:val="0"/>
              <w:widowControl w:val="0"/>
              <w:kinsoku/>
              <w:wordWrap/>
              <w:overflowPunct/>
              <w:topLinePunct w:val="0"/>
              <w:autoSpaceDE/>
              <w:autoSpaceDN/>
              <w:bidi w:val="0"/>
              <w:adjustRightInd/>
              <w:snapToGrid/>
              <w:spacing w:line="269" w:lineRule="auto"/>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kern w:val="2"/>
                <w:sz w:val="24"/>
                <w:szCs w:val="24"/>
                <w:lang w:val="en-US" w:eastAsia="zh-CN" w:bidi="ar-SA"/>
              </w:rPr>
              <w:t>验收</w:t>
            </w:r>
          </w:p>
        </w:tc>
        <w:tc>
          <w:tcPr>
            <w:tcW w:w="8582" w:type="dxa"/>
            <w:noWrap w:val="0"/>
            <w:vAlign w:val="center"/>
          </w:tcPr>
          <w:p w14:paraId="287F6594">
            <w:pPr>
              <w:pStyle w:val="8"/>
              <w:spacing w:before="5" w:line="275" w:lineRule="auto"/>
              <w:ind w:left="171" w:firstLine="480" w:firstLineChars="200"/>
              <w:jc w:val="both"/>
              <w:rPr>
                <w:rFonts w:hint="eastAsia" w:ascii="仿宋_GB2312" w:hAnsi="仿宋_GB2312" w:eastAsia="仿宋_GB2312" w:cs="仿宋_GB2312"/>
                <w:sz w:val="24"/>
                <w:szCs w:val="24"/>
              </w:rPr>
            </w:pPr>
          </w:p>
          <w:p w14:paraId="28BA0E0E">
            <w:pPr>
              <w:pStyle w:val="8"/>
              <w:keepNext w:val="0"/>
              <w:keepLines w:val="0"/>
              <w:pageBreakBefore w:val="0"/>
              <w:widowControl w:val="0"/>
              <w:kinsoku/>
              <w:wordWrap/>
              <w:overflowPunct/>
              <w:topLinePunct w:val="0"/>
              <w:autoSpaceDE/>
              <w:autoSpaceDN/>
              <w:bidi w:val="0"/>
              <w:adjustRightInd/>
              <w:snapToGrid/>
              <w:spacing w:line="269" w:lineRule="auto"/>
              <w:ind w:left="210" w:leftChars="100" w:right="567" w:rightChars="0" w:firstLine="0" w:firstLineChars="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项目通电上线后，运营商组织整体验收，相关资料留存备查。</w:t>
            </w:r>
          </w:p>
          <w:p w14:paraId="544D760D">
            <w:pPr>
              <w:pStyle w:val="8"/>
              <w:spacing w:before="5" w:line="275" w:lineRule="auto"/>
              <w:ind w:left="171" w:firstLine="480" w:firstLineChars="200"/>
              <w:jc w:val="both"/>
              <w:rPr>
                <w:rFonts w:hint="eastAsia" w:ascii="仿宋_GB2312" w:hAnsi="仿宋_GB2312" w:eastAsia="仿宋_GB2312" w:cs="仿宋_GB2312"/>
                <w:sz w:val="24"/>
                <w:szCs w:val="24"/>
              </w:rPr>
            </w:pPr>
          </w:p>
        </w:tc>
      </w:tr>
    </w:tbl>
    <w:p w14:paraId="657FD6F9">
      <w:pPr>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mc:AlternateContent>
          <mc:Choice Requires="wps">
            <w:drawing>
              <wp:anchor distT="0" distB="0" distL="114300" distR="114300" simplePos="0" relativeHeight="251668480" behindDoc="0" locked="0" layoutInCell="1" allowOverlap="1">
                <wp:simplePos x="0" y="0"/>
                <wp:positionH relativeFrom="column">
                  <wp:posOffset>-85725</wp:posOffset>
                </wp:positionH>
                <wp:positionV relativeFrom="paragraph">
                  <wp:posOffset>1271905</wp:posOffset>
                </wp:positionV>
                <wp:extent cx="190500" cy="149860"/>
                <wp:effectExtent l="25400" t="5080" r="31750" b="16510"/>
                <wp:wrapNone/>
                <wp:docPr id="4" name="下箭头 4"/>
                <wp:cNvGraphicFramePr/>
                <a:graphic xmlns:a="http://schemas.openxmlformats.org/drawingml/2006/main">
                  <a:graphicData uri="http://schemas.microsoft.com/office/word/2010/wordprocessingShape">
                    <wps:wsp>
                      <wps:cNvSpPr/>
                      <wps:spPr>
                        <a:xfrm>
                          <a:off x="0" y="0"/>
                          <a:ext cx="190500" cy="149860"/>
                        </a:xfrm>
                        <a:prstGeom prst="downArrow">
                          <a:avLst>
                            <a:gd name="adj1" fmla="val 49999"/>
                            <a:gd name="adj2" fmla="val 25000"/>
                          </a:avLst>
                        </a:prstGeom>
                        <a:solidFill>
                          <a:srgbClr val="000000"/>
                        </a:solidFill>
                        <a:ln w="9525" cap="flat" cmpd="sng">
                          <a:solidFill>
                            <a:srgbClr val="000000"/>
                          </a:solidFill>
                          <a:prstDash val="solid"/>
                          <a:miter/>
                          <a:headEnd type="none" w="med" len="med"/>
                          <a:tailEnd type="none" w="med" len="med"/>
                        </a:ln>
                      </wps:spPr>
                      <wps:txbx>
                        <w:txbxContent>
                          <w:p w14:paraId="75AB0E0C">
                            <w:pPr>
                              <w:jc w:val="center"/>
                            </w:pPr>
                          </w:p>
                          <w:p w14:paraId="2C4B647F">
                            <w:pPr>
                              <w:jc w:val="center"/>
                            </w:pPr>
                          </w:p>
                        </w:txbxContent>
                      </wps:txbx>
                      <wps:bodyPr upright="1"/>
                    </wps:wsp>
                  </a:graphicData>
                </a:graphic>
              </wp:anchor>
            </w:drawing>
          </mc:Choice>
          <mc:Fallback>
            <w:pict>
              <v:shape id="_x0000_s1026" o:spid="_x0000_s1026" o:spt="67" type="#_x0000_t67" style="position:absolute;left:0pt;margin-left:-6.75pt;margin-top:100.15pt;height:11.8pt;width:15pt;z-index:251668480;mso-width-relative:page;mso-height-relative:page;" fillcolor="#000000" filled="t" stroked="t" coordsize="21600,21600" o:gfxdata="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FhO&#10;DdrVAAAACgEAAA8AAAAAAAAAAQAgAAAAIgAAAGRycy9kb3ducmV2LnhtbFBLAQIUABQAAAAIAIdO&#10;4kB+aX+UJgIAAIEEAAAOAAAAAAAAAAEAIAAAACQBAABkcnMvZTJvRG9jLnhtbFBLBQYAAAAABgAG&#10;AFkBAAC8BQAAAAA=&#10;" adj="16200,5400">
                <v:fill on="t" focussize="0,0"/>
                <v:stroke color="#000000" joinstyle="miter"/>
                <v:imagedata o:title=""/>
                <o:lock v:ext="edit" aspectratio="f"/>
                <v:textbox>
                  <w:txbxContent>
                    <w:p w14:paraId="75AB0E0C">
                      <w:pPr>
                        <w:jc w:val="center"/>
                      </w:pPr>
                    </w:p>
                    <w:p w14:paraId="2C4B647F">
                      <w:pPr>
                        <w:jc w:val="center"/>
                      </w:pPr>
                    </w:p>
                  </w:txbxContent>
                </v:textbox>
              </v:shape>
            </w:pict>
          </mc:Fallback>
        </mc:AlternateContent>
      </w:r>
    </w:p>
    <w:tbl>
      <w:tblPr>
        <w:tblStyle w:val="9"/>
        <w:tblpPr w:leftFromText="180" w:rightFromText="180" w:vertAnchor="text" w:horzAnchor="page" w:tblpX="1458" w:tblpY="49"/>
        <w:tblOverlap w:val="never"/>
        <w:tblW w:w="94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75"/>
        <w:gridCol w:w="8504"/>
      </w:tblGrid>
      <w:tr w14:paraId="7C4A3A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25" w:hRule="atLeast"/>
        </w:trPr>
        <w:tc>
          <w:tcPr>
            <w:tcW w:w="975" w:type="dxa"/>
            <w:noWrap w:val="0"/>
            <w:vAlign w:val="center"/>
          </w:tcPr>
          <w:p w14:paraId="7DBDD7AF">
            <w:pPr>
              <w:pStyle w:val="8"/>
              <w:keepNext w:val="0"/>
              <w:keepLines w:val="0"/>
              <w:pageBreakBefore w:val="0"/>
              <w:widowControl w:val="0"/>
              <w:kinsoku/>
              <w:wordWrap/>
              <w:overflowPunct/>
              <w:topLinePunct w:val="0"/>
              <w:autoSpaceDE/>
              <w:autoSpaceDN/>
              <w:bidi w:val="0"/>
              <w:adjustRightInd/>
              <w:snapToGrid/>
              <w:spacing w:before="147" w:line="269" w:lineRule="auto"/>
              <w:ind w:left="164" w:right="221"/>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2"/>
                <w:sz w:val="24"/>
                <w:szCs w:val="24"/>
                <w:lang w:val="en-US" w:eastAsia="zh-CN" w:bidi="ar-SA"/>
              </w:rPr>
              <w:t>运营 维护</w:t>
            </w:r>
          </w:p>
        </w:tc>
        <w:tc>
          <w:tcPr>
            <w:tcW w:w="8504" w:type="dxa"/>
            <w:noWrap w:val="0"/>
            <w:vAlign w:val="center"/>
          </w:tcPr>
          <w:p w14:paraId="400580AE">
            <w:pPr>
              <w:pStyle w:val="8"/>
              <w:keepNext w:val="0"/>
              <w:keepLines w:val="0"/>
              <w:pageBreakBefore w:val="0"/>
              <w:widowControl w:val="0"/>
              <w:kinsoku/>
              <w:wordWrap/>
              <w:overflowPunct/>
              <w:topLinePunct w:val="0"/>
              <w:autoSpaceDE/>
              <w:autoSpaceDN/>
              <w:bidi w:val="0"/>
              <w:adjustRightInd/>
              <w:snapToGrid/>
              <w:spacing w:line="269" w:lineRule="auto"/>
              <w:ind w:left="210" w:leftChars="100" w:right="210" w:rightChars="1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充电运营商作为充电设施投资建设主体，履行安全生产主体责任，负责充电设施日常维护管理，承担相应安全管理责任。提供有偿服务的，实行明码标价。协议期满不再运营的，充电运营商应拆除相关设施设备，并恢复原状。</w:t>
            </w:r>
          </w:p>
        </w:tc>
      </w:tr>
    </w:tbl>
    <w:p w14:paraId="0C7731B7">
      <w:pPr>
        <w:rPr>
          <w:rFonts w:hint="eastAsia" w:ascii="仿宋_GB2312" w:hAnsi="仿宋_GB2312" w:eastAsia="仿宋_GB2312" w:cs="仿宋_GB2312"/>
          <w:b/>
          <w:bCs/>
          <w:sz w:val="32"/>
          <w:szCs w:val="32"/>
        </w:rPr>
      </w:pPr>
    </w:p>
    <w:p w14:paraId="6623048A">
      <w:pPr>
        <w:rPr>
          <w:rFonts w:hint="eastAsia" w:ascii="仿宋_GB2312" w:hAnsi="仿宋_GB2312" w:eastAsia="仿宋_GB2312" w:cs="仿宋_GB2312"/>
          <w:b w:val="0"/>
          <w:bCs w:val="0"/>
          <w:sz w:val="32"/>
          <w:szCs w:val="32"/>
        </w:rPr>
      </w:pPr>
      <w:r>
        <w:rPr>
          <w:rFonts w:hint="eastAsia" w:ascii="仿宋_GB2312" w:hAnsi="仿宋_GB2312" w:eastAsia="仿宋_GB2312" w:cs="仿宋_GB2312"/>
          <w:b/>
          <w:bCs/>
          <w:sz w:val="32"/>
          <w:szCs w:val="32"/>
        </w:rPr>
        <w:br w:type="page"/>
      </w:r>
      <w:r>
        <w:rPr>
          <w:rFonts w:hint="eastAsia" w:ascii="仿宋_GB2312" w:hAnsi="仿宋_GB2312" w:eastAsia="仿宋_GB2312" w:cs="仿宋_GB2312"/>
          <w:b w:val="0"/>
          <w:bCs w:val="0"/>
          <w:sz w:val="32"/>
          <w:szCs w:val="32"/>
        </w:rPr>
        <w:t>附件 1-1</w:t>
      </w:r>
    </w:p>
    <w:p w14:paraId="00C9515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xx小区新能源汽车充电设施电力接入说明</w:t>
      </w:r>
    </w:p>
    <w:p w14:paraId="361264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(适用运营商报装)</w:t>
      </w:r>
    </w:p>
    <w:p w14:paraId="553763DE">
      <w:pPr>
        <w:ind w:firstLine="2209" w:firstLineChars="500"/>
        <w:rPr>
          <w:rFonts w:hint="eastAsia" w:ascii="新宋体" w:hAnsi="新宋体" w:eastAsia="新宋体" w:cs="新宋体"/>
          <w:b/>
          <w:bCs/>
          <w:sz w:val="44"/>
          <w:szCs w:val="44"/>
        </w:rPr>
      </w:pPr>
    </w:p>
    <w:p w14:paraId="035FA4F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国网</w:t>
      </w:r>
      <w:r>
        <w:rPr>
          <w:rFonts w:hint="eastAsia" w:ascii="仿宋_GB2312" w:hAnsi="仿宋_GB2312" w:eastAsia="仿宋_GB2312" w:cs="仿宋_GB2312"/>
          <w:sz w:val="32"/>
          <w:szCs w:val="32"/>
          <w:lang w:val="en-US" w:eastAsia="zh-CN"/>
        </w:rPr>
        <w:t>XX供电公司</w:t>
      </w:r>
      <w:r>
        <w:rPr>
          <w:rFonts w:hint="eastAsia" w:ascii="仿宋_GB2312" w:hAnsi="仿宋_GB2312" w:eastAsia="仿宋_GB2312" w:cs="仿宋_GB2312"/>
          <w:sz w:val="32"/>
          <w:szCs w:val="32"/>
        </w:rPr>
        <w:t>:</w:t>
      </w:r>
    </w:p>
    <w:p w14:paraId="12DE58F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我方允许</w:t>
      </w:r>
      <w:r>
        <w:rPr>
          <w:rFonts w:hint="eastAsia" w:ascii="仿宋_GB2312" w:hAnsi="仿宋_GB2312" w:eastAsia="仿宋_GB2312" w:cs="仿宋_GB2312"/>
          <w:sz w:val="32"/>
          <w:szCs w:val="32"/>
          <w:u w:val="single"/>
        </w:rPr>
        <w:t>(运营商全称)</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在</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(充电设施安装位置</w:t>
      </w:r>
      <w:r>
        <w:rPr>
          <w:rFonts w:hint="eastAsia" w:ascii="仿宋_GB2312" w:hAnsi="仿宋_GB2312" w:eastAsia="仿宋_GB2312" w:cs="仿宋_GB2312"/>
          <w:sz w:val="32"/>
          <w:szCs w:val="32"/>
        </w:rPr>
        <w:t>)建设新能源充电设施和增设相关电力设备。</w:t>
      </w:r>
    </w:p>
    <w:p w14:paraId="5F26088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特此说明。</w:t>
      </w:r>
    </w:p>
    <w:p w14:paraId="2A1755B5">
      <w:pPr>
        <w:ind w:firstLine="640" w:firstLineChars="200"/>
        <w:rPr>
          <w:rFonts w:hint="eastAsia" w:ascii="仿宋_GB2312" w:hAnsi="仿宋_GB2312" w:eastAsia="仿宋_GB2312" w:cs="仿宋_GB2312"/>
          <w:sz w:val="32"/>
          <w:szCs w:val="32"/>
        </w:rPr>
      </w:pPr>
    </w:p>
    <w:p w14:paraId="1DFD2545">
      <w:pPr>
        <w:ind w:firstLine="4480" w:firstLineChars="14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小区管理单位(盖章):</w:t>
      </w:r>
    </w:p>
    <w:p w14:paraId="3AC30F43">
      <w:pPr>
        <w:ind w:firstLine="4800" w:firstLineChars="15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xxxx年xx月xx日</w:t>
      </w:r>
    </w:p>
    <w:p w14:paraId="604E41CB">
      <w:pPr>
        <w:ind w:firstLine="640" w:firstLineChars="200"/>
        <w:rPr>
          <w:rFonts w:hint="eastAsia" w:ascii="仿宋_GB2312" w:hAnsi="仿宋_GB2312" w:eastAsia="仿宋_GB2312" w:cs="仿宋_GB2312"/>
          <w:sz w:val="32"/>
          <w:szCs w:val="32"/>
        </w:rPr>
      </w:pPr>
    </w:p>
    <w:p w14:paraId="3C44D62B">
      <w:pPr>
        <w:ind w:firstLine="640" w:firstLineChars="200"/>
        <w:rPr>
          <w:rFonts w:hint="eastAsia" w:ascii="新宋体" w:hAnsi="新宋体" w:eastAsia="新宋体" w:cs="新宋体"/>
          <w:sz w:val="32"/>
          <w:szCs w:val="32"/>
        </w:rPr>
      </w:pPr>
    </w:p>
    <w:p w14:paraId="20CFC19D">
      <w:pPr>
        <w:ind w:firstLine="640" w:firstLineChars="200"/>
        <w:rPr>
          <w:rFonts w:hint="eastAsia" w:ascii="新宋体" w:hAnsi="新宋体" w:eastAsia="新宋体" w:cs="新宋体"/>
          <w:sz w:val="32"/>
          <w:szCs w:val="32"/>
        </w:rPr>
      </w:pPr>
    </w:p>
    <w:p w14:paraId="7BD00090">
      <w:pPr>
        <w:ind w:firstLine="640" w:firstLineChars="200"/>
        <w:rPr>
          <w:rFonts w:hint="eastAsia" w:ascii="新宋体" w:hAnsi="新宋体" w:eastAsia="新宋体" w:cs="新宋体"/>
          <w:sz w:val="32"/>
          <w:szCs w:val="32"/>
        </w:rPr>
      </w:pPr>
    </w:p>
    <w:p w14:paraId="3E2B659D">
      <w:pPr>
        <w:ind w:firstLine="640" w:firstLineChars="200"/>
        <w:rPr>
          <w:rFonts w:hint="eastAsia" w:ascii="新宋体" w:hAnsi="新宋体" w:eastAsia="新宋体" w:cs="新宋体"/>
          <w:sz w:val="32"/>
          <w:szCs w:val="32"/>
        </w:rPr>
      </w:pPr>
    </w:p>
    <w:p w14:paraId="1215441B">
      <w:pPr>
        <w:ind w:firstLine="640" w:firstLineChars="200"/>
        <w:rPr>
          <w:rFonts w:hint="eastAsia" w:ascii="新宋体" w:hAnsi="新宋体" w:eastAsia="新宋体" w:cs="新宋体"/>
          <w:sz w:val="32"/>
          <w:szCs w:val="32"/>
        </w:rPr>
      </w:pPr>
    </w:p>
    <w:p w14:paraId="63DB79FD">
      <w:pPr>
        <w:rPr>
          <w:rFonts w:hint="eastAsia" w:ascii="新宋体" w:hAnsi="新宋体" w:eastAsia="新宋体" w:cs="新宋体"/>
          <w:b/>
          <w:bCs/>
          <w:sz w:val="44"/>
          <w:szCs w:val="44"/>
        </w:rPr>
      </w:pPr>
    </w:p>
    <w:p w14:paraId="2E836BAD">
      <w:pPr>
        <w:rPr>
          <w:rFonts w:hint="eastAsia" w:ascii="新宋体" w:hAnsi="新宋体" w:eastAsia="新宋体" w:cs="新宋体"/>
          <w:b/>
          <w:bCs/>
          <w:sz w:val="44"/>
          <w:szCs w:val="44"/>
        </w:rPr>
      </w:pPr>
    </w:p>
    <w:p w14:paraId="64E6CC61">
      <w:pPr>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br w:type="page"/>
      </w:r>
    </w:p>
    <w:p w14:paraId="34F84C3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附件2</w:t>
      </w:r>
    </w:p>
    <w:p w14:paraId="7012F0B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新宋体" w:hAnsi="新宋体" w:eastAsia="新宋体" w:cs="新宋体"/>
          <w:b/>
          <w:bCs/>
          <w:sz w:val="44"/>
          <w:szCs w:val="44"/>
        </w:rPr>
      </w:pPr>
      <w:r>
        <w:rPr>
          <w:rFonts w:hint="eastAsia" w:ascii="方正小标宋简体" w:hAnsi="方正小标宋简体" w:eastAsia="方正小标宋简体" w:cs="方正小标宋简体"/>
          <w:b w:val="0"/>
          <w:bCs w:val="0"/>
          <w:sz w:val="44"/>
          <w:szCs w:val="44"/>
        </w:rPr>
        <w:t>既有小区自用桩建设管理流程</w:t>
      </w:r>
    </w:p>
    <w:p w14:paraId="189C73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222222"/>
          <w:kern w:val="0"/>
          <w:sz w:val="32"/>
          <w:szCs w:val="32"/>
          <w:lang w:val="en-US" w:eastAsia="zh-CN" w:bidi="ar-SA"/>
        </w:rPr>
      </w:pPr>
      <w:r>
        <w:rPr>
          <w:rFonts w:hint="eastAsia" w:ascii="仿宋_GB2312" w:hAnsi="仿宋_GB2312" w:eastAsia="仿宋_GB2312" w:cs="仿宋_GB2312"/>
          <w:color w:val="222222"/>
          <w:kern w:val="0"/>
          <w:sz w:val="32"/>
          <w:szCs w:val="32"/>
          <w:lang w:val="en-US" w:eastAsia="zh-CN" w:bidi="ar-SA"/>
        </w:rPr>
        <w:t>一、既有小区建设安装居民自用桩须符合以下条件:</w:t>
      </w:r>
    </w:p>
    <w:p w14:paraId="54C477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222222"/>
          <w:kern w:val="0"/>
          <w:sz w:val="32"/>
          <w:szCs w:val="32"/>
          <w:lang w:val="en-US" w:eastAsia="zh-CN" w:bidi="ar-SA"/>
        </w:rPr>
      </w:pPr>
      <w:r>
        <w:rPr>
          <w:rFonts w:hint="eastAsia" w:ascii="仿宋_GB2312" w:hAnsi="仿宋_GB2312" w:eastAsia="仿宋_GB2312" w:cs="仿宋_GB2312"/>
          <w:color w:val="222222"/>
          <w:kern w:val="0"/>
          <w:sz w:val="32"/>
          <w:szCs w:val="32"/>
          <w:lang w:val="en-US" w:eastAsia="zh-CN" w:bidi="ar-SA"/>
        </w:rPr>
        <w:t>1.车位条件。业主或房屋租</w:t>
      </w:r>
      <w:bookmarkStart w:id="0" w:name="_GoBack"/>
      <w:bookmarkEnd w:id="0"/>
      <w:r>
        <w:rPr>
          <w:rFonts w:hint="eastAsia" w:ascii="仿宋_GB2312" w:hAnsi="仿宋_GB2312" w:eastAsia="仿宋_GB2312" w:cs="仿宋_GB2312"/>
          <w:color w:val="222222"/>
          <w:kern w:val="0"/>
          <w:sz w:val="32"/>
          <w:szCs w:val="32"/>
          <w:lang w:val="en-US" w:eastAsia="zh-CN" w:bidi="ar-SA"/>
        </w:rPr>
        <w:t>赁人(以下简称：申请人)持有自有产权车位或产权人同意的租赁车位(租赁期一年以上)。</w:t>
      </w:r>
    </w:p>
    <w:p w14:paraId="112A07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222222"/>
          <w:kern w:val="0"/>
          <w:sz w:val="32"/>
          <w:szCs w:val="32"/>
          <w:lang w:val="en-US" w:eastAsia="zh-CN" w:bidi="ar-SA"/>
        </w:rPr>
      </w:pPr>
      <w:r>
        <w:rPr>
          <w:rFonts w:hint="eastAsia" w:ascii="仿宋_GB2312" w:hAnsi="仿宋_GB2312" w:eastAsia="仿宋_GB2312" w:cs="仿宋_GB2312"/>
          <w:color w:val="222222"/>
          <w:kern w:val="0"/>
          <w:sz w:val="32"/>
          <w:szCs w:val="32"/>
          <w:lang w:val="en-US" w:eastAsia="zh-CN" w:bidi="ar-SA"/>
        </w:rPr>
        <w:t>2.电力容量。小区剩余电力变配电容量能够满足自用桩用电负荷需求；不满足的，可开展小区变压器增容或引入充电运营商采用智能有序充电方式建设，支持优先应用智能有序充电。</w:t>
      </w:r>
    </w:p>
    <w:p w14:paraId="5801BAE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222222"/>
          <w:kern w:val="0"/>
          <w:sz w:val="32"/>
          <w:szCs w:val="32"/>
          <w:lang w:val="en-US" w:eastAsia="zh-CN" w:bidi="ar-SA"/>
        </w:rPr>
      </w:pPr>
      <w:r>
        <w:rPr>
          <w:rFonts w:hint="eastAsia" w:ascii="仿宋_GB2312" w:hAnsi="仿宋_GB2312" w:eastAsia="仿宋_GB2312" w:cs="仿宋_GB2312"/>
          <w:color w:val="222222"/>
          <w:kern w:val="0"/>
          <w:sz w:val="32"/>
          <w:szCs w:val="32"/>
          <w:lang w:val="en-US" w:eastAsia="zh-CN" w:bidi="ar-SA"/>
        </w:rPr>
        <w:t>3.消防设施。小区地下、半地下车库和高层汽车库具备火灾自动报警系统、排烟设施、自动喷水灭火系统、消防应急照明和疏散指示标志。</w:t>
      </w:r>
    </w:p>
    <w:p w14:paraId="4761F5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222222"/>
          <w:kern w:val="0"/>
          <w:sz w:val="32"/>
          <w:szCs w:val="32"/>
          <w:lang w:val="en-US" w:eastAsia="zh-CN" w:bidi="ar-SA"/>
        </w:rPr>
      </w:pPr>
      <w:r>
        <w:rPr>
          <w:rFonts w:hint="eastAsia" w:ascii="仿宋_GB2312" w:hAnsi="仿宋_GB2312" w:eastAsia="仿宋_GB2312" w:cs="仿宋_GB2312"/>
          <w:color w:val="222222"/>
          <w:kern w:val="0"/>
          <w:sz w:val="32"/>
          <w:szCs w:val="32"/>
          <w:lang w:val="en-US" w:eastAsia="zh-CN" w:bidi="ar-SA"/>
        </w:rPr>
        <w:t>二、既有小区自用桩建设管理流程如下:</w:t>
      </w:r>
    </w:p>
    <w:p w14:paraId="48D8BD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222222"/>
          <w:kern w:val="0"/>
          <w:sz w:val="32"/>
          <w:szCs w:val="32"/>
          <w:lang w:val="en-US" w:eastAsia="zh-CN" w:bidi="ar-SA"/>
        </w:rPr>
      </w:pPr>
      <w:r>
        <w:rPr>
          <w:rFonts w:hint="eastAsia" w:ascii="仿宋_GB2312" w:hAnsi="仿宋_GB2312" w:eastAsia="仿宋_GB2312" w:cs="仿宋_GB2312"/>
          <w:color w:val="222222"/>
          <w:kern w:val="0"/>
          <w:sz w:val="32"/>
          <w:szCs w:val="32"/>
          <w:lang w:val="en-US" w:eastAsia="zh-CN" w:bidi="ar-SA"/>
        </w:rPr>
        <w:t>1.准备材料。申请人持车位产权证明(车位产权登记证明、车位租赁协议或车位产权人同意证明等)向小区管理单位提出申请。小区管理单位收到申请后应于7个工作日内核实目前小区剩余电力变配电容量情况，查勘安装现场。原则上，小区管理单位应支持申请人从居民变压器向电网企业直接报装接电，并在《充电设施报装申请表》(附件2-1)上签字盖章。</w:t>
      </w:r>
    </w:p>
    <w:p w14:paraId="7C110F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222222"/>
          <w:kern w:val="0"/>
          <w:sz w:val="32"/>
          <w:szCs w:val="32"/>
          <w:lang w:val="en-US" w:eastAsia="zh-CN" w:bidi="ar-SA"/>
        </w:rPr>
      </w:pPr>
      <w:r>
        <w:rPr>
          <w:rFonts w:hint="eastAsia" w:ascii="仿宋_GB2312" w:hAnsi="仿宋_GB2312" w:eastAsia="仿宋_GB2312" w:cs="仿宋_GB2312"/>
          <w:color w:val="222222"/>
          <w:kern w:val="0"/>
          <w:sz w:val="32"/>
          <w:szCs w:val="32"/>
          <w:lang w:val="en-US" w:eastAsia="zh-CN" w:bidi="ar-SA"/>
        </w:rPr>
        <w:t>2.报装申请向电网企业直接报装接电的，由申请人或其委托的相关单位向属地供电企业提出申请。供电企业履行“一次性告知”义务，接收、查验、审核接电申请资料。申请资料包括:</w:t>
      </w:r>
    </w:p>
    <w:p w14:paraId="1CDB3B6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222222"/>
          <w:kern w:val="0"/>
          <w:sz w:val="32"/>
          <w:szCs w:val="32"/>
          <w:lang w:val="en-US" w:eastAsia="zh-CN" w:bidi="ar-SA"/>
        </w:rPr>
      </w:pPr>
      <w:r>
        <w:rPr>
          <w:rFonts w:hint="eastAsia" w:ascii="仿宋_GB2312" w:hAnsi="仿宋_GB2312" w:eastAsia="仿宋_GB2312" w:cs="仿宋_GB2312"/>
          <w:color w:val="222222"/>
          <w:kern w:val="0"/>
          <w:sz w:val="32"/>
          <w:szCs w:val="32"/>
          <w:lang w:val="en-US" w:eastAsia="zh-CN" w:bidi="ar-SA"/>
        </w:rPr>
        <w:t>(1)客户有效身份证和复印件；</w:t>
      </w:r>
    </w:p>
    <w:p w14:paraId="737E14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222222"/>
          <w:kern w:val="0"/>
          <w:sz w:val="32"/>
          <w:szCs w:val="32"/>
          <w:lang w:val="en-US" w:eastAsia="zh-CN" w:bidi="ar-SA"/>
        </w:rPr>
      </w:pPr>
      <w:r>
        <w:rPr>
          <w:rFonts w:hint="eastAsia" w:ascii="仿宋_GB2312" w:hAnsi="仿宋_GB2312" w:eastAsia="仿宋_GB2312" w:cs="仿宋_GB2312"/>
          <w:color w:val="222222"/>
          <w:kern w:val="0"/>
          <w:sz w:val="32"/>
          <w:szCs w:val="32"/>
          <w:lang w:val="en-US" w:eastAsia="zh-CN" w:bidi="ar-SA"/>
        </w:rPr>
        <w:t>(2)固定车位产权证明或车位租赁证明或产权人同意证明;</w:t>
      </w:r>
    </w:p>
    <w:p w14:paraId="7BF5B2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222222"/>
          <w:kern w:val="0"/>
          <w:sz w:val="32"/>
          <w:szCs w:val="32"/>
          <w:lang w:val="en-US" w:eastAsia="zh-CN" w:bidi="ar-SA"/>
        </w:rPr>
      </w:pPr>
      <w:r>
        <w:rPr>
          <w:rFonts w:hint="eastAsia" w:ascii="仿宋_GB2312" w:hAnsi="仿宋_GB2312" w:eastAsia="仿宋_GB2312" w:cs="仿宋_GB2312"/>
          <w:color w:val="222222"/>
          <w:kern w:val="0"/>
          <w:sz w:val="32"/>
          <w:szCs w:val="32"/>
          <w:lang w:val="en-US" w:eastAsia="zh-CN" w:bidi="ar-SA"/>
        </w:rPr>
        <w:t>(3)小区管理单位出具的《充电设施报装申请表》(盖章)。未向电网企业直接报装接电的，由申请人与小区管理单位协商用电。小区管理单位应明确告知用电性质及收费标准，费用收取须符合转供电有关规定，不得违规加价收取电费。</w:t>
      </w:r>
    </w:p>
    <w:p w14:paraId="45C1C5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222222"/>
          <w:kern w:val="0"/>
          <w:sz w:val="32"/>
          <w:szCs w:val="32"/>
          <w:lang w:val="en-US" w:eastAsia="zh-CN" w:bidi="ar-SA"/>
        </w:rPr>
      </w:pPr>
      <w:r>
        <w:rPr>
          <w:rFonts w:hint="eastAsia" w:ascii="仿宋_GB2312" w:hAnsi="仿宋_GB2312" w:eastAsia="仿宋_GB2312" w:cs="仿宋_GB2312"/>
          <w:color w:val="222222"/>
          <w:kern w:val="0"/>
          <w:sz w:val="32"/>
          <w:szCs w:val="32"/>
          <w:lang w:val="en-US" w:eastAsia="zh-CN" w:bidi="ar-SA"/>
        </w:rPr>
        <w:t>3.现场查勘。电网企业受理报装申请后3个工作日内，会同申请人或其委托的相关单位到现场进行用电及施工可行性勘察，小区管理单位应积极配合现场勘察。</w:t>
      </w:r>
    </w:p>
    <w:p w14:paraId="4898D4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222222"/>
          <w:kern w:val="0"/>
          <w:sz w:val="32"/>
          <w:szCs w:val="32"/>
          <w:lang w:val="en-US" w:eastAsia="zh-CN" w:bidi="ar-SA"/>
        </w:rPr>
      </w:pPr>
      <w:r>
        <w:rPr>
          <w:rFonts w:hint="eastAsia" w:ascii="仿宋_GB2312" w:hAnsi="仿宋_GB2312" w:eastAsia="仿宋_GB2312" w:cs="仿宋_GB2312"/>
          <w:color w:val="222222"/>
          <w:kern w:val="0"/>
          <w:sz w:val="32"/>
          <w:szCs w:val="32"/>
          <w:lang w:val="en-US" w:eastAsia="zh-CN" w:bidi="ar-SA"/>
        </w:rPr>
        <w:t>现有配电设施确实无法满足充电桩用电负荷需求的，产权为电网企业的，由供电企业提出解决方案；产权为用电用户的，由用电用户提供解决方案，可开展变压器增容或引入充电运营商统建统管，支持优先应用智能有序充电方式建设。</w:t>
      </w:r>
    </w:p>
    <w:p w14:paraId="20B5E0D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222222"/>
          <w:kern w:val="0"/>
          <w:sz w:val="32"/>
          <w:szCs w:val="32"/>
          <w:lang w:val="en-US" w:eastAsia="zh-CN" w:bidi="ar-SA"/>
        </w:rPr>
      </w:pPr>
      <w:r>
        <w:rPr>
          <w:rFonts w:hint="eastAsia" w:ascii="仿宋_GB2312" w:hAnsi="仿宋_GB2312" w:eastAsia="仿宋_GB2312" w:cs="仿宋_GB2312"/>
          <w:color w:val="222222"/>
          <w:kern w:val="0"/>
          <w:sz w:val="32"/>
          <w:szCs w:val="32"/>
          <w:lang w:val="en-US" w:eastAsia="zh-CN" w:bidi="ar-SA"/>
        </w:rPr>
        <w:t>4.施工建设。申请人组织符合资质的充电设施施工单位与小区管理单位对接，就施工工期、人员进出、材料管理、工程对接、现场管理等事项达成一致意见。施工单位按照确认后的安装技术方案和相应施工规范、技术标准以及安全管理规定，组织开展充电基础设施工程建设，并承担施工期间的安全责任。申请人应当在施工前与施工单位等签订《电动汽车自用桩安装承诺书(参考范本)》(附件2-2)，就充电设施安装的相关内容及施工安全责任进行约定。</w:t>
      </w:r>
    </w:p>
    <w:p w14:paraId="5140665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222222"/>
          <w:kern w:val="0"/>
          <w:sz w:val="32"/>
          <w:szCs w:val="32"/>
          <w:lang w:val="en-US" w:eastAsia="zh-CN" w:bidi="ar-SA"/>
        </w:rPr>
      </w:pPr>
      <w:r>
        <w:rPr>
          <w:rFonts w:hint="eastAsia" w:ascii="仿宋_GB2312" w:hAnsi="仿宋_GB2312" w:eastAsia="仿宋_GB2312" w:cs="仿宋_GB2312"/>
          <w:color w:val="222222"/>
          <w:kern w:val="0"/>
          <w:sz w:val="32"/>
          <w:szCs w:val="32"/>
          <w:lang w:val="en-US" w:eastAsia="zh-CN" w:bidi="ar-SA"/>
        </w:rPr>
        <w:t>5.装表接电。充电设施建设施工完成后，申请人向电网企业提出竣工检验申请，电网企业在3个工作日内组织工程验收，出具验收意见，验收合格并办理相关手续，电网企业予以装表接电。</w:t>
      </w:r>
    </w:p>
    <w:p w14:paraId="203141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222222"/>
          <w:kern w:val="0"/>
          <w:sz w:val="32"/>
          <w:szCs w:val="32"/>
          <w:lang w:val="en-US" w:eastAsia="zh-CN" w:bidi="ar-SA"/>
        </w:rPr>
      </w:pPr>
      <w:r>
        <w:rPr>
          <w:rFonts w:hint="eastAsia" w:ascii="仿宋_GB2312" w:hAnsi="仿宋_GB2312" w:eastAsia="仿宋_GB2312" w:cs="仿宋_GB2312"/>
          <w:color w:val="222222"/>
          <w:kern w:val="0"/>
          <w:sz w:val="32"/>
          <w:szCs w:val="32"/>
          <w:lang w:val="en-US" w:eastAsia="zh-CN" w:bidi="ar-SA"/>
        </w:rPr>
        <w:t>送电前，施工单位应与申请人在小区管理单位的参与下交付充电设施，提供安装合格证明并抄送小区管理单位备案。充电设施生产厂家应安排专业技术人员对申请人(使用人)进行充电桩使用技术培训及安全防范培训。</w:t>
      </w:r>
    </w:p>
    <w:p w14:paraId="49F25A8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222222"/>
          <w:kern w:val="0"/>
          <w:sz w:val="32"/>
          <w:szCs w:val="32"/>
          <w:lang w:val="en-US" w:eastAsia="zh-CN" w:bidi="ar-SA"/>
        </w:rPr>
      </w:pPr>
      <w:r>
        <w:rPr>
          <w:rFonts w:hint="eastAsia" w:ascii="仿宋_GB2312" w:hAnsi="仿宋_GB2312" w:eastAsia="仿宋_GB2312" w:cs="仿宋_GB2312"/>
          <w:color w:val="222222"/>
          <w:kern w:val="0"/>
          <w:sz w:val="32"/>
          <w:szCs w:val="32"/>
          <w:lang w:val="en-US" w:eastAsia="zh-CN" w:bidi="ar-SA"/>
        </w:rPr>
        <w:t>6.运营维护。申请人作为充电设施产权人，负责充电设施日常维护管理，承担相应安全管理责任，电动汽车生产(销售)企业在协议期内为用户提供充电桩维护保养，小区管理单位加强充电设施日常安全巡查。申请人应与小区管理单位签订《电动汽车充电桩用电(使用)协议书(参考范本)》(附件2-3)，约定安全等相关权责义务。</w:t>
      </w:r>
    </w:p>
    <w:p w14:paraId="063DC30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222222"/>
          <w:kern w:val="0"/>
          <w:sz w:val="32"/>
          <w:szCs w:val="32"/>
          <w:lang w:val="en-US" w:eastAsia="zh-CN" w:bidi="ar-SA"/>
        </w:rPr>
        <w:t>支持充电运营商按照“统建统管”模式开展干线电缆等供电设施改造，统一向属地供电企业提出报装申请，提供自用桩安装与维护管理一体化服务，建设管理流程按照本细则公用桩要求办理。充电运营商须与申请人签订服务协议，按照约定内容提供相应服务。</w:t>
      </w:r>
    </w:p>
    <w:p w14:paraId="53487D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p>
    <w:p w14:paraId="1328C1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p>
    <w:p w14:paraId="029DC8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222222"/>
          <w:kern w:val="0"/>
          <w:sz w:val="32"/>
          <w:szCs w:val="32"/>
          <w:lang w:val="en-US" w:eastAsia="zh-CN" w:bidi="ar-SA"/>
        </w:rPr>
      </w:pPr>
      <w:r>
        <w:rPr>
          <w:rFonts w:hint="eastAsia" w:ascii="仿宋_GB2312" w:hAnsi="仿宋_GB2312" w:eastAsia="仿宋_GB2312" w:cs="仿宋_GB2312"/>
          <w:color w:val="222222"/>
          <w:kern w:val="0"/>
          <w:sz w:val="32"/>
          <w:szCs w:val="32"/>
          <w:lang w:val="en-US" w:eastAsia="zh-CN" w:bidi="ar-SA"/>
        </w:rPr>
        <w:t>附件 2-1：充电设施报装申请表</w:t>
      </w:r>
    </w:p>
    <w:p w14:paraId="5DAB35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222222"/>
          <w:kern w:val="0"/>
          <w:sz w:val="32"/>
          <w:szCs w:val="32"/>
          <w:lang w:val="en-US" w:eastAsia="zh-CN" w:bidi="ar-SA"/>
        </w:rPr>
      </w:pPr>
      <w:r>
        <w:rPr>
          <w:rFonts w:hint="eastAsia" w:ascii="仿宋_GB2312" w:hAnsi="仿宋_GB2312" w:eastAsia="仿宋_GB2312" w:cs="仿宋_GB2312"/>
          <w:color w:val="222222"/>
          <w:kern w:val="0"/>
          <w:sz w:val="32"/>
          <w:szCs w:val="32"/>
          <w:lang w:val="en-US" w:eastAsia="zh-CN" w:bidi="ar-SA"/>
        </w:rPr>
        <w:t xml:space="preserve">     2-2：电动汽车自用桩安装承诺书（参考范本）</w:t>
      </w:r>
    </w:p>
    <w:p w14:paraId="643A11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222222"/>
          <w:kern w:val="0"/>
          <w:sz w:val="32"/>
          <w:szCs w:val="32"/>
          <w:lang w:val="en-US" w:eastAsia="zh-CN" w:bidi="ar-SA"/>
        </w:rPr>
      </w:pPr>
      <w:r>
        <w:rPr>
          <w:rFonts w:hint="eastAsia" w:ascii="仿宋_GB2312" w:hAnsi="仿宋_GB2312" w:eastAsia="仿宋_GB2312" w:cs="仿宋_GB2312"/>
          <w:color w:val="222222"/>
          <w:kern w:val="0"/>
          <w:sz w:val="32"/>
          <w:szCs w:val="32"/>
          <w:lang w:val="en-US" w:eastAsia="zh-CN" w:bidi="ar-SA"/>
        </w:rPr>
        <w:t xml:space="preserve">     2-3：电动汽车充电桩用电（使用）协议书（参考范本）</w:t>
      </w:r>
    </w:p>
    <w:p w14:paraId="72AF0E2A">
      <w:pP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br w:type="page"/>
      </w:r>
    </w:p>
    <w:p w14:paraId="66E78A8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32"/>
          <w:szCs w:val="32"/>
        </w:rPr>
      </w:pPr>
      <w:r>
        <w:rPr>
          <w:rFonts w:hint="eastAsia" w:ascii="方正小标宋简体" w:hAnsi="方正小标宋简体" w:eastAsia="方正小标宋简体" w:cs="方正小标宋简体"/>
          <w:b w:val="0"/>
          <w:bCs w:val="0"/>
          <w:sz w:val="44"/>
          <w:szCs w:val="44"/>
        </w:rPr>
        <w:t>既有小区自用桩建设管理流程图</w:t>
      </w:r>
    </w:p>
    <w:tbl>
      <w:tblPr>
        <w:tblStyle w:val="9"/>
        <w:tblpPr w:leftFromText="180" w:rightFromText="180" w:vertAnchor="text" w:horzAnchor="page" w:tblpX="1347" w:tblpY="74"/>
        <w:tblOverlap w:val="never"/>
        <w:tblW w:w="953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6"/>
        <w:gridCol w:w="8543"/>
      </w:tblGrid>
      <w:tr w14:paraId="091552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4" w:hRule="atLeast"/>
        </w:trPr>
        <w:tc>
          <w:tcPr>
            <w:tcW w:w="996" w:type="dxa"/>
            <w:noWrap w:val="0"/>
            <w:vAlign w:val="center"/>
          </w:tcPr>
          <w:p w14:paraId="209C5625">
            <w:pPr>
              <w:pStyle w:val="8"/>
              <w:keepNext w:val="0"/>
              <w:keepLines w:val="0"/>
              <w:pageBreakBefore w:val="0"/>
              <w:widowControl w:val="0"/>
              <w:kinsoku/>
              <w:wordWrap/>
              <w:overflowPunct/>
              <w:topLinePunct w:val="0"/>
              <w:autoSpaceDE/>
              <w:autoSpaceDN/>
              <w:bidi w:val="0"/>
              <w:adjustRightInd/>
              <w:snapToGrid/>
              <w:spacing w:line="269" w:lineRule="auto"/>
              <w:ind w:left="210" w:leftChars="100" w:right="210" w:rightChars="100"/>
              <w:jc w:val="center"/>
              <w:textAlignment w:val="auto"/>
              <w:rPr>
                <w:rFonts w:hint="eastAsia" w:ascii="新宋体" w:hAnsi="新宋体" w:eastAsia="新宋体" w:cs="新宋体"/>
                <w:sz w:val="24"/>
                <w:szCs w:val="24"/>
              </w:rPr>
            </w:pPr>
            <w:r>
              <w:rPr>
                <w:rFonts w:hint="eastAsia" w:ascii="仿宋_GB2312" w:hAnsi="仿宋_GB2312" w:eastAsia="仿宋_GB2312" w:cs="仿宋_GB2312"/>
                <w:sz w:val="24"/>
                <w:szCs w:val="24"/>
                <w:lang w:val="en-US" w:eastAsia="zh-CN"/>
              </w:rPr>
              <w:t>准备 材料</w:t>
            </w:r>
          </w:p>
        </w:tc>
        <w:tc>
          <w:tcPr>
            <w:tcW w:w="8543" w:type="dxa"/>
            <w:noWrap w:val="0"/>
            <w:vAlign w:val="center"/>
          </w:tcPr>
          <w:p w14:paraId="13FA67C1">
            <w:pPr>
              <w:pStyle w:val="8"/>
              <w:keepNext w:val="0"/>
              <w:keepLines w:val="0"/>
              <w:pageBreakBefore w:val="0"/>
              <w:widowControl w:val="0"/>
              <w:kinsoku/>
              <w:wordWrap/>
              <w:overflowPunct/>
              <w:topLinePunct w:val="0"/>
              <w:autoSpaceDE/>
              <w:autoSpaceDN/>
              <w:bidi w:val="0"/>
              <w:adjustRightInd/>
              <w:snapToGrid/>
              <w:spacing w:line="269" w:lineRule="auto"/>
              <w:ind w:left="210" w:leftChars="100" w:right="210" w:rightChars="100"/>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1.车位产权证明</w:t>
            </w:r>
            <w:r>
              <w:rPr>
                <w:rFonts w:hint="eastAsia" w:ascii="仿宋_GB2312" w:hAnsi="仿宋_GB2312" w:eastAsia="仿宋_GB2312" w:cs="仿宋_GB2312"/>
                <w:sz w:val="24"/>
                <w:szCs w:val="24"/>
                <w:lang w:eastAsia="zh-CN"/>
              </w:rPr>
              <w:t>；</w:t>
            </w:r>
          </w:p>
          <w:p w14:paraId="0554304B">
            <w:pPr>
              <w:pStyle w:val="8"/>
              <w:keepNext w:val="0"/>
              <w:keepLines w:val="0"/>
              <w:pageBreakBefore w:val="0"/>
              <w:widowControl w:val="0"/>
              <w:kinsoku/>
              <w:wordWrap/>
              <w:overflowPunct/>
              <w:topLinePunct w:val="0"/>
              <w:autoSpaceDE/>
              <w:autoSpaceDN/>
              <w:bidi w:val="0"/>
              <w:adjustRightInd/>
              <w:snapToGrid/>
              <w:spacing w:line="269" w:lineRule="auto"/>
              <w:ind w:left="210" w:leftChars="100" w:right="210" w:rightChars="100"/>
              <w:jc w:val="both"/>
              <w:textAlignment w:val="auto"/>
              <w:rPr>
                <w:rFonts w:hint="eastAsia" w:ascii="新宋体" w:hAnsi="新宋体" w:eastAsia="新宋体" w:cs="新宋体"/>
                <w:sz w:val="24"/>
                <w:szCs w:val="24"/>
              </w:rPr>
            </w:pPr>
            <w:r>
              <w:rPr>
                <w:rFonts w:hint="eastAsia" w:ascii="仿宋_GB2312" w:hAnsi="仿宋_GB2312" w:eastAsia="仿宋_GB2312" w:cs="仿宋_GB2312"/>
                <w:sz w:val="24"/>
                <w:szCs w:val="24"/>
              </w:rPr>
              <w:t>2.小区管理单位核实小区电力负荷情况，并与申请人协商达成一致(按照“统建统管”方式建设的，申请人无须准备材料)。</w:t>
            </w:r>
          </w:p>
        </w:tc>
      </w:tr>
    </w:tbl>
    <w:tbl>
      <w:tblPr>
        <w:tblStyle w:val="9"/>
        <w:tblpPr w:leftFromText="180" w:rightFromText="180" w:vertAnchor="text" w:horzAnchor="page" w:tblpX="1369" w:tblpY="1806"/>
        <w:tblOverlap w:val="never"/>
        <w:tblW w:w="952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85"/>
        <w:gridCol w:w="8540"/>
      </w:tblGrid>
      <w:tr w14:paraId="02AB4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9" w:hRule="atLeast"/>
        </w:trPr>
        <w:tc>
          <w:tcPr>
            <w:tcW w:w="985" w:type="dxa"/>
            <w:noWrap w:val="0"/>
            <w:vAlign w:val="center"/>
          </w:tcPr>
          <w:p w14:paraId="10B70EE1">
            <w:pPr>
              <w:pStyle w:val="8"/>
              <w:keepNext w:val="0"/>
              <w:keepLines w:val="0"/>
              <w:pageBreakBefore w:val="0"/>
              <w:widowControl w:val="0"/>
              <w:kinsoku/>
              <w:wordWrap/>
              <w:overflowPunct/>
              <w:topLinePunct w:val="0"/>
              <w:autoSpaceDE/>
              <w:autoSpaceDN/>
              <w:bidi w:val="0"/>
              <w:adjustRightInd/>
              <w:snapToGrid/>
              <w:spacing w:line="269" w:lineRule="auto"/>
              <w:ind w:left="210" w:leftChars="100" w:right="210" w:rightChars="100"/>
              <w:jc w:val="center"/>
              <w:textAlignment w:val="auto"/>
              <w:rPr>
                <w:rFonts w:hint="eastAsia" w:ascii="新宋体" w:hAnsi="新宋体" w:eastAsia="新宋体" w:cs="新宋体"/>
                <w:sz w:val="24"/>
                <w:szCs w:val="24"/>
              </w:rPr>
            </w:pPr>
            <w:r>
              <w:rPr>
                <w:rFonts w:hint="eastAsia" w:ascii="仿宋_GB2312" w:hAnsi="仿宋_GB2312" w:eastAsia="仿宋_GB2312" w:cs="仿宋_GB2312"/>
                <w:sz w:val="24"/>
                <w:szCs w:val="24"/>
                <w:lang w:val="en-US" w:eastAsia="zh-CN"/>
              </w:rPr>
              <w:t>报装 申请</w:t>
            </w:r>
          </w:p>
        </w:tc>
        <w:tc>
          <w:tcPr>
            <w:tcW w:w="8540" w:type="dxa"/>
            <w:noWrap w:val="0"/>
            <w:vAlign w:val="center"/>
          </w:tcPr>
          <w:p w14:paraId="46D15B51">
            <w:pPr>
              <w:pStyle w:val="8"/>
              <w:keepNext w:val="0"/>
              <w:keepLines w:val="0"/>
              <w:pageBreakBefore w:val="0"/>
              <w:widowControl w:val="0"/>
              <w:kinsoku/>
              <w:wordWrap/>
              <w:overflowPunct/>
              <w:topLinePunct w:val="0"/>
              <w:autoSpaceDE/>
              <w:autoSpaceDN/>
              <w:bidi w:val="0"/>
              <w:adjustRightInd/>
              <w:snapToGrid/>
              <w:spacing w:line="269" w:lineRule="auto"/>
              <w:ind w:left="210" w:leftChars="100" w:right="210" w:rightChars="100"/>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向电网企业直接报装接电的，申请人准备资料，提出报装申请</w:t>
            </w:r>
            <w:r>
              <w:rPr>
                <w:rFonts w:hint="eastAsia" w:ascii="仿宋_GB2312" w:hAnsi="仿宋_GB2312" w:eastAsia="仿宋_GB2312" w:cs="仿宋_GB2312"/>
                <w:sz w:val="24"/>
                <w:szCs w:val="24"/>
                <w:lang w:eastAsia="zh-CN"/>
              </w:rPr>
              <w:t>：</w:t>
            </w:r>
          </w:p>
          <w:p w14:paraId="0F38D556">
            <w:pPr>
              <w:pStyle w:val="8"/>
              <w:keepNext w:val="0"/>
              <w:keepLines w:val="0"/>
              <w:pageBreakBefore w:val="0"/>
              <w:widowControl w:val="0"/>
              <w:kinsoku/>
              <w:wordWrap/>
              <w:overflowPunct/>
              <w:topLinePunct w:val="0"/>
              <w:autoSpaceDE/>
              <w:autoSpaceDN/>
              <w:bidi w:val="0"/>
              <w:adjustRightInd/>
              <w:snapToGrid/>
              <w:spacing w:line="269" w:lineRule="auto"/>
              <w:ind w:left="210" w:leftChars="100" w:right="210" w:rightChars="100"/>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(1)客户有效身份证和复印件</w:t>
            </w:r>
            <w:r>
              <w:rPr>
                <w:rFonts w:hint="eastAsia" w:ascii="仿宋_GB2312" w:hAnsi="仿宋_GB2312" w:eastAsia="仿宋_GB2312" w:cs="仿宋_GB2312"/>
                <w:sz w:val="24"/>
                <w:szCs w:val="24"/>
                <w:lang w:eastAsia="zh-CN"/>
              </w:rPr>
              <w:t>；</w:t>
            </w:r>
          </w:p>
          <w:p w14:paraId="2B583141">
            <w:pPr>
              <w:pStyle w:val="8"/>
              <w:keepNext w:val="0"/>
              <w:keepLines w:val="0"/>
              <w:pageBreakBefore w:val="0"/>
              <w:widowControl w:val="0"/>
              <w:kinsoku/>
              <w:wordWrap/>
              <w:overflowPunct/>
              <w:topLinePunct w:val="0"/>
              <w:autoSpaceDE/>
              <w:autoSpaceDN/>
              <w:bidi w:val="0"/>
              <w:adjustRightInd/>
              <w:snapToGrid/>
              <w:spacing w:line="269" w:lineRule="auto"/>
              <w:ind w:left="210" w:leftChars="100" w:right="210" w:rightChars="100"/>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(2)固定车位产权证明或车位租赁证明或产权人同意证明</w:t>
            </w:r>
            <w:r>
              <w:rPr>
                <w:rFonts w:hint="eastAsia" w:ascii="仿宋_GB2312" w:hAnsi="仿宋_GB2312" w:eastAsia="仿宋_GB2312" w:cs="仿宋_GB2312"/>
                <w:sz w:val="24"/>
                <w:szCs w:val="24"/>
                <w:lang w:eastAsia="zh-CN"/>
              </w:rPr>
              <w:t>；</w:t>
            </w:r>
          </w:p>
          <w:p w14:paraId="5B28D14F">
            <w:pPr>
              <w:pStyle w:val="8"/>
              <w:keepNext w:val="0"/>
              <w:keepLines w:val="0"/>
              <w:pageBreakBefore w:val="0"/>
              <w:widowControl w:val="0"/>
              <w:kinsoku/>
              <w:wordWrap/>
              <w:overflowPunct/>
              <w:topLinePunct w:val="0"/>
              <w:autoSpaceDE/>
              <w:autoSpaceDN/>
              <w:bidi w:val="0"/>
              <w:adjustRightInd/>
              <w:snapToGrid/>
              <w:spacing w:line="269" w:lineRule="auto"/>
              <w:ind w:left="210" w:leftChars="100" w:right="210" w:rightChars="100"/>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(3)小区管理单位出具的《充电设施报装申请表》</w:t>
            </w:r>
            <w:r>
              <w:rPr>
                <w:rFonts w:hint="eastAsia" w:ascii="仿宋_GB2312" w:hAnsi="仿宋_GB2312" w:eastAsia="仿宋_GB2312" w:cs="仿宋_GB2312"/>
                <w:sz w:val="24"/>
                <w:szCs w:val="24"/>
                <w:lang w:eastAsia="zh-CN"/>
              </w:rPr>
              <w:t>。</w:t>
            </w:r>
          </w:p>
          <w:p w14:paraId="6B1F16FF">
            <w:pPr>
              <w:pStyle w:val="8"/>
              <w:keepNext w:val="0"/>
              <w:keepLines w:val="0"/>
              <w:pageBreakBefore w:val="0"/>
              <w:widowControl w:val="0"/>
              <w:kinsoku/>
              <w:wordWrap/>
              <w:overflowPunct/>
              <w:topLinePunct w:val="0"/>
              <w:autoSpaceDE/>
              <w:autoSpaceDN/>
              <w:bidi w:val="0"/>
              <w:adjustRightInd/>
              <w:snapToGrid/>
              <w:spacing w:line="269" w:lineRule="auto"/>
              <w:ind w:left="210" w:leftChars="100" w:right="210" w:rightChars="100"/>
              <w:jc w:val="both"/>
              <w:textAlignment w:val="auto"/>
              <w:rPr>
                <w:rFonts w:hint="eastAsia" w:ascii="新宋体" w:hAnsi="新宋体" w:eastAsia="新宋体" w:cs="新宋体"/>
                <w:sz w:val="24"/>
                <w:szCs w:val="24"/>
              </w:rPr>
            </w:pPr>
            <w:r>
              <w:rPr>
                <w:rFonts w:hint="eastAsia" w:ascii="仿宋_GB2312" w:hAnsi="仿宋_GB2312" w:eastAsia="仿宋_GB2312" w:cs="仿宋_GB2312"/>
                <w:sz w:val="24"/>
                <w:szCs w:val="24"/>
              </w:rPr>
              <w:t>未向电网企业直接报装接电的</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申请人与小区管理单位协商用电</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按照统建统管方式建设的</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由充电运营商打包统一向属地供电企业提出报装申请</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申请资料按照公用桩报装申请要求办理。</w:t>
            </w:r>
          </w:p>
        </w:tc>
      </w:tr>
    </w:tbl>
    <w:p w14:paraId="797B43DA">
      <w:pPr>
        <w:spacing w:before="85"/>
        <w:rPr>
          <w:rFonts w:hint="eastAsia" w:ascii="新宋体" w:hAnsi="新宋体" w:eastAsia="新宋体" w:cs="新宋体"/>
          <w:sz w:val="20"/>
          <w:szCs w:val="20"/>
        </w:rPr>
      </w:pPr>
      <w:r>
        <w:rPr>
          <w:rFonts w:hint="eastAsia" w:ascii="新宋体" w:hAnsi="新宋体" w:eastAsia="新宋体" w:cs="新宋体"/>
          <w:sz w:val="20"/>
        </w:rPr>
        <mc:AlternateContent>
          <mc:Choice Requires="wps">
            <w:drawing>
              <wp:anchor distT="0" distB="0" distL="114300" distR="114300" simplePos="0" relativeHeight="251664384" behindDoc="0" locked="0" layoutInCell="1" allowOverlap="1">
                <wp:simplePos x="0" y="0"/>
                <wp:positionH relativeFrom="column">
                  <wp:posOffset>-35560</wp:posOffset>
                </wp:positionH>
                <wp:positionV relativeFrom="paragraph">
                  <wp:posOffset>857885</wp:posOffset>
                </wp:positionV>
                <wp:extent cx="190500" cy="149860"/>
                <wp:effectExtent l="25400" t="5080" r="31750" b="16510"/>
                <wp:wrapNone/>
                <wp:docPr id="7" name="下箭头 7"/>
                <wp:cNvGraphicFramePr/>
                <a:graphic xmlns:a="http://schemas.openxmlformats.org/drawingml/2006/main">
                  <a:graphicData uri="http://schemas.microsoft.com/office/word/2010/wordprocessingShape">
                    <wps:wsp>
                      <wps:cNvSpPr/>
                      <wps:spPr>
                        <a:xfrm>
                          <a:off x="0" y="0"/>
                          <a:ext cx="190500" cy="149860"/>
                        </a:xfrm>
                        <a:prstGeom prst="downArrow">
                          <a:avLst>
                            <a:gd name="adj1" fmla="val 49999"/>
                            <a:gd name="adj2" fmla="val 25000"/>
                          </a:avLst>
                        </a:prstGeom>
                        <a:solidFill>
                          <a:srgbClr val="000000"/>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67" type="#_x0000_t67" style="position:absolute;left:0pt;margin-left:-2.8pt;margin-top:67.55pt;height:11.8pt;width:15pt;z-index:251664384;mso-width-relative:page;mso-height-relative:page;" fillcolor="#000000" filled="t" stroked="t" coordsize="21600,21600" o:gfxdata="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e7cjY9YA&#10;AAAJAQAADwAAAAAAAAABACAAAAAiAAAAZHJzL2Rvd25yZXYueG1sUEsBAhQAFAAAAAgAh07iQG8v&#10;+1ghAgAAdgQAAA4AAAAAAAAAAQAgAAAAJQEAAGRycy9lMm9Eb2MueG1sUEsFBgAAAAAGAAYAWQEA&#10;ALgFAAAAAA==&#10;" adj="16200,5400">
                <v:fill on="t" focussize="0,0"/>
                <v:stroke color="#000000" joinstyle="miter"/>
                <v:imagedata o:title=""/>
                <o:lock v:ext="edit" aspectratio="f"/>
              </v:shape>
            </w:pict>
          </mc:Fallback>
        </mc:AlternateContent>
      </w:r>
    </w:p>
    <w:p w14:paraId="565EF6A3">
      <w:pPr>
        <w:spacing w:before="85"/>
        <w:rPr>
          <w:rFonts w:hint="eastAsia" w:ascii="新宋体" w:hAnsi="新宋体" w:eastAsia="新宋体" w:cs="新宋体"/>
          <w:sz w:val="20"/>
          <w:szCs w:val="20"/>
        </w:rPr>
      </w:pPr>
      <w:r>
        <w:rPr>
          <w:rFonts w:hint="eastAsia" w:ascii="新宋体" w:hAnsi="新宋体" w:eastAsia="新宋体" w:cs="新宋体"/>
          <w:sz w:val="20"/>
        </w:rPr>
        <mc:AlternateContent>
          <mc:Choice Requires="wps">
            <w:drawing>
              <wp:anchor distT="0" distB="0" distL="114300" distR="114300" simplePos="0" relativeHeight="251666432" behindDoc="0" locked="0" layoutInCell="1" allowOverlap="1">
                <wp:simplePos x="0" y="0"/>
                <wp:positionH relativeFrom="column">
                  <wp:posOffset>-32385</wp:posOffset>
                </wp:positionH>
                <wp:positionV relativeFrom="paragraph">
                  <wp:posOffset>3336925</wp:posOffset>
                </wp:positionV>
                <wp:extent cx="190500" cy="149860"/>
                <wp:effectExtent l="25400" t="5080" r="31750" b="16510"/>
                <wp:wrapNone/>
                <wp:docPr id="10" name="下箭头 10"/>
                <wp:cNvGraphicFramePr/>
                <a:graphic xmlns:a="http://schemas.openxmlformats.org/drawingml/2006/main">
                  <a:graphicData uri="http://schemas.microsoft.com/office/word/2010/wordprocessingShape">
                    <wps:wsp>
                      <wps:cNvSpPr/>
                      <wps:spPr>
                        <a:xfrm>
                          <a:off x="0" y="0"/>
                          <a:ext cx="190500" cy="149860"/>
                        </a:xfrm>
                        <a:prstGeom prst="downArrow">
                          <a:avLst>
                            <a:gd name="adj1" fmla="val 49999"/>
                            <a:gd name="adj2" fmla="val 25000"/>
                          </a:avLst>
                        </a:prstGeom>
                        <a:solidFill>
                          <a:srgbClr val="000000"/>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67" type="#_x0000_t67" style="position:absolute;left:0pt;margin-left:-2.55pt;margin-top:262.75pt;height:11.8pt;width:15pt;z-index:251666432;mso-width-relative:page;mso-height-relative:page;" fillcolor="#000000" filled="t" stroked="t" coordsize="21600,21600" o:gfxdata="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xy6j2tcA&#10;AAAJAQAADwAAAAAAAAABACAAAAAiAAAAZHJzL2Rvd25yZXYueG1sUEsBAhQAFAAAAAgAh07iQLG7&#10;Y7kgAgAAeAQAAA4AAAAAAAAAAQAgAAAAJgEAAGRycy9lMm9Eb2MueG1sUEsFBgAAAAAGAAYAWQEA&#10;ALgFAAAAAA==&#10;" adj="16200,5400">
                <v:fill on="t" focussize="0,0"/>
                <v:stroke color="#000000" joinstyle="miter"/>
                <v:imagedata o:title=""/>
                <o:lock v:ext="edit" aspectratio="f"/>
              </v:shape>
            </w:pict>
          </mc:Fallback>
        </mc:AlternateContent>
      </w:r>
      <w:r>
        <w:rPr>
          <w:rFonts w:hint="eastAsia" w:ascii="新宋体" w:hAnsi="新宋体" w:eastAsia="新宋体" w:cs="新宋体"/>
          <w:sz w:val="20"/>
        </w:rPr>
        <mc:AlternateContent>
          <mc:Choice Requires="wps">
            <w:drawing>
              <wp:anchor distT="0" distB="0" distL="114300" distR="114300" simplePos="0" relativeHeight="251665408" behindDoc="0" locked="0" layoutInCell="1" allowOverlap="1">
                <wp:simplePos x="0" y="0"/>
                <wp:positionH relativeFrom="column">
                  <wp:posOffset>-45720</wp:posOffset>
                </wp:positionH>
                <wp:positionV relativeFrom="paragraph">
                  <wp:posOffset>1770380</wp:posOffset>
                </wp:positionV>
                <wp:extent cx="190500" cy="149860"/>
                <wp:effectExtent l="25400" t="5080" r="31750" b="16510"/>
                <wp:wrapNone/>
                <wp:docPr id="8" name="下箭头 8"/>
                <wp:cNvGraphicFramePr/>
                <a:graphic xmlns:a="http://schemas.openxmlformats.org/drawingml/2006/main">
                  <a:graphicData uri="http://schemas.microsoft.com/office/word/2010/wordprocessingShape">
                    <wps:wsp>
                      <wps:cNvSpPr/>
                      <wps:spPr>
                        <a:xfrm>
                          <a:off x="0" y="0"/>
                          <a:ext cx="190500" cy="149860"/>
                        </a:xfrm>
                        <a:prstGeom prst="downArrow">
                          <a:avLst>
                            <a:gd name="adj1" fmla="val 49999"/>
                            <a:gd name="adj2" fmla="val 25000"/>
                          </a:avLst>
                        </a:prstGeom>
                        <a:solidFill>
                          <a:srgbClr val="000000"/>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67" type="#_x0000_t67" style="position:absolute;left:0pt;margin-left:-3.6pt;margin-top:139.4pt;height:11.8pt;width:15pt;z-index:251665408;mso-width-relative:page;mso-height-relative:page;" fillcolor="#000000" filled="t" stroked="t" coordsize="21600,21600" o:gfxdata="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TOes7dcA&#10;AAAJAQAADwAAAAAAAAABACAAAAAiAAAAZHJzL2Rvd25yZXYueG1sUEsBAhQAFAAAAAgAh07iQDlf&#10;OfMgAgAAdgQAAA4AAAAAAAAAAQAgAAAAJgEAAGRycy9lMm9Eb2MueG1sUEsFBgAAAAAGAAYAWQEA&#10;ALgFAAAAAA==&#10;" adj="16200,5400">
                <v:fill on="t" focussize="0,0"/>
                <v:stroke color="#000000" joinstyle="miter"/>
                <v:imagedata o:title=""/>
                <o:lock v:ext="edit" aspectratio="f"/>
              </v:shape>
            </w:pict>
          </mc:Fallback>
        </mc:AlternateContent>
      </w:r>
    </w:p>
    <w:tbl>
      <w:tblPr>
        <w:tblStyle w:val="9"/>
        <w:tblpPr w:leftFromText="180" w:rightFromText="180" w:vertAnchor="text" w:horzAnchor="page" w:tblpX="1411" w:tblpY="-60"/>
        <w:tblOverlap w:val="never"/>
        <w:tblW w:w="950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43"/>
        <w:gridCol w:w="8564"/>
      </w:tblGrid>
      <w:tr w14:paraId="3547DA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82" w:hRule="atLeast"/>
        </w:trPr>
        <w:tc>
          <w:tcPr>
            <w:tcW w:w="943" w:type="dxa"/>
            <w:noWrap w:val="0"/>
            <w:vAlign w:val="center"/>
          </w:tcPr>
          <w:p w14:paraId="0499E8BF">
            <w:pPr>
              <w:pStyle w:val="8"/>
              <w:keepNext w:val="0"/>
              <w:keepLines w:val="0"/>
              <w:pageBreakBefore w:val="0"/>
              <w:widowControl w:val="0"/>
              <w:kinsoku/>
              <w:wordWrap/>
              <w:overflowPunct/>
              <w:topLinePunct w:val="0"/>
              <w:autoSpaceDE/>
              <w:autoSpaceDN/>
              <w:bidi w:val="0"/>
              <w:adjustRightInd/>
              <w:snapToGrid/>
              <w:spacing w:line="269" w:lineRule="auto"/>
              <w:ind w:left="210" w:leftChars="100" w:right="210" w:rightChars="100"/>
              <w:jc w:val="center"/>
              <w:textAlignment w:val="auto"/>
              <w:rPr>
                <w:rFonts w:hint="eastAsia" w:ascii="新宋体" w:hAnsi="新宋体" w:eastAsia="新宋体" w:cs="新宋体"/>
                <w:sz w:val="22"/>
                <w:szCs w:val="22"/>
              </w:rPr>
            </w:pPr>
            <w:r>
              <w:rPr>
                <w:rFonts w:hint="eastAsia" w:ascii="仿宋_GB2312" w:hAnsi="仿宋_GB2312" w:eastAsia="仿宋_GB2312" w:cs="仿宋_GB2312"/>
                <w:sz w:val="24"/>
                <w:szCs w:val="24"/>
                <w:lang w:val="en-US" w:eastAsia="zh-CN"/>
              </w:rPr>
              <w:t>现场 查勘</w:t>
            </w:r>
          </w:p>
        </w:tc>
        <w:tc>
          <w:tcPr>
            <w:tcW w:w="8564" w:type="dxa"/>
            <w:noWrap w:val="0"/>
            <w:vAlign w:val="center"/>
          </w:tcPr>
          <w:p w14:paraId="07137FEF">
            <w:pPr>
              <w:pStyle w:val="8"/>
              <w:keepNext w:val="0"/>
              <w:keepLines w:val="0"/>
              <w:pageBreakBefore w:val="0"/>
              <w:widowControl w:val="0"/>
              <w:kinsoku/>
              <w:wordWrap/>
              <w:overflowPunct/>
              <w:topLinePunct w:val="0"/>
              <w:autoSpaceDE/>
              <w:autoSpaceDN/>
              <w:bidi w:val="0"/>
              <w:adjustRightInd/>
              <w:snapToGrid/>
              <w:spacing w:line="269" w:lineRule="auto"/>
              <w:ind w:left="210" w:leftChars="100" w:right="210" w:rightChars="100"/>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电网企业履行“一次告知”义务，受理、审核报装申请资料、受理申请资料后，</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个工作日进行现场查勘</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明确接入电源点及表计安装点位</w:t>
            </w:r>
            <w:r>
              <w:rPr>
                <w:rFonts w:hint="eastAsia" w:ascii="仿宋_GB2312" w:hAnsi="仿宋_GB2312" w:eastAsia="仿宋_GB2312" w:cs="仿宋_GB2312"/>
                <w:sz w:val="24"/>
                <w:szCs w:val="24"/>
                <w:lang w:eastAsia="zh-CN"/>
              </w:rPr>
              <w:t>。</w:t>
            </w:r>
          </w:p>
          <w:p w14:paraId="33FA636E">
            <w:pPr>
              <w:pStyle w:val="8"/>
              <w:keepNext w:val="0"/>
              <w:keepLines w:val="0"/>
              <w:pageBreakBefore w:val="0"/>
              <w:widowControl w:val="0"/>
              <w:kinsoku/>
              <w:wordWrap/>
              <w:overflowPunct/>
              <w:topLinePunct w:val="0"/>
              <w:autoSpaceDE/>
              <w:autoSpaceDN/>
              <w:bidi w:val="0"/>
              <w:adjustRightInd/>
              <w:snapToGrid/>
              <w:spacing w:line="269" w:lineRule="auto"/>
              <w:ind w:left="210" w:leftChars="100" w:right="210" w:rightChars="100"/>
              <w:jc w:val="both"/>
              <w:textAlignment w:val="auto"/>
              <w:rPr>
                <w:rFonts w:hint="eastAsia" w:ascii="新宋体" w:hAnsi="新宋体" w:eastAsia="仿宋_GB2312" w:cs="新宋体"/>
                <w:sz w:val="22"/>
                <w:szCs w:val="22"/>
                <w:lang w:eastAsia="zh-CN"/>
              </w:rPr>
            </w:pPr>
            <w:r>
              <w:rPr>
                <w:rFonts w:hint="eastAsia" w:ascii="仿宋_GB2312" w:hAnsi="仿宋_GB2312" w:eastAsia="仿宋_GB2312" w:cs="仿宋_GB2312"/>
                <w:sz w:val="24"/>
                <w:szCs w:val="24"/>
              </w:rPr>
              <w:t>现有配电设施确实无法满足自用桩用电负荷需求的</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产权为电网企业的</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由供电企业提出解决方案</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产权为用电用户的</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由用电用户提供解决方案(按照统建统管方式建设的</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由用电用户会同充电运营商提供解决方案)</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支持应用智能充电技术</w:t>
            </w:r>
            <w:r>
              <w:rPr>
                <w:rFonts w:hint="eastAsia" w:ascii="仿宋_GB2312" w:hAnsi="仿宋_GB2312" w:eastAsia="仿宋_GB2312" w:cs="仿宋_GB2312"/>
                <w:sz w:val="24"/>
                <w:szCs w:val="24"/>
                <w:lang w:eastAsia="zh-CN"/>
              </w:rPr>
              <w:t>。</w:t>
            </w:r>
          </w:p>
        </w:tc>
      </w:tr>
    </w:tbl>
    <w:tbl>
      <w:tblPr>
        <w:tblStyle w:val="9"/>
        <w:tblpPr w:leftFromText="180" w:rightFromText="180" w:vertAnchor="text" w:horzAnchor="page" w:tblpX="1390" w:tblpY="12"/>
        <w:tblOverlap w:val="never"/>
        <w:tblW w:w="952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4"/>
        <w:gridCol w:w="8561"/>
      </w:tblGrid>
      <w:tr w14:paraId="1AC64A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6" w:hRule="atLeast"/>
        </w:trPr>
        <w:tc>
          <w:tcPr>
            <w:tcW w:w="964" w:type="dxa"/>
            <w:noWrap w:val="0"/>
            <w:vAlign w:val="center"/>
          </w:tcPr>
          <w:p w14:paraId="48BD1614">
            <w:pPr>
              <w:pStyle w:val="8"/>
              <w:keepNext w:val="0"/>
              <w:keepLines w:val="0"/>
              <w:pageBreakBefore w:val="0"/>
              <w:widowControl w:val="0"/>
              <w:kinsoku/>
              <w:wordWrap/>
              <w:overflowPunct/>
              <w:topLinePunct w:val="0"/>
              <w:autoSpaceDE/>
              <w:autoSpaceDN/>
              <w:bidi w:val="0"/>
              <w:adjustRightInd/>
              <w:snapToGrid/>
              <w:spacing w:line="269" w:lineRule="auto"/>
              <w:ind w:left="210" w:leftChars="100" w:right="210" w:rightChars="100"/>
              <w:jc w:val="center"/>
              <w:textAlignment w:val="auto"/>
              <w:rPr>
                <w:rFonts w:hint="eastAsia" w:ascii="新宋体" w:hAnsi="新宋体" w:eastAsia="新宋体" w:cs="新宋体"/>
                <w:sz w:val="24"/>
                <w:szCs w:val="24"/>
              </w:rPr>
            </w:pPr>
            <w:r>
              <w:rPr>
                <w:rFonts w:hint="eastAsia" w:ascii="仿宋_GB2312" w:hAnsi="仿宋_GB2312" w:eastAsia="仿宋_GB2312" w:cs="仿宋_GB2312"/>
                <w:sz w:val="24"/>
                <w:szCs w:val="24"/>
                <w:lang w:val="en-US" w:eastAsia="zh-CN"/>
              </w:rPr>
              <w:t>施工 建设</w:t>
            </w:r>
          </w:p>
        </w:tc>
        <w:tc>
          <w:tcPr>
            <w:tcW w:w="8561" w:type="dxa"/>
            <w:noWrap w:val="0"/>
            <w:vAlign w:val="center"/>
          </w:tcPr>
          <w:p w14:paraId="02BDCE01">
            <w:pPr>
              <w:pStyle w:val="8"/>
              <w:keepNext w:val="0"/>
              <w:keepLines w:val="0"/>
              <w:pageBreakBefore w:val="0"/>
              <w:widowControl w:val="0"/>
              <w:kinsoku/>
              <w:wordWrap/>
              <w:overflowPunct/>
              <w:topLinePunct w:val="0"/>
              <w:autoSpaceDE/>
              <w:autoSpaceDN/>
              <w:bidi w:val="0"/>
              <w:adjustRightInd/>
              <w:snapToGrid/>
              <w:spacing w:line="269" w:lineRule="auto"/>
              <w:ind w:left="210" w:leftChars="100" w:right="210" w:rightChars="100"/>
              <w:jc w:val="both"/>
              <w:textAlignment w:val="auto"/>
              <w:rPr>
                <w:rFonts w:hint="eastAsia" w:ascii="新宋体" w:hAnsi="新宋体" w:eastAsia="新宋体" w:cs="新宋体"/>
                <w:sz w:val="24"/>
                <w:szCs w:val="24"/>
              </w:rPr>
            </w:pPr>
            <w:r>
              <w:rPr>
                <w:rFonts w:hint="eastAsia" w:ascii="仿宋_GB2312" w:hAnsi="仿宋_GB2312" w:eastAsia="仿宋_GB2312" w:cs="仿宋_GB2312"/>
                <w:sz w:val="24"/>
                <w:szCs w:val="24"/>
              </w:rPr>
              <w:t>申请人组织施工单位按照相关要求开展充电基础设施工程建设</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并签订《电动汽车自用桩安装承诺书》</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按照“统建统管”方式建设的</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由充电运营商开展干线电缆等供电设施改造</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并提供自用桩终端安装与维护管理一体化服务。</w:t>
            </w:r>
          </w:p>
        </w:tc>
      </w:tr>
    </w:tbl>
    <w:p w14:paraId="3D0F9AC7">
      <w:pPr>
        <w:spacing w:before="98"/>
        <w:jc w:val="left"/>
        <w:rPr>
          <w:rFonts w:hint="eastAsia" w:ascii="新宋体" w:hAnsi="新宋体" w:eastAsia="新宋体" w:cs="新宋体"/>
          <w:sz w:val="20"/>
          <w:szCs w:val="20"/>
        </w:rPr>
      </w:pPr>
      <w:r>
        <w:rPr>
          <w:rFonts w:hint="eastAsia" w:ascii="新宋体" w:hAnsi="新宋体" w:eastAsia="新宋体" w:cs="新宋体"/>
          <w:sz w:val="20"/>
        </w:rPr>
        <mc:AlternateContent>
          <mc:Choice Requires="wps">
            <w:drawing>
              <wp:anchor distT="0" distB="0" distL="114300" distR="114300" simplePos="0" relativeHeight="251669504" behindDoc="0" locked="0" layoutInCell="1" allowOverlap="1">
                <wp:simplePos x="0" y="0"/>
                <wp:positionH relativeFrom="column">
                  <wp:posOffset>-12065</wp:posOffset>
                </wp:positionH>
                <wp:positionV relativeFrom="paragraph">
                  <wp:posOffset>2567940</wp:posOffset>
                </wp:positionV>
                <wp:extent cx="190500" cy="149860"/>
                <wp:effectExtent l="25400" t="5080" r="31750" b="16510"/>
                <wp:wrapNone/>
                <wp:docPr id="14" name="下箭头 14"/>
                <wp:cNvGraphicFramePr/>
                <a:graphic xmlns:a="http://schemas.openxmlformats.org/drawingml/2006/main">
                  <a:graphicData uri="http://schemas.microsoft.com/office/word/2010/wordprocessingShape">
                    <wps:wsp>
                      <wps:cNvSpPr/>
                      <wps:spPr>
                        <a:xfrm>
                          <a:off x="0" y="0"/>
                          <a:ext cx="190500" cy="149860"/>
                        </a:xfrm>
                        <a:prstGeom prst="downArrow">
                          <a:avLst>
                            <a:gd name="adj1" fmla="val 49999"/>
                            <a:gd name="adj2" fmla="val 25000"/>
                          </a:avLst>
                        </a:prstGeom>
                        <a:solidFill>
                          <a:srgbClr val="000000"/>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67" type="#_x0000_t67" style="position:absolute;left:0pt;margin-left:-0.95pt;margin-top:202.2pt;height:11.8pt;width:15pt;z-index:251669504;mso-width-relative:page;mso-height-relative:page;" fillcolor="#000000" filled="t" stroked="t" coordsize="21600,21600" o:gfxdata="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Ei39t7W&#10;AAAACQEAAA8AAAAAAAAAAQAgAAAAIgAAAGRycy9kb3ducmV2LnhtbFBLAQIUABQAAAAIAIdO4kC2&#10;E/XVIgIAAHgEAAAOAAAAAAAAAAEAIAAAACUBAABkcnMvZTJvRG9jLnhtbFBLBQYAAAAABgAGAFkB&#10;AAC5BQAAAAA=&#10;" adj="16200,5400">
                <v:fill on="t" focussize="0,0"/>
                <v:stroke color="#000000" joinstyle="miter"/>
                <v:imagedata o:title=""/>
                <o:lock v:ext="edit" aspectratio="f"/>
              </v:shape>
            </w:pict>
          </mc:Fallback>
        </mc:AlternateContent>
      </w:r>
      <w:r>
        <w:rPr>
          <w:rFonts w:hint="eastAsia" w:ascii="新宋体" w:hAnsi="新宋体" w:eastAsia="新宋体" w:cs="新宋体"/>
          <w:sz w:val="20"/>
        </w:rPr>
        <mc:AlternateContent>
          <mc:Choice Requires="wps">
            <w:drawing>
              <wp:anchor distT="0" distB="0" distL="114300" distR="114300" simplePos="0" relativeHeight="251667456" behindDoc="0" locked="0" layoutInCell="1" allowOverlap="1">
                <wp:simplePos x="0" y="0"/>
                <wp:positionH relativeFrom="column">
                  <wp:posOffset>-21590</wp:posOffset>
                </wp:positionH>
                <wp:positionV relativeFrom="paragraph">
                  <wp:posOffset>757555</wp:posOffset>
                </wp:positionV>
                <wp:extent cx="190500" cy="149860"/>
                <wp:effectExtent l="25400" t="5080" r="31750" b="16510"/>
                <wp:wrapNone/>
                <wp:docPr id="9" name="下箭头 9"/>
                <wp:cNvGraphicFramePr/>
                <a:graphic xmlns:a="http://schemas.openxmlformats.org/drawingml/2006/main">
                  <a:graphicData uri="http://schemas.microsoft.com/office/word/2010/wordprocessingShape">
                    <wps:wsp>
                      <wps:cNvSpPr/>
                      <wps:spPr>
                        <a:xfrm>
                          <a:off x="0" y="0"/>
                          <a:ext cx="190500" cy="149860"/>
                        </a:xfrm>
                        <a:prstGeom prst="downArrow">
                          <a:avLst>
                            <a:gd name="adj1" fmla="val 49999"/>
                            <a:gd name="adj2" fmla="val 25000"/>
                          </a:avLst>
                        </a:prstGeom>
                        <a:solidFill>
                          <a:srgbClr val="000000"/>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67" type="#_x0000_t67" style="position:absolute;left:0pt;margin-left:-1.7pt;margin-top:59.65pt;height:11.8pt;width:15pt;z-index:251667456;mso-width-relative:page;mso-height-relative:page;" fillcolor="#000000" filled="t" stroked="t" coordsize="21600,21600" o:gfxdata="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iamk+1gAA&#10;AAkBAAAPAAAAAAAAAAEAIAAAACIAAABkcnMvZG93bnJldi54bWxQSwECFAAUAAAACACHTuJAhTE/&#10;pCACAAB2BAAADgAAAAAAAAABACAAAAAlAQAAZHJzL2Uyb0RvYy54bWxQSwUGAAAAAAYABgBZAQAA&#10;twUAAAAA&#10;" adj="16200,5400">
                <v:fill on="t" focussize="0,0"/>
                <v:stroke color="#000000" joinstyle="miter"/>
                <v:imagedata o:title=""/>
                <o:lock v:ext="edit" aspectratio="f"/>
              </v:shape>
            </w:pict>
          </mc:Fallback>
        </mc:AlternateContent>
      </w:r>
    </w:p>
    <w:tbl>
      <w:tblPr>
        <w:tblStyle w:val="9"/>
        <w:tblpPr w:leftFromText="180" w:rightFromText="180" w:vertAnchor="text" w:horzAnchor="page" w:tblpX="1390" w:tblpY="18"/>
        <w:tblOverlap w:val="never"/>
        <w:tblW w:w="950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4"/>
        <w:gridCol w:w="8539"/>
      </w:tblGrid>
      <w:tr w14:paraId="4A051A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964" w:type="dxa"/>
            <w:noWrap w:val="0"/>
            <w:vAlign w:val="center"/>
          </w:tcPr>
          <w:p w14:paraId="655096E2">
            <w:pPr>
              <w:pStyle w:val="8"/>
              <w:keepNext w:val="0"/>
              <w:keepLines w:val="0"/>
              <w:pageBreakBefore w:val="0"/>
              <w:widowControl w:val="0"/>
              <w:kinsoku/>
              <w:wordWrap/>
              <w:overflowPunct/>
              <w:topLinePunct w:val="0"/>
              <w:autoSpaceDE/>
              <w:autoSpaceDN/>
              <w:bidi w:val="0"/>
              <w:adjustRightInd/>
              <w:snapToGrid/>
              <w:spacing w:line="269" w:lineRule="auto"/>
              <w:ind w:left="210" w:leftChars="100" w:right="210" w:rightChars="100"/>
              <w:jc w:val="center"/>
              <w:textAlignment w:val="auto"/>
              <w:rPr>
                <w:rFonts w:hint="eastAsia" w:ascii="新宋体" w:hAnsi="新宋体" w:eastAsia="新宋体" w:cs="新宋体"/>
                <w:sz w:val="24"/>
                <w:szCs w:val="24"/>
              </w:rPr>
            </w:pPr>
            <w:r>
              <w:rPr>
                <w:rFonts w:hint="eastAsia" w:ascii="仿宋_GB2312" w:hAnsi="仿宋_GB2312" w:eastAsia="仿宋_GB2312" w:cs="仿宋_GB2312"/>
                <w:sz w:val="24"/>
                <w:szCs w:val="24"/>
                <w:lang w:val="en-US" w:eastAsia="zh-CN"/>
              </w:rPr>
              <w:t>装表 接电</w:t>
            </w:r>
          </w:p>
        </w:tc>
        <w:tc>
          <w:tcPr>
            <w:tcW w:w="8539" w:type="dxa"/>
            <w:noWrap w:val="0"/>
            <w:vAlign w:val="center"/>
          </w:tcPr>
          <w:p w14:paraId="5173B782">
            <w:pPr>
              <w:pStyle w:val="8"/>
              <w:keepNext w:val="0"/>
              <w:keepLines w:val="0"/>
              <w:pageBreakBefore w:val="0"/>
              <w:widowControl w:val="0"/>
              <w:kinsoku/>
              <w:wordWrap/>
              <w:overflowPunct/>
              <w:topLinePunct w:val="0"/>
              <w:autoSpaceDE/>
              <w:autoSpaceDN/>
              <w:bidi w:val="0"/>
              <w:adjustRightInd/>
              <w:snapToGrid/>
              <w:spacing w:line="269" w:lineRule="auto"/>
              <w:ind w:left="210" w:leftChars="100" w:right="210" w:rightChars="1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工程建设完工后</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申请人向电网企业提出竣工检验申请，电网企业在</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个工作日内</w:t>
            </w:r>
            <w:r>
              <w:rPr>
                <w:rFonts w:hint="eastAsia" w:ascii="仿宋_GB2312" w:hAnsi="仿宋_GB2312" w:eastAsia="仿宋_GB2312" w:cs="仿宋_GB2312"/>
                <w:sz w:val="24"/>
                <w:szCs w:val="24"/>
                <w:lang w:val="en-US" w:eastAsia="zh-CN"/>
              </w:rPr>
              <w:t>组织</w:t>
            </w:r>
            <w:r>
              <w:rPr>
                <w:rFonts w:hint="eastAsia" w:ascii="仿宋_GB2312" w:hAnsi="仿宋_GB2312" w:eastAsia="仿宋_GB2312" w:cs="仿宋_GB2312"/>
                <w:sz w:val="24"/>
                <w:szCs w:val="24"/>
              </w:rPr>
              <w:t>工程验收，出具验收意见，验收合格并办理相关手续，电网企业予以装表接电。</w:t>
            </w:r>
          </w:p>
          <w:p w14:paraId="788893B4">
            <w:pPr>
              <w:pStyle w:val="8"/>
              <w:keepNext w:val="0"/>
              <w:keepLines w:val="0"/>
              <w:pageBreakBefore w:val="0"/>
              <w:widowControl w:val="0"/>
              <w:kinsoku/>
              <w:wordWrap/>
              <w:overflowPunct/>
              <w:topLinePunct w:val="0"/>
              <w:autoSpaceDE/>
              <w:autoSpaceDN/>
              <w:bidi w:val="0"/>
              <w:adjustRightInd/>
              <w:snapToGrid/>
              <w:spacing w:line="269" w:lineRule="auto"/>
              <w:ind w:left="210" w:leftChars="100" w:right="210" w:rightChars="1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送电前，施工单位应与申请人及小区管理单位就充电基础设施进行交付，提供安装合格证明并由小区管理单位备案。</w:t>
            </w:r>
          </w:p>
          <w:p w14:paraId="7DD1A75B">
            <w:pPr>
              <w:pStyle w:val="8"/>
              <w:keepNext w:val="0"/>
              <w:keepLines w:val="0"/>
              <w:pageBreakBefore w:val="0"/>
              <w:widowControl w:val="0"/>
              <w:kinsoku/>
              <w:wordWrap/>
              <w:overflowPunct/>
              <w:topLinePunct w:val="0"/>
              <w:autoSpaceDE/>
              <w:autoSpaceDN/>
              <w:bidi w:val="0"/>
              <w:adjustRightInd/>
              <w:snapToGrid/>
              <w:spacing w:line="269" w:lineRule="auto"/>
              <w:ind w:left="210" w:leftChars="100" w:right="210" w:rightChars="100"/>
              <w:jc w:val="both"/>
              <w:textAlignment w:val="auto"/>
              <w:rPr>
                <w:rFonts w:hint="eastAsia" w:ascii="新宋体" w:hAnsi="新宋体" w:eastAsia="新宋体" w:cs="新宋体"/>
                <w:sz w:val="24"/>
                <w:szCs w:val="24"/>
              </w:rPr>
            </w:pPr>
            <w:r>
              <w:rPr>
                <w:rFonts w:hint="eastAsia" w:ascii="仿宋_GB2312" w:hAnsi="仿宋_GB2312" w:eastAsia="仿宋_GB2312" w:cs="仿宋_GB2312"/>
                <w:sz w:val="24"/>
                <w:szCs w:val="24"/>
              </w:rPr>
              <w:t>按照</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统建统管</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方式建设的</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充电运营商完成施工后</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供电企业在</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个工作日内完成装表接电</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充电运营商负责组织工程验收，相关资料留存备查。</w:t>
            </w:r>
          </w:p>
        </w:tc>
      </w:tr>
    </w:tbl>
    <w:tbl>
      <w:tblPr>
        <w:tblStyle w:val="9"/>
        <w:tblpPr w:leftFromText="180" w:rightFromText="180" w:vertAnchor="text" w:horzAnchor="page" w:tblpX="1397" w:tblpY="2814"/>
        <w:tblOverlap w:val="never"/>
        <w:tblW w:w="94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75"/>
        <w:gridCol w:w="8504"/>
      </w:tblGrid>
      <w:tr w14:paraId="64EB06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5" w:hRule="atLeast"/>
        </w:trPr>
        <w:tc>
          <w:tcPr>
            <w:tcW w:w="975" w:type="dxa"/>
            <w:noWrap w:val="0"/>
            <w:vAlign w:val="center"/>
          </w:tcPr>
          <w:p w14:paraId="4836DFFC">
            <w:pPr>
              <w:pStyle w:val="8"/>
              <w:keepNext w:val="0"/>
              <w:keepLines w:val="0"/>
              <w:pageBreakBefore w:val="0"/>
              <w:widowControl w:val="0"/>
              <w:kinsoku/>
              <w:wordWrap/>
              <w:overflowPunct/>
              <w:topLinePunct w:val="0"/>
              <w:autoSpaceDE/>
              <w:autoSpaceDN/>
              <w:bidi w:val="0"/>
              <w:adjustRightInd/>
              <w:snapToGrid/>
              <w:spacing w:line="269" w:lineRule="auto"/>
              <w:ind w:left="210" w:leftChars="100" w:right="210" w:rightChars="100"/>
              <w:jc w:val="center"/>
              <w:textAlignment w:val="auto"/>
              <w:rPr>
                <w:rFonts w:hint="eastAsia" w:ascii="新宋体" w:hAnsi="新宋体" w:eastAsia="新宋体" w:cs="新宋体"/>
                <w:sz w:val="24"/>
                <w:szCs w:val="24"/>
              </w:rPr>
            </w:pPr>
            <w:r>
              <w:rPr>
                <w:rFonts w:hint="eastAsia" w:ascii="仿宋_GB2312" w:hAnsi="仿宋_GB2312" w:eastAsia="仿宋_GB2312" w:cs="仿宋_GB2312"/>
                <w:sz w:val="24"/>
                <w:szCs w:val="24"/>
                <w:lang w:val="en-US" w:eastAsia="zh-CN"/>
              </w:rPr>
              <w:t>运营 维护</w:t>
            </w:r>
          </w:p>
        </w:tc>
        <w:tc>
          <w:tcPr>
            <w:tcW w:w="8504" w:type="dxa"/>
            <w:noWrap w:val="0"/>
            <w:vAlign w:val="center"/>
          </w:tcPr>
          <w:p w14:paraId="16B2F00B">
            <w:pPr>
              <w:pStyle w:val="8"/>
              <w:keepNext w:val="0"/>
              <w:keepLines w:val="0"/>
              <w:pageBreakBefore w:val="0"/>
              <w:widowControl w:val="0"/>
              <w:kinsoku/>
              <w:wordWrap/>
              <w:overflowPunct/>
              <w:topLinePunct w:val="0"/>
              <w:autoSpaceDE/>
              <w:autoSpaceDN/>
              <w:bidi w:val="0"/>
              <w:adjustRightInd/>
              <w:snapToGrid/>
              <w:spacing w:line="269" w:lineRule="auto"/>
              <w:ind w:left="210" w:leftChars="100" w:right="210" w:rightChars="1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充电桩所有权人应定期维护保养充电设施</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可与小区物业签订服务协议</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由其协助</w:t>
            </w:r>
            <w:r>
              <w:rPr>
                <w:rFonts w:hint="eastAsia" w:ascii="仿宋_GB2312" w:hAnsi="仿宋_GB2312" w:eastAsia="仿宋_GB2312" w:cs="仿宋_GB2312"/>
                <w:sz w:val="24"/>
                <w:szCs w:val="24"/>
                <w:lang w:val="en-US" w:eastAsia="zh-CN"/>
              </w:rPr>
              <w:t>维护</w:t>
            </w:r>
            <w:r>
              <w:rPr>
                <w:rFonts w:hint="eastAsia" w:ascii="仿宋_GB2312" w:hAnsi="仿宋_GB2312" w:eastAsia="仿宋_GB2312" w:cs="仿宋_GB2312"/>
                <w:sz w:val="24"/>
                <w:szCs w:val="24"/>
              </w:rPr>
              <w:t>管理</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电动汽车企业在协议期内为用户提供自用桩维护保养。</w:t>
            </w:r>
          </w:p>
          <w:p w14:paraId="4882A1E1">
            <w:pPr>
              <w:pStyle w:val="8"/>
              <w:keepNext w:val="0"/>
              <w:keepLines w:val="0"/>
              <w:pageBreakBefore w:val="0"/>
              <w:widowControl w:val="0"/>
              <w:kinsoku/>
              <w:wordWrap/>
              <w:overflowPunct/>
              <w:topLinePunct w:val="0"/>
              <w:autoSpaceDE/>
              <w:autoSpaceDN/>
              <w:bidi w:val="0"/>
              <w:adjustRightInd/>
              <w:snapToGrid/>
              <w:spacing w:line="269" w:lineRule="auto"/>
              <w:ind w:left="210" w:leftChars="100" w:right="210" w:rightChars="100"/>
              <w:jc w:val="both"/>
              <w:textAlignment w:val="auto"/>
              <w:rPr>
                <w:rFonts w:hint="eastAsia" w:ascii="新宋体" w:hAnsi="新宋体" w:eastAsia="新宋体" w:cs="新宋体"/>
                <w:sz w:val="24"/>
                <w:szCs w:val="24"/>
              </w:rPr>
            </w:pPr>
            <w:r>
              <w:rPr>
                <w:rFonts w:hint="eastAsia" w:ascii="仿宋_GB2312" w:hAnsi="仿宋_GB2312" w:eastAsia="仿宋_GB2312" w:cs="仿宋_GB2312"/>
                <w:sz w:val="24"/>
                <w:szCs w:val="24"/>
              </w:rPr>
              <w:t>按照</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统建统管</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方式建设的</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充电运营商负责充电设施日常维护管理</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承担相应安全管理责任。</w:t>
            </w:r>
          </w:p>
        </w:tc>
      </w:tr>
    </w:tbl>
    <w:p w14:paraId="76E14265">
      <w:pPr>
        <w:spacing w:line="240" w:lineRule="auto"/>
        <w:outlineLvl w:val="0"/>
        <w:rPr>
          <w:rFonts w:hint="eastAsia" w:ascii="新宋体" w:hAnsi="新宋体" w:eastAsia="新宋体" w:cs="新宋体"/>
          <w:spacing w:val="6"/>
          <w:sz w:val="46"/>
          <w:szCs w:val="46"/>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42D968A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附件2-1</w:t>
      </w:r>
    </w:p>
    <w:p w14:paraId="09448D39">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充电设施报装申请表(个人报装)</w:t>
      </w:r>
    </w:p>
    <w:tbl>
      <w:tblPr>
        <w:tblStyle w:val="9"/>
        <w:tblpPr w:leftFromText="180" w:rightFromText="180" w:vertAnchor="text" w:horzAnchor="page" w:tblpX="2549" w:tblpY="212"/>
        <w:tblOverlap w:val="never"/>
        <w:tblW w:w="118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93"/>
        <w:gridCol w:w="1728"/>
        <w:gridCol w:w="2146"/>
        <w:gridCol w:w="1500"/>
        <w:gridCol w:w="1500"/>
        <w:gridCol w:w="3150"/>
      </w:tblGrid>
      <w:tr w14:paraId="1AC4CF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1793" w:type="dxa"/>
            <w:noWrap w:val="0"/>
            <w:vAlign w:val="top"/>
          </w:tcPr>
          <w:p w14:paraId="181BB321">
            <w:pPr>
              <w:pStyle w:val="8"/>
              <w:spacing w:before="104" w:line="219" w:lineRule="auto"/>
              <w:jc w:val="center"/>
              <w:rPr>
                <w:rFonts w:hint="eastAsia" w:ascii="新宋体" w:hAnsi="新宋体" w:eastAsia="新宋体" w:cs="新宋体"/>
              </w:rPr>
            </w:pPr>
            <w:r>
              <w:rPr>
                <w:rFonts w:hint="eastAsia" w:ascii="新宋体" w:hAnsi="新宋体" w:eastAsia="新宋体" w:cs="新宋体"/>
                <w:spacing w:val="3"/>
              </w:rPr>
              <w:t>申请编号</w:t>
            </w:r>
          </w:p>
        </w:tc>
        <w:tc>
          <w:tcPr>
            <w:tcW w:w="3874" w:type="dxa"/>
            <w:gridSpan w:val="2"/>
            <w:noWrap w:val="0"/>
            <w:vAlign w:val="top"/>
          </w:tcPr>
          <w:p w14:paraId="767688A5">
            <w:pPr>
              <w:pStyle w:val="8"/>
              <w:spacing w:before="104" w:line="219" w:lineRule="auto"/>
              <w:jc w:val="center"/>
              <w:rPr>
                <w:rFonts w:hint="eastAsia" w:ascii="新宋体" w:hAnsi="新宋体" w:eastAsia="新宋体" w:cs="新宋体"/>
              </w:rPr>
            </w:pPr>
            <w:r>
              <w:rPr>
                <w:rFonts w:hint="eastAsia" w:ascii="新宋体" w:hAnsi="新宋体" w:eastAsia="新宋体" w:cs="新宋体"/>
                <w:spacing w:val="3"/>
              </w:rPr>
              <w:t>客户编号</w:t>
            </w:r>
          </w:p>
        </w:tc>
        <w:tc>
          <w:tcPr>
            <w:tcW w:w="1500" w:type="dxa"/>
            <w:noWrap w:val="0"/>
            <w:vAlign w:val="top"/>
          </w:tcPr>
          <w:p w14:paraId="116C23E8">
            <w:pPr>
              <w:pStyle w:val="8"/>
              <w:spacing w:before="104" w:line="219" w:lineRule="auto"/>
              <w:jc w:val="center"/>
              <w:rPr>
                <w:rFonts w:hint="eastAsia" w:ascii="新宋体" w:hAnsi="新宋体" w:eastAsia="新宋体" w:cs="新宋体"/>
              </w:rPr>
            </w:pPr>
            <w:r>
              <w:rPr>
                <w:rFonts w:hint="eastAsia" w:ascii="新宋体" w:hAnsi="新宋体" w:eastAsia="新宋体" w:cs="新宋体"/>
                <w:spacing w:val="4"/>
              </w:rPr>
              <w:t>业务类别</w:t>
            </w:r>
          </w:p>
        </w:tc>
        <w:tc>
          <w:tcPr>
            <w:tcW w:w="4650" w:type="dxa"/>
            <w:gridSpan w:val="2"/>
            <w:noWrap w:val="0"/>
            <w:vAlign w:val="top"/>
          </w:tcPr>
          <w:p w14:paraId="2180DBBA">
            <w:pPr>
              <w:pStyle w:val="8"/>
              <w:spacing w:before="102" w:line="219" w:lineRule="auto"/>
              <w:jc w:val="center"/>
              <w:rPr>
                <w:rFonts w:hint="eastAsia" w:ascii="新宋体" w:hAnsi="新宋体" w:eastAsia="新宋体" w:cs="新宋体"/>
              </w:rPr>
            </w:pPr>
            <w:r>
              <w:rPr>
                <w:rFonts w:hint="eastAsia" w:ascii="新宋体" w:hAnsi="新宋体" w:eastAsia="新宋体" w:cs="新宋体"/>
                <w:spacing w:val="-2"/>
              </w:rPr>
              <w:t>供电管理单位</w:t>
            </w:r>
          </w:p>
        </w:tc>
      </w:tr>
      <w:tr w14:paraId="17A6AA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793" w:type="dxa"/>
            <w:noWrap w:val="0"/>
            <w:vAlign w:val="top"/>
          </w:tcPr>
          <w:p w14:paraId="5CD268D7">
            <w:pPr>
              <w:rPr>
                <w:rFonts w:hint="eastAsia" w:ascii="新宋体" w:hAnsi="新宋体" w:eastAsia="新宋体" w:cs="新宋体"/>
                <w:sz w:val="21"/>
              </w:rPr>
            </w:pPr>
          </w:p>
        </w:tc>
        <w:tc>
          <w:tcPr>
            <w:tcW w:w="3874" w:type="dxa"/>
            <w:gridSpan w:val="2"/>
            <w:noWrap w:val="0"/>
            <w:vAlign w:val="top"/>
          </w:tcPr>
          <w:p w14:paraId="3A9F471D">
            <w:pPr>
              <w:rPr>
                <w:rFonts w:hint="eastAsia" w:ascii="新宋体" w:hAnsi="新宋体" w:eastAsia="新宋体" w:cs="新宋体"/>
                <w:sz w:val="21"/>
              </w:rPr>
            </w:pPr>
          </w:p>
          <w:p w14:paraId="148D501B">
            <w:pPr>
              <w:rPr>
                <w:rFonts w:hint="eastAsia" w:ascii="新宋体" w:hAnsi="新宋体" w:eastAsia="新宋体" w:cs="新宋体"/>
                <w:sz w:val="21"/>
              </w:rPr>
            </w:pPr>
          </w:p>
        </w:tc>
        <w:tc>
          <w:tcPr>
            <w:tcW w:w="1500" w:type="dxa"/>
            <w:noWrap w:val="0"/>
            <w:vAlign w:val="top"/>
          </w:tcPr>
          <w:p w14:paraId="487ECF19">
            <w:pPr>
              <w:rPr>
                <w:rFonts w:hint="eastAsia" w:ascii="新宋体" w:hAnsi="新宋体" w:eastAsia="新宋体" w:cs="新宋体"/>
                <w:sz w:val="21"/>
              </w:rPr>
            </w:pPr>
          </w:p>
        </w:tc>
        <w:tc>
          <w:tcPr>
            <w:tcW w:w="4650" w:type="dxa"/>
            <w:gridSpan w:val="2"/>
            <w:noWrap w:val="0"/>
            <w:vAlign w:val="top"/>
          </w:tcPr>
          <w:p w14:paraId="5F5C9DBA">
            <w:pPr>
              <w:rPr>
                <w:rFonts w:hint="eastAsia" w:ascii="新宋体" w:hAnsi="新宋体" w:eastAsia="新宋体" w:cs="新宋体"/>
                <w:sz w:val="21"/>
              </w:rPr>
            </w:pPr>
          </w:p>
        </w:tc>
      </w:tr>
      <w:tr w14:paraId="4A3AE1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11817" w:type="dxa"/>
            <w:gridSpan w:val="6"/>
            <w:noWrap w:val="0"/>
            <w:vAlign w:val="top"/>
          </w:tcPr>
          <w:p w14:paraId="6758DAEA">
            <w:pPr>
              <w:pStyle w:val="8"/>
              <w:spacing w:before="50" w:line="218" w:lineRule="auto"/>
              <w:ind w:left="204"/>
              <w:rPr>
                <w:rFonts w:hint="eastAsia" w:ascii="新宋体" w:hAnsi="新宋体" w:eastAsia="新宋体" w:cs="新宋体"/>
              </w:rPr>
            </w:pPr>
            <w:r>
              <w:rPr>
                <w:rFonts w:hint="eastAsia" w:ascii="新宋体" w:hAnsi="新宋体" w:eastAsia="新宋体" w:cs="新宋体"/>
                <w:spacing w:val="2"/>
              </w:rPr>
              <w:t>以下由客户填写</w:t>
            </w:r>
          </w:p>
        </w:tc>
      </w:tr>
      <w:tr w14:paraId="13AB0F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1793" w:type="dxa"/>
            <w:noWrap w:val="0"/>
            <w:vAlign w:val="top"/>
          </w:tcPr>
          <w:p w14:paraId="48EA034B">
            <w:pPr>
              <w:pStyle w:val="8"/>
              <w:spacing w:before="100" w:line="220" w:lineRule="auto"/>
              <w:jc w:val="center"/>
              <w:rPr>
                <w:rFonts w:hint="eastAsia" w:ascii="新宋体" w:hAnsi="新宋体" w:eastAsia="新宋体" w:cs="新宋体"/>
              </w:rPr>
            </w:pPr>
            <w:r>
              <w:rPr>
                <w:rFonts w:hint="eastAsia" w:ascii="新宋体" w:hAnsi="新宋体" w:eastAsia="新宋体" w:cs="新宋体"/>
                <w:spacing w:val="2"/>
              </w:rPr>
              <w:t>客户名称</w:t>
            </w:r>
          </w:p>
        </w:tc>
        <w:tc>
          <w:tcPr>
            <w:tcW w:w="1728" w:type="dxa"/>
            <w:noWrap w:val="0"/>
            <w:vAlign w:val="top"/>
          </w:tcPr>
          <w:p w14:paraId="17F7DE20">
            <w:pPr>
              <w:rPr>
                <w:rFonts w:hint="eastAsia" w:ascii="新宋体" w:hAnsi="新宋体" w:eastAsia="新宋体" w:cs="新宋体"/>
                <w:sz w:val="21"/>
              </w:rPr>
            </w:pPr>
          </w:p>
        </w:tc>
        <w:tc>
          <w:tcPr>
            <w:tcW w:w="2146" w:type="dxa"/>
            <w:noWrap w:val="0"/>
            <w:vAlign w:val="top"/>
          </w:tcPr>
          <w:p w14:paraId="5B145996">
            <w:pPr>
              <w:pStyle w:val="8"/>
              <w:spacing w:before="101" w:line="221" w:lineRule="auto"/>
              <w:jc w:val="center"/>
              <w:rPr>
                <w:rFonts w:hint="eastAsia" w:ascii="新宋体" w:hAnsi="新宋体" w:eastAsia="新宋体" w:cs="新宋体"/>
              </w:rPr>
            </w:pPr>
            <w:r>
              <w:rPr>
                <w:rFonts w:hint="eastAsia" w:ascii="新宋体" w:hAnsi="新宋体" w:eastAsia="新宋体" w:cs="新宋体"/>
                <w:spacing w:val="2"/>
              </w:rPr>
              <w:t>用电地址</w:t>
            </w:r>
          </w:p>
        </w:tc>
        <w:tc>
          <w:tcPr>
            <w:tcW w:w="6150" w:type="dxa"/>
            <w:gridSpan w:val="3"/>
            <w:noWrap w:val="0"/>
            <w:vAlign w:val="top"/>
          </w:tcPr>
          <w:p w14:paraId="2B0CE74F">
            <w:pPr>
              <w:rPr>
                <w:rFonts w:hint="eastAsia" w:ascii="新宋体" w:hAnsi="新宋体" w:eastAsia="新宋体" w:cs="新宋体"/>
                <w:sz w:val="21"/>
              </w:rPr>
            </w:pPr>
          </w:p>
        </w:tc>
      </w:tr>
      <w:tr w14:paraId="1018DD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793" w:type="dxa"/>
            <w:noWrap w:val="0"/>
            <w:vAlign w:val="top"/>
          </w:tcPr>
          <w:p w14:paraId="1F493985">
            <w:pPr>
              <w:pStyle w:val="8"/>
              <w:spacing w:before="92" w:line="221" w:lineRule="auto"/>
              <w:jc w:val="center"/>
              <w:rPr>
                <w:rFonts w:hint="eastAsia" w:ascii="新宋体" w:hAnsi="新宋体" w:eastAsia="新宋体" w:cs="新宋体"/>
              </w:rPr>
            </w:pPr>
            <w:r>
              <w:rPr>
                <w:rFonts w:hint="eastAsia" w:ascii="新宋体" w:hAnsi="新宋体" w:eastAsia="新宋体" w:cs="新宋体"/>
                <w:spacing w:val="-2"/>
              </w:rPr>
              <w:t>物业名称</w:t>
            </w:r>
          </w:p>
        </w:tc>
        <w:tc>
          <w:tcPr>
            <w:tcW w:w="1728" w:type="dxa"/>
            <w:noWrap w:val="0"/>
            <w:vAlign w:val="top"/>
          </w:tcPr>
          <w:p w14:paraId="4A6B137C">
            <w:pPr>
              <w:rPr>
                <w:rFonts w:hint="eastAsia" w:ascii="新宋体" w:hAnsi="新宋体" w:eastAsia="新宋体" w:cs="新宋体"/>
                <w:sz w:val="21"/>
              </w:rPr>
            </w:pPr>
          </w:p>
        </w:tc>
        <w:tc>
          <w:tcPr>
            <w:tcW w:w="2146" w:type="dxa"/>
            <w:noWrap w:val="0"/>
            <w:vAlign w:val="top"/>
          </w:tcPr>
          <w:p w14:paraId="15AF1449">
            <w:pPr>
              <w:pStyle w:val="8"/>
              <w:spacing w:before="91" w:line="219" w:lineRule="auto"/>
              <w:jc w:val="center"/>
              <w:rPr>
                <w:rFonts w:hint="eastAsia" w:ascii="新宋体" w:hAnsi="新宋体" w:eastAsia="新宋体" w:cs="新宋体"/>
              </w:rPr>
            </w:pPr>
            <w:r>
              <w:rPr>
                <w:rFonts w:hint="eastAsia" w:ascii="新宋体" w:hAnsi="新宋体" w:eastAsia="新宋体" w:cs="新宋体"/>
                <w:spacing w:val="-2"/>
              </w:rPr>
              <w:t>车位地址及数量</w:t>
            </w:r>
          </w:p>
        </w:tc>
        <w:tc>
          <w:tcPr>
            <w:tcW w:w="6150" w:type="dxa"/>
            <w:gridSpan w:val="3"/>
            <w:noWrap w:val="0"/>
            <w:vAlign w:val="top"/>
          </w:tcPr>
          <w:p w14:paraId="30072107">
            <w:pPr>
              <w:rPr>
                <w:rFonts w:hint="eastAsia" w:ascii="新宋体" w:hAnsi="新宋体" w:eastAsia="新宋体" w:cs="新宋体"/>
                <w:sz w:val="21"/>
              </w:rPr>
            </w:pPr>
          </w:p>
        </w:tc>
      </w:tr>
      <w:tr w14:paraId="7B7998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6" w:hRule="atLeast"/>
        </w:trPr>
        <w:tc>
          <w:tcPr>
            <w:tcW w:w="1793" w:type="dxa"/>
            <w:noWrap w:val="0"/>
            <w:vAlign w:val="center"/>
          </w:tcPr>
          <w:p w14:paraId="0073897B">
            <w:pPr>
              <w:pStyle w:val="8"/>
              <w:spacing w:before="243" w:line="221" w:lineRule="auto"/>
              <w:jc w:val="center"/>
              <w:rPr>
                <w:rFonts w:hint="eastAsia" w:ascii="新宋体" w:hAnsi="新宋体" w:eastAsia="新宋体" w:cs="新宋体"/>
              </w:rPr>
            </w:pPr>
            <w:r>
              <w:rPr>
                <w:rFonts w:hint="eastAsia" w:ascii="新宋体" w:hAnsi="新宋体" w:eastAsia="新宋体" w:cs="新宋体"/>
                <w:spacing w:val="-3"/>
              </w:rPr>
              <w:t>联系人</w:t>
            </w:r>
          </w:p>
        </w:tc>
        <w:tc>
          <w:tcPr>
            <w:tcW w:w="1728" w:type="dxa"/>
            <w:noWrap w:val="0"/>
            <w:vAlign w:val="center"/>
          </w:tcPr>
          <w:p w14:paraId="3A30A349">
            <w:pPr>
              <w:jc w:val="center"/>
              <w:rPr>
                <w:rFonts w:hint="eastAsia" w:ascii="新宋体" w:hAnsi="新宋体" w:eastAsia="新宋体" w:cs="新宋体"/>
                <w:sz w:val="21"/>
              </w:rPr>
            </w:pPr>
          </w:p>
        </w:tc>
        <w:tc>
          <w:tcPr>
            <w:tcW w:w="2146" w:type="dxa"/>
            <w:noWrap w:val="0"/>
            <w:vAlign w:val="center"/>
          </w:tcPr>
          <w:p w14:paraId="419F3DEC">
            <w:pPr>
              <w:pStyle w:val="8"/>
              <w:spacing w:before="241" w:line="219" w:lineRule="auto"/>
              <w:ind w:left="533"/>
              <w:jc w:val="both"/>
              <w:rPr>
                <w:rFonts w:hint="eastAsia" w:ascii="新宋体" w:hAnsi="新宋体" w:eastAsia="新宋体" w:cs="新宋体"/>
              </w:rPr>
            </w:pPr>
            <w:r>
              <w:rPr>
                <w:rFonts w:hint="eastAsia" w:ascii="新宋体" w:hAnsi="新宋体" w:eastAsia="新宋体" w:cs="新宋体"/>
                <w:spacing w:val="3"/>
              </w:rPr>
              <w:t>身份证号</w:t>
            </w:r>
          </w:p>
        </w:tc>
        <w:tc>
          <w:tcPr>
            <w:tcW w:w="1500" w:type="dxa"/>
            <w:noWrap w:val="0"/>
            <w:vAlign w:val="center"/>
          </w:tcPr>
          <w:p w14:paraId="0B491BC2">
            <w:pPr>
              <w:jc w:val="center"/>
              <w:rPr>
                <w:rFonts w:hint="eastAsia" w:ascii="新宋体" w:hAnsi="新宋体" w:eastAsia="新宋体" w:cs="新宋体"/>
                <w:sz w:val="21"/>
              </w:rPr>
            </w:pPr>
          </w:p>
        </w:tc>
        <w:tc>
          <w:tcPr>
            <w:tcW w:w="1500" w:type="dxa"/>
            <w:noWrap w:val="0"/>
            <w:vAlign w:val="center"/>
          </w:tcPr>
          <w:p w14:paraId="3CF49C80">
            <w:pPr>
              <w:pStyle w:val="8"/>
              <w:spacing w:before="243" w:line="221" w:lineRule="auto"/>
              <w:ind w:left="237"/>
              <w:jc w:val="both"/>
              <w:rPr>
                <w:rFonts w:hint="eastAsia" w:ascii="新宋体" w:hAnsi="新宋体" w:eastAsia="新宋体" w:cs="新宋体"/>
              </w:rPr>
            </w:pPr>
            <w:r>
              <w:rPr>
                <w:rFonts w:hint="eastAsia" w:ascii="新宋体" w:hAnsi="新宋体" w:eastAsia="新宋体" w:cs="新宋体"/>
                <w:spacing w:val="-2"/>
              </w:rPr>
              <w:t>联系电话</w:t>
            </w:r>
          </w:p>
        </w:tc>
        <w:tc>
          <w:tcPr>
            <w:tcW w:w="3150" w:type="dxa"/>
            <w:noWrap w:val="0"/>
            <w:vAlign w:val="top"/>
          </w:tcPr>
          <w:p w14:paraId="1363E710">
            <w:pPr>
              <w:pStyle w:val="8"/>
              <w:spacing w:before="80" w:line="251" w:lineRule="auto"/>
              <w:ind w:left="148" w:right="1418"/>
              <w:jc w:val="both"/>
              <w:rPr>
                <w:rFonts w:hint="eastAsia" w:ascii="新宋体" w:hAnsi="新宋体" w:eastAsia="新宋体" w:cs="新宋体"/>
                <w:spacing w:val="7"/>
              </w:rPr>
            </w:pPr>
            <w:r>
              <w:rPr>
                <w:rFonts w:hint="eastAsia" w:ascii="新宋体" w:hAnsi="新宋体" w:eastAsia="新宋体" w:cs="新宋体"/>
                <w:spacing w:val="7"/>
              </w:rPr>
              <w:t>固定</w:t>
            </w:r>
          </w:p>
          <w:p w14:paraId="50F94130">
            <w:pPr>
              <w:pStyle w:val="8"/>
              <w:spacing w:before="80" w:line="251" w:lineRule="auto"/>
              <w:ind w:left="148" w:right="1418"/>
              <w:jc w:val="both"/>
              <w:rPr>
                <w:rFonts w:hint="eastAsia" w:ascii="新宋体" w:hAnsi="新宋体" w:eastAsia="新宋体" w:cs="新宋体"/>
              </w:rPr>
            </w:pPr>
            <w:r>
              <w:rPr>
                <w:rFonts w:hint="eastAsia" w:ascii="新宋体" w:hAnsi="新宋体" w:eastAsia="新宋体" w:cs="新宋体"/>
                <w:spacing w:val="7"/>
              </w:rPr>
              <w:t>移动</w:t>
            </w:r>
          </w:p>
        </w:tc>
      </w:tr>
      <w:tr w14:paraId="5E58E2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1" w:hRule="atLeast"/>
        </w:trPr>
        <w:tc>
          <w:tcPr>
            <w:tcW w:w="1793" w:type="dxa"/>
            <w:noWrap w:val="0"/>
            <w:vAlign w:val="center"/>
          </w:tcPr>
          <w:p w14:paraId="11288C8D">
            <w:pPr>
              <w:pStyle w:val="8"/>
              <w:spacing w:before="312" w:line="220" w:lineRule="auto"/>
              <w:ind w:left="444"/>
              <w:jc w:val="both"/>
              <w:rPr>
                <w:rFonts w:hint="eastAsia" w:ascii="新宋体" w:hAnsi="新宋体" w:eastAsia="新宋体" w:cs="新宋体"/>
              </w:rPr>
            </w:pPr>
            <w:r>
              <w:rPr>
                <w:rFonts w:hint="eastAsia" w:ascii="新宋体" w:hAnsi="新宋体" w:eastAsia="新宋体" w:cs="新宋体"/>
                <w:spacing w:val="6"/>
              </w:rPr>
              <w:t>客户性质</w:t>
            </w:r>
          </w:p>
        </w:tc>
        <w:tc>
          <w:tcPr>
            <w:tcW w:w="1728" w:type="dxa"/>
            <w:noWrap w:val="0"/>
            <w:vAlign w:val="center"/>
          </w:tcPr>
          <w:p w14:paraId="60DDBD03">
            <w:pPr>
              <w:pStyle w:val="8"/>
              <w:spacing w:before="223" w:line="250" w:lineRule="auto"/>
              <w:ind w:right="503"/>
              <w:jc w:val="center"/>
              <w:rPr>
                <w:rFonts w:hint="eastAsia" w:ascii="新宋体" w:hAnsi="新宋体" w:eastAsia="新宋体" w:cs="新宋体"/>
                <w:spacing w:val="7"/>
              </w:rPr>
            </w:pPr>
            <w:r>
              <w:rPr>
                <w:rFonts w:hint="eastAsia" w:ascii="新宋体" w:hAnsi="新宋体" w:eastAsia="新宋体" w:cs="新宋体"/>
                <w:spacing w:val="7"/>
              </w:rPr>
              <w:t>□居民</w:t>
            </w:r>
          </w:p>
          <w:p w14:paraId="1334BA9C">
            <w:pPr>
              <w:pStyle w:val="8"/>
              <w:spacing w:before="223" w:line="250" w:lineRule="auto"/>
              <w:ind w:right="503"/>
              <w:jc w:val="center"/>
              <w:rPr>
                <w:rFonts w:hint="eastAsia" w:ascii="新宋体" w:hAnsi="新宋体" w:eastAsia="新宋体" w:cs="新宋体"/>
              </w:rPr>
            </w:pPr>
            <w:r>
              <w:rPr>
                <w:rFonts w:hint="eastAsia" w:ascii="新宋体" w:hAnsi="新宋体" w:eastAsia="新宋体" w:cs="新宋体"/>
                <w:spacing w:val="6"/>
                <w:lang w:eastAsia="zh-CN"/>
              </w:rPr>
              <w:t>□</w:t>
            </w:r>
            <w:r>
              <w:rPr>
                <w:rFonts w:hint="eastAsia" w:ascii="新宋体" w:hAnsi="新宋体" w:eastAsia="新宋体" w:cs="新宋体"/>
                <w:spacing w:val="6"/>
              </w:rPr>
              <w:t>其他</w:t>
            </w:r>
          </w:p>
        </w:tc>
        <w:tc>
          <w:tcPr>
            <w:tcW w:w="2146" w:type="dxa"/>
            <w:noWrap w:val="0"/>
            <w:vAlign w:val="center"/>
          </w:tcPr>
          <w:p w14:paraId="6D860569">
            <w:pPr>
              <w:pStyle w:val="8"/>
              <w:spacing w:before="312" w:line="219" w:lineRule="auto"/>
              <w:ind w:left="533"/>
              <w:jc w:val="both"/>
              <w:rPr>
                <w:rFonts w:hint="eastAsia" w:ascii="新宋体" w:hAnsi="新宋体" w:eastAsia="新宋体" w:cs="新宋体"/>
              </w:rPr>
            </w:pPr>
            <w:r>
              <w:rPr>
                <w:rFonts w:hint="eastAsia" w:ascii="新宋体" w:hAnsi="新宋体" w:eastAsia="新宋体" w:cs="新宋体"/>
                <w:spacing w:val="4"/>
              </w:rPr>
              <w:t>报装类别</w:t>
            </w:r>
          </w:p>
        </w:tc>
        <w:tc>
          <w:tcPr>
            <w:tcW w:w="1500" w:type="dxa"/>
            <w:noWrap w:val="0"/>
            <w:vAlign w:val="center"/>
          </w:tcPr>
          <w:p w14:paraId="37D6CFED">
            <w:pPr>
              <w:pStyle w:val="8"/>
              <w:spacing w:before="223" w:line="250" w:lineRule="auto"/>
              <w:ind w:right="350"/>
              <w:jc w:val="center"/>
              <w:rPr>
                <w:rFonts w:hint="eastAsia" w:ascii="新宋体" w:hAnsi="新宋体" w:eastAsia="新宋体" w:cs="新宋体"/>
                <w:spacing w:val="7"/>
              </w:rPr>
            </w:pPr>
            <w:r>
              <w:rPr>
                <w:rFonts w:hint="eastAsia" w:ascii="新宋体" w:hAnsi="新宋体" w:eastAsia="新宋体" w:cs="新宋体"/>
                <w:spacing w:val="7"/>
              </w:rPr>
              <w:t>□增容</w:t>
            </w:r>
          </w:p>
          <w:p w14:paraId="3800FD92">
            <w:pPr>
              <w:pStyle w:val="8"/>
              <w:spacing w:before="223" w:line="250" w:lineRule="auto"/>
              <w:ind w:right="350"/>
              <w:jc w:val="center"/>
              <w:rPr>
                <w:rFonts w:hint="eastAsia" w:ascii="新宋体" w:hAnsi="新宋体" w:eastAsia="新宋体" w:cs="新宋体"/>
              </w:rPr>
            </w:pPr>
            <w:r>
              <w:rPr>
                <w:rFonts w:hint="eastAsia" w:ascii="新宋体" w:hAnsi="新宋体" w:eastAsia="新宋体" w:cs="新宋体"/>
                <w:spacing w:val="6"/>
                <w:lang w:eastAsia="zh-CN"/>
              </w:rPr>
              <w:t>□</w:t>
            </w:r>
            <w:r>
              <w:rPr>
                <w:rFonts w:hint="eastAsia" w:ascii="新宋体" w:hAnsi="新宋体" w:eastAsia="新宋体" w:cs="新宋体"/>
                <w:spacing w:val="6"/>
              </w:rPr>
              <w:t>新装</w:t>
            </w:r>
          </w:p>
        </w:tc>
        <w:tc>
          <w:tcPr>
            <w:tcW w:w="1500" w:type="dxa"/>
            <w:noWrap w:val="0"/>
            <w:vAlign w:val="center"/>
          </w:tcPr>
          <w:p w14:paraId="24ECC8F9">
            <w:pPr>
              <w:pStyle w:val="8"/>
              <w:spacing w:before="312" w:line="219" w:lineRule="auto"/>
              <w:ind w:left="237"/>
              <w:jc w:val="both"/>
              <w:rPr>
                <w:rFonts w:hint="eastAsia" w:ascii="新宋体" w:hAnsi="新宋体" w:eastAsia="新宋体" w:cs="新宋体"/>
              </w:rPr>
            </w:pPr>
            <w:r>
              <w:rPr>
                <w:rFonts w:hint="eastAsia" w:ascii="新宋体" w:hAnsi="新宋体" w:eastAsia="新宋体" w:cs="新宋体"/>
                <w:spacing w:val="-2"/>
              </w:rPr>
              <w:t>用电模式</w:t>
            </w:r>
          </w:p>
        </w:tc>
        <w:tc>
          <w:tcPr>
            <w:tcW w:w="3150" w:type="dxa"/>
            <w:noWrap w:val="0"/>
            <w:vAlign w:val="center"/>
          </w:tcPr>
          <w:p w14:paraId="33154AF9">
            <w:pPr>
              <w:pStyle w:val="8"/>
              <w:spacing w:before="223" w:line="250" w:lineRule="auto"/>
              <w:ind w:right="587"/>
              <w:jc w:val="center"/>
              <w:rPr>
                <w:rFonts w:hint="eastAsia" w:ascii="新宋体" w:hAnsi="新宋体" w:eastAsia="新宋体" w:cs="新宋体"/>
              </w:rPr>
            </w:pPr>
            <w:r>
              <w:rPr>
                <w:rFonts w:hint="eastAsia" w:ascii="新宋体" w:hAnsi="新宋体" w:eastAsia="新宋体" w:cs="新宋体"/>
                <w:spacing w:val="12"/>
              </w:rPr>
              <w:t>□自用</w:t>
            </w:r>
          </w:p>
          <w:p w14:paraId="6AA9EFB5">
            <w:pPr>
              <w:pStyle w:val="8"/>
              <w:spacing w:before="223" w:line="250" w:lineRule="auto"/>
              <w:ind w:right="587"/>
              <w:jc w:val="center"/>
              <w:rPr>
                <w:rFonts w:hint="eastAsia" w:ascii="新宋体" w:hAnsi="新宋体" w:eastAsia="新宋体" w:cs="新宋体"/>
              </w:rPr>
            </w:pPr>
            <w:r>
              <w:rPr>
                <w:rFonts w:hint="eastAsia" w:ascii="新宋体" w:hAnsi="新宋体" w:eastAsia="新宋体" w:cs="新宋体"/>
                <w:spacing w:val="8"/>
              </w:rPr>
              <w:t>□经营</w:t>
            </w:r>
          </w:p>
        </w:tc>
      </w:tr>
      <w:tr w14:paraId="04611E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1793" w:type="dxa"/>
            <w:noWrap w:val="0"/>
            <w:vAlign w:val="center"/>
          </w:tcPr>
          <w:p w14:paraId="07C03786">
            <w:pPr>
              <w:pStyle w:val="8"/>
              <w:spacing w:before="193" w:line="220" w:lineRule="auto"/>
              <w:jc w:val="center"/>
              <w:rPr>
                <w:rFonts w:hint="eastAsia" w:ascii="新宋体" w:hAnsi="新宋体" w:eastAsia="新宋体" w:cs="新宋体"/>
              </w:rPr>
            </w:pPr>
            <w:r>
              <w:rPr>
                <w:rFonts w:hint="eastAsia" w:ascii="新宋体" w:hAnsi="新宋体" w:eastAsia="新宋体" w:cs="新宋体"/>
                <w:spacing w:val="2"/>
              </w:rPr>
              <w:t>原有容量</w:t>
            </w:r>
          </w:p>
        </w:tc>
        <w:tc>
          <w:tcPr>
            <w:tcW w:w="1728" w:type="dxa"/>
            <w:noWrap w:val="0"/>
            <w:vAlign w:val="center"/>
          </w:tcPr>
          <w:p w14:paraId="2372E736">
            <w:pPr>
              <w:pStyle w:val="8"/>
              <w:spacing w:before="199" w:line="224" w:lineRule="auto"/>
              <w:ind w:left="521"/>
              <w:jc w:val="right"/>
              <w:rPr>
                <w:rFonts w:hint="eastAsia" w:ascii="新宋体" w:hAnsi="新宋体" w:eastAsia="新宋体" w:cs="新宋体"/>
              </w:rPr>
            </w:pPr>
            <w:r>
              <w:rPr>
                <w:rFonts w:hint="eastAsia" w:ascii="新宋体" w:hAnsi="新宋体" w:eastAsia="新宋体" w:cs="新宋体"/>
                <w:spacing w:val="-2"/>
              </w:rPr>
              <w:t>kVA/kW</w:t>
            </w:r>
          </w:p>
        </w:tc>
        <w:tc>
          <w:tcPr>
            <w:tcW w:w="2146" w:type="dxa"/>
            <w:noWrap w:val="0"/>
            <w:vAlign w:val="center"/>
          </w:tcPr>
          <w:p w14:paraId="1770FBD2">
            <w:pPr>
              <w:pStyle w:val="8"/>
              <w:spacing w:before="193" w:line="220" w:lineRule="auto"/>
              <w:ind w:left="533"/>
              <w:jc w:val="both"/>
              <w:rPr>
                <w:rFonts w:hint="eastAsia" w:ascii="新宋体" w:hAnsi="新宋体" w:eastAsia="新宋体" w:cs="新宋体"/>
              </w:rPr>
            </w:pPr>
            <w:r>
              <w:rPr>
                <w:rFonts w:hint="eastAsia" w:ascii="新宋体" w:hAnsi="新宋体" w:eastAsia="新宋体" w:cs="新宋体"/>
                <w:spacing w:val="-2"/>
              </w:rPr>
              <w:t>新增容量</w:t>
            </w:r>
          </w:p>
        </w:tc>
        <w:tc>
          <w:tcPr>
            <w:tcW w:w="1500" w:type="dxa"/>
            <w:noWrap w:val="0"/>
            <w:vAlign w:val="center"/>
          </w:tcPr>
          <w:p w14:paraId="7062DD1E">
            <w:pPr>
              <w:pStyle w:val="8"/>
              <w:spacing w:before="199" w:line="224" w:lineRule="auto"/>
              <w:ind w:left="395"/>
              <w:jc w:val="right"/>
              <w:rPr>
                <w:rFonts w:hint="eastAsia" w:ascii="新宋体" w:hAnsi="新宋体" w:eastAsia="新宋体" w:cs="新宋体"/>
              </w:rPr>
            </w:pPr>
            <w:r>
              <w:rPr>
                <w:rFonts w:hint="eastAsia" w:ascii="新宋体" w:hAnsi="新宋体" w:eastAsia="新宋体" w:cs="新宋体"/>
                <w:spacing w:val="-2"/>
              </w:rPr>
              <w:t>kVA/kW</w:t>
            </w:r>
          </w:p>
        </w:tc>
        <w:tc>
          <w:tcPr>
            <w:tcW w:w="1500" w:type="dxa"/>
            <w:noWrap w:val="0"/>
            <w:vAlign w:val="center"/>
          </w:tcPr>
          <w:p w14:paraId="77F328B3">
            <w:pPr>
              <w:pStyle w:val="8"/>
              <w:spacing w:before="193" w:line="219" w:lineRule="auto"/>
              <w:ind w:left="237"/>
              <w:jc w:val="both"/>
              <w:rPr>
                <w:rFonts w:hint="eastAsia" w:ascii="新宋体" w:hAnsi="新宋体" w:eastAsia="新宋体" w:cs="新宋体"/>
              </w:rPr>
            </w:pPr>
            <w:r>
              <w:rPr>
                <w:rFonts w:hint="eastAsia" w:ascii="新宋体" w:hAnsi="新宋体" w:eastAsia="新宋体" w:cs="新宋体"/>
                <w:spacing w:val="-3"/>
              </w:rPr>
              <w:t>最终容量</w:t>
            </w:r>
          </w:p>
        </w:tc>
        <w:tc>
          <w:tcPr>
            <w:tcW w:w="3150" w:type="dxa"/>
            <w:noWrap w:val="0"/>
            <w:vAlign w:val="center"/>
          </w:tcPr>
          <w:p w14:paraId="22F00346">
            <w:pPr>
              <w:pStyle w:val="8"/>
              <w:spacing w:before="199" w:line="224" w:lineRule="auto"/>
              <w:ind w:left="678"/>
              <w:jc w:val="right"/>
              <w:rPr>
                <w:rFonts w:hint="eastAsia" w:ascii="新宋体" w:hAnsi="新宋体" w:eastAsia="新宋体" w:cs="新宋体"/>
              </w:rPr>
            </w:pPr>
            <w:r>
              <w:rPr>
                <w:rFonts w:hint="eastAsia" w:ascii="新宋体" w:hAnsi="新宋体" w:eastAsia="新宋体" w:cs="新宋体"/>
                <w:spacing w:val="-2"/>
              </w:rPr>
              <w:t>kVA/kW</w:t>
            </w:r>
          </w:p>
        </w:tc>
      </w:tr>
      <w:tr w14:paraId="140EB7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11817" w:type="dxa"/>
            <w:gridSpan w:val="6"/>
            <w:noWrap w:val="0"/>
            <w:vAlign w:val="top"/>
          </w:tcPr>
          <w:p w14:paraId="0704D5FF">
            <w:pPr>
              <w:pStyle w:val="8"/>
              <w:spacing w:before="54" w:line="214" w:lineRule="auto"/>
              <w:ind w:left="204"/>
              <w:rPr>
                <w:rFonts w:hint="eastAsia" w:ascii="新宋体" w:hAnsi="新宋体" w:eastAsia="新宋体" w:cs="新宋体"/>
              </w:rPr>
            </w:pPr>
            <w:r>
              <w:rPr>
                <w:rFonts w:hint="eastAsia" w:ascii="新宋体" w:hAnsi="新宋体" w:eastAsia="新宋体" w:cs="新宋体"/>
              </w:rPr>
              <w:t>充电设施安装位置详细描述：</w:t>
            </w:r>
          </w:p>
        </w:tc>
      </w:tr>
      <w:tr w14:paraId="540B22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11817" w:type="dxa"/>
            <w:gridSpan w:val="6"/>
            <w:noWrap w:val="0"/>
            <w:vAlign w:val="top"/>
          </w:tcPr>
          <w:p w14:paraId="5DA8FD34">
            <w:pPr>
              <w:pStyle w:val="8"/>
              <w:spacing w:before="63" w:line="215" w:lineRule="auto"/>
              <w:ind w:left="204"/>
              <w:rPr>
                <w:rFonts w:hint="eastAsia" w:ascii="新宋体" w:hAnsi="新宋体" w:eastAsia="新宋体" w:cs="新宋体"/>
              </w:rPr>
            </w:pPr>
            <w:r>
              <w:rPr>
                <w:rFonts w:hint="eastAsia" w:ascii="新宋体" w:hAnsi="新宋体" w:eastAsia="新宋体" w:cs="新宋体"/>
                <w:spacing w:val="-1"/>
              </w:rPr>
              <w:t>充电设备电气参数及其他特别说明：</w:t>
            </w:r>
          </w:p>
        </w:tc>
      </w:tr>
      <w:tr w14:paraId="145B03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21" w:hRule="atLeast"/>
        </w:trPr>
        <w:tc>
          <w:tcPr>
            <w:tcW w:w="11817" w:type="dxa"/>
            <w:gridSpan w:val="6"/>
            <w:noWrap w:val="0"/>
            <w:vAlign w:val="top"/>
          </w:tcPr>
          <w:p w14:paraId="1E52DADF">
            <w:pPr>
              <w:pStyle w:val="8"/>
              <w:spacing w:before="74" w:line="219" w:lineRule="auto"/>
              <w:ind w:left="134"/>
              <w:rPr>
                <w:rFonts w:hint="eastAsia" w:ascii="新宋体" w:hAnsi="新宋体" w:eastAsia="新宋体" w:cs="新宋体"/>
                <w:spacing w:val="-1"/>
                <w:lang w:eastAsia="zh-CN"/>
              </w:rPr>
            </w:pPr>
            <w:r>
              <w:rPr>
                <w:rFonts w:hint="eastAsia" w:ascii="新宋体" w:hAnsi="新宋体" w:eastAsia="新宋体" w:cs="新宋体"/>
                <w:spacing w:val="-1"/>
              </w:rPr>
              <w:t>小区管理单位意见</w:t>
            </w:r>
            <w:r>
              <w:rPr>
                <w:rFonts w:hint="eastAsia" w:ascii="新宋体" w:hAnsi="新宋体" w:eastAsia="新宋体" w:cs="新宋体"/>
                <w:spacing w:val="-1"/>
                <w:lang w:eastAsia="zh-CN"/>
              </w:rPr>
              <w:t>：</w:t>
            </w:r>
          </w:p>
          <w:p w14:paraId="159047A3">
            <w:pPr>
              <w:pStyle w:val="8"/>
              <w:spacing w:before="72" w:line="188" w:lineRule="auto"/>
              <w:ind w:left="6464"/>
              <w:rPr>
                <w:rFonts w:hint="eastAsia" w:ascii="新宋体" w:hAnsi="新宋体" w:eastAsia="新宋体" w:cs="新宋体"/>
                <w:spacing w:val="-1"/>
              </w:rPr>
            </w:pPr>
          </w:p>
          <w:p w14:paraId="4FCBE81A">
            <w:pPr>
              <w:pStyle w:val="8"/>
              <w:spacing w:before="72" w:line="188" w:lineRule="auto"/>
              <w:ind w:left="6464"/>
              <w:rPr>
                <w:rFonts w:hint="eastAsia" w:ascii="新宋体" w:hAnsi="新宋体" w:eastAsia="新宋体" w:cs="新宋体"/>
              </w:rPr>
            </w:pPr>
            <w:r>
              <w:rPr>
                <w:rFonts w:hint="eastAsia" w:ascii="新宋体" w:hAnsi="新宋体" w:eastAsia="新宋体" w:cs="新宋体"/>
                <w:spacing w:val="-1"/>
              </w:rPr>
              <w:t>小区管理单位盖章：</w:t>
            </w:r>
          </w:p>
        </w:tc>
      </w:tr>
      <w:tr w14:paraId="4A1B5A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4" w:hRule="atLeast"/>
        </w:trPr>
        <w:tc>
          <w:tcPr>
            <w:tcW w:w="11817" w:type="dxa"/>
            <w:gridSpan w:val="6"/>
            <w:noWrap w:val="0"/>
            <w:vAlign w:val="top"/>
          </w:tcPr>
          <w:p w14:paraId="2AB60B67">
            <w:pPr>
              <w:pStyle w:val="8"/>
              <w:spacing w:before="65" w:line="219" w:lineRule="auto"/>
              <w:ind w:left="104"/>
              <w:rPr>
                <w:rFonts w:hint="eastAsia" w:ascii="新宋体" w:hAnsi="新宋体" w:eastAsia="新宋体" w:cs="新宋体"/>
                <w:sz w:val="21"/>
              </w:rPr>
            </w:pPr>
            <w:r>
              <w:rPr>
                <w:rFonts w:hint="eastAsia" w:ascii="新宋体" w:hAnsi="新宋体" w:eastAsia="新宋体" w:cs="新宋体"/>
              </w:rPr>
              <w:t>以上提供资料完全属实并已知悉充电设施用电业务办理流程，谨此确</w:t>
            </w:r>
            <w:r>
              <w:rPr>
                <w:rFonts w:hint="eastAsia" w:ascii="新宋体" w:hAnsi="新宋体" w:eastAsia="新宋体" w:cs="新宋体"/>
                <w:spacing w:val="-1"/>
              </w:rPr>
              <w:t>认。</w:t>
            </w:r>
          </w:p>
          <w:p w14:paraId="6F1C7C08">
            <w:pPr>
              <w:pStyle w:val="8"/>
              <w:spacing w:before="71" w:line="294" w:lineRule="auto"/>
              <w:ind w:right="2084" w:firstLine="6500" w:firstLineChars="2500"/>
              <w:rPr>
                <w:rFonts w:hint="eastAsia" w:ascii="新宋体" w:hAnsi="新宋体" w:eastAsia="新宋体" w:cs="新宋体"/>
                <w:spacing w:val="5"/>
              </w:rPr>
            </w:pPr>
            <w:r>
              <w:rPr>
                <w:rFonts w:hint="eastAsia" w:ascii="新宋体" w:hAnsi="新宋体" w:eastAsia="新宋体" w:cs="新宋体"/>
                <w:spacing w:val="5"/>
              </w:rPr>
              <w:t>申请人签字(盖章):</w:t>
            </w:r>
          </w:p>
          <w:p w14:paraId="598EBD3D">
            <w:pPr>
              <w:pStyle w:val="8"/>
              <w:spacing w:before="71" w:line="294" w:lineRule="auto"/>
              <w:ind w:left="6234" w:right="2084"/>
              <w:rPr>
                <w:rFonts w:hint="eastAsia" w:ascii="新宋体" w:hAnsi="新宋体" w:eastAsia="新宋体" w:cs="新宋体"/>
              </w:rPr>
            </w:pPr>
            <w:r>
              <w:rPr>
                <w:rFonts w:hint="eastAsia" w:ascii="新宋体" w:hAnsi="新宋体" w:eastAsia="新宋体" w:cs="新宋体"/>
                <w:spacing w:val="1"/>
              </w:rPr>
              <w:t xml:space="preserve">  </w:t>
            </w:r>
            <w:r>
              <w:rPr>
                <w:rFonts w:hint="eastAsia" w:ascii="新宋体" w:hAnsi="新宋体" w:eastAsia="新宋体" w:cs="新宋体"/>
                <w:spacing w:val="-5"/>
              </w:rPr>
              <w:t>申请日期：年月</w:t>
            </w:r>
            <w:r>
              <w:rPr>
                <w:rFonts w:hint="eastAsia" w:ascii="新宋体" w:hAnsi="新宋体" w:eastAsia="新宋体" w:cs="新宋体"/>
                <w:spacing w:val="39"/>
              </w:rPr>
              <w:t xml:space="preserve">  </w:t>
            </w:r>
            <w:r>
              <w:rPr>
                <w:rFonts w:hint="eastAsia" w:ascii="新宋体" w:hAnsi="新宋体" w:eastAsia="新宋体" w:cs="新宋体"/>
                <w:spacing w:val="-5"/>
              </w:rPr>
              <w:t>日</w:t>
            </w:r>
          </w:p>
        </w:tc>
      </w:tr>
      <w:tr w14:paraId="73D65A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trPr>
        <w:tc>
          <w:tcPr>
            <w:tcW w:w="11817" w:type="dxa"/>
            <w:gridSpan w:val="6"/>
            <w:noWrap w:val="0"/>
            <w:vAlign w:val="top"/>
          </w:tcPr>
          <w:p w14:paraId="3D60CE74">
            <w:pPr>
              <w:pStyle w:val="8"/>
              <w:spacing w:before="211" w:line="204" w:lineRule="auto"/>
              <w:ind w:left="14"/>
              <w:rPr>
                <w:rFonts w:hint="eastAsia" w:ascii="新宋体" w:hAnsi="新宋体" w:eastAsia="新宋体" w:cs="新宋体"/>
              </w:rPr>
            </w:pPr>
            <w:r>
              <w:rPr>
                <w:rFonts w:hint="eastAsia" w:ascii="新宋体" w:hAnsi="新宋体" w:eastAsia="新宋体" w:cs="新宋体"/>
              </w:rPr>
              <w:t>受理情况：</w:t>
            </w:r>
            <w:r>
              <w:rPr>
                <w:rFonts w:hint="eastAsia" w:ascii="新宋体" w:hAnsi="新宋体" w:eastAsia="新宋体" w:cs="新宋体"/>
                <w:spacing w:val="2"/>
              </w:rPr>
              <w:t xml:space="preserve">                                </w:t>
            </w:r>
            <w:r>
              <w:rPr>
                <w:rFonts w:hint="eastAsia" w:ascii="新宋体" w:hAnsi="新宋体" w:eastAsia="新宋体" w:cs="新宋体"/>
                <w:position w:val="-1"/>
              </w:rPr>
              <w:t>受理人：</w:t>
            </w:r>
            <w:r>
              <w:rPr>
                <w:rFonts w:hint="eastAsia" w:ascii="新宋体" w:hAnsi="新宋体" w:eastAsia="新宋体" w:cs="新宋体"/>
                <w:spacing w:val="3"/>
                <w:position w:val="-1"/>
              </w:rPr>
              <w:t xml:space="preserve">                 </w:t>
            </w:r>
            <w:r>
              <w:rPr>
                <w:rFonts w:hint="eastAsia" w:ascii="新宋体" w:hAnsi="新宋体" w:eastAsia="新宋体" w:cs="新宋体"/>
              </w:rPr>
              <w:t>受理时间：</w:t>
            </w:r>
          </w:p>
        </w:tc>
      </w:tr>
    </w:tbl>
    <w:p w14:paraId="634E9D4F">
      <w:pPr>
        <w:spacing w:line="100" w:lineRule="exact"/>
        <w:rPr>
          <w:rFonts w:hint="eastAsia" w:ascii="新宋体" w:hAnsi="新宋体" w:eastAsia="新宋体" w:cs="新宋体"/>
        </w:rPr>
      </w:pPr>
    </w:p>
    <w:p w14:paraId="27F3992D">
      <w:pPr>
        <w:rPr>
          <w:rFonts w:hint="eastAsia" w:ascii="新宋体" w:hAnsi="新宋体" w:eastAsia="新宋体" w:cs="新宋体"/>
          <w:sz w:val="21"/>
        </w:rPr>
      </w:pPr>
    </w:p>
    <w:p w14:paraId="3A88F815">
      <w:pPr>
        <w:rPr>
          <w:rFonts w:hint="eastAsia" w:ascii="新宋体" w:hAnsi="新宋体" w:eastAsia="新宋体" w:cs="新宋体"/>
          <w:sz w:val="32"/>
          <w:szCs w:val="32"/>
          <w:lang w:eastAsia="zh-CN"/>
        </w:rPr>
        <w:sectPr>
          <w:type w:val="continuous"/>
          <w:pgSz w:w="16838" w:h="11906" w:orient="landscape"/>
          <w:pgMar w:top="1800" w:right="1440" w:bottom="1800" w:left="1440" w:header="851" w:footer="992" w:gutter="0"/>
          <w:pgBorders>
            <w:top w:val="none" w:sz="0" w:space="0"/>
            <w:left w:val="none" w:sz="0" w:space="0"/>
            <w:bottom w:val="none" w:sz="0" w:space="0"/>
            <w:right w:val="none" w:sz="0" w:space="0"/>
          </w:pgBorders>
          <w:cols w:space="720" w:num="1"/>
          <w:docGrid w:type="lines" w:linePitch="312" w:charSpace="0"/>
        </w:sectPr>
      </w:pPr>
    </w:p>
    <w:p w14:paraId="3FECA63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附件2-2</w:t>
      </w:r>
    </w:p>
    <w:p w14:paraId="273D842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sz w:val="32"/>
          <w:szCs w:val="32"/>
          <w:lang w:val="en-US" w:eastAsia="zh-CN"/>
        </w:rPr>
      </w:pPr>
    </w:p>
    <w:p w14:paraId="2CEBFC9E">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电动汽车自用桩安装承诺书</w:t>
      </w:r>
      <w:r>
        <w:rPr>
          <w:rFonts w:hint="eastAsia" w:ascii="方正小标宋_GBK" w:hAnsi="方正小标宋_GBK" w:eastAsia="方正小标宋_GBK" w:cs="方正小标宋_GBK"/>
          <w:b w:val="0"/>
          <w:bCs w:val="0"/>
          <w:sz w:val="44"/>
          <w:szCs w:val="44"/>
          <w:lang w:eastAsia="zh-CN"/>
        </w:rPr>
        <w:tab/>
      </w:r>
      <w:r>
        <w:rPr>
          <w:rFonts w:hint="eastAsia" w:ascii="方正小标宋_GBK" w:hAnsi="方正小标宋_GBK" w:eastAsia="方正小标宋_GBK" w:cs="方正小标宋_GBK"/>
          <w:b w:val="0"/>
          <w:bCs w:val="0"/>
          <w:sz w:val="44"/>
          <w:szCs w:val="44"/>
        </w:rPr>
        <w:t>(参考范本)</w:t>
      </w:r>
    </w:p>
    <w:p w14:paraId="197E0A4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(小区管理单位留存)</w:t>
      </w:r>
    </w:p>
    <w:p w14:paraId="1D5F9736">
      <w:pPr>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ascii="仿宋_GB2312" w:hAnsi="仿宋_GB2312" w:eastAsia="仿宋_GB2312" w:cs="仿宋_GB2312"/>
          <w:sz w:val="32"/>
          <w:szCs w:val="32"/>
        </w:rPr>
      </w:pPr>
    </w:p>
    <w:p w14:paraId="025604F2">
      <w:pPr>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甲方(自有产权车位的业主/单位或租赁人)</w:t>
      </w:r>
      <w:r>
        <w:rPr>
          <w:rFonts w:hint="eastAsia" w:ascii="仿宋_GB2312" w:hAnsi="仿宋_GB2312" w:cs="仿宋_GB2312"/>
          <w:b/>
          <w:bCs/>
          <w:sz w:val="32"/>
          <w:szCs w:val="32"/>
          <w:lang w:eastAsia="zh-CN"/>
        </w:rPr>
        <w:t>：</w:t>
      </w:r>
      <w:r>
        <w:rPr>
          <w:rFonts w:hint="eastAsia" w:ascii="仿宋_GB2312" w:hAnsi="仿宋_GB2312" w:eastAsia="仿宋_GB2312" w:cs="仿宋_GB2312"/>
          <w:sz w:val="32"/>
          <w:szCs w:val="32"/>
          <w:u w:val="single"/>
        </w:rPr>
        <w:t xml:space="preserve">                                </w:t>
      </w:r>
    </w:p>
    <w:p w14:paraId="01E364A8">
      <w:pPr>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身份证号</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u w:val="single"/>
        </w:rPr>
        <w:t xml:space="preserve">                  </w:t>
      </w:r>
      <w:r>
        <w:rPr>
          <w:rFonts w:hint="eastAsia" w:ascii="仿宋_GB2312" w:hAnsi="仿宋_GB2312" w:cs="仿宋_GB2312"/>
          <w:sz w:val="32"/>
          <w:szCs w:val="32"/>
          <w:u w:val="single"/>
          <w:lang w:val="en-US" w:eastAsia="zh-CN"/>
        </w:rPr>
        <w:t xml:space="preserve"> </w:t>
      </w:r>
      <w:r>
        <w:rPr>
          <w:rFonts w:hint="eastAsia" w:ascii="仿宋_GB2312" w:hAnsi="仿宋_GB2312" w:eastAsia="仿宋_GB2312" w:cs="仿宋_GB2312"/>
          <w:sz w:val="32"/>
          <w:szCs w:val="32"/>
        </w:rPr>
        <w:t>住址</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u w:val="single"/>
        </w:rPr>
        <w:t xml:space="preserve">                 </w:t>
      </w:r>
      <w:r>
        <w:rPr>
          <w:rFonts w:hint="eastAsia" w:ascii="仿宋_GB2312" w:hAnsi="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p>
    <w:p w14:paraId="3661F310">
      <w:pPr>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乙方(充电设施施工单位/电动汽车生产销售企业)</w:t>
      </w:r>
      <w:r>
        <w:rPr>
          <w:rFonts w:hint="eastAsia" w:ascii="仿宋_GB2312" w:hAnsi="仿宋_GB2312" w:cs="仿宋_GB2312"/>
          <w:b/>
          <w:bCs/>
          <w:sz w:val="32"/>
          <w:szCs w:val="32"/>
          <w:lang w:eastAsia="zh-CN"/>
        </w:rPr>
        <w:t>：</w:t>
      </w:r>
      <w:r>
        <w:rPr>
          <w:rFonts w:hint="eastAsia" w:ascii="仿宋_GB2312" w:hAnsi="仿宋_GB2312" w:eastAsia="仿宋_GB2312" w:cs="仿宋_GB2312"/>
          <w:sz w:val="32"/>
          <w:szCs w:val="32"/>
          <w:u w:val="single"/>
        </w:rPr>
        <w:t xml:space="preserve">                                  </w:t>
      </w:r>
    </w:p>
    <w:p w14:paraId="562FEEFD">
      <w:pPr>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住所地</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u w:val="single"/>
        </w:rPr>
        <w:t xml:space="preserve">                   </w:t>
      </w:r>
      <w:r>
        <w:rPr>
          <w:rFonts w:hint="eastAsia" w:ascii="仿宋_GB2312" w:hAnsi="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p>
    <w:p w14:paraId="7F7000BC">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p>
    <w:p w14:paraId="10DC29A5">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甲方购买了</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(品牌)新能源电动汽车</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现需在甲方通过</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方式取得车位所有权(使用权)的小区停车场</w:t>
      </w:r>
      <w:r>
        <w:rPr>
          <w:rFonts w:hint="eastAsia" w:ascii="仿宋_GB2312" w:hAnsi="仿宋_GB2312" w:eastAsia="仿宋_GB2312" w:cs="仿宋_GB2312"/>
          <w:sz w:val="32"/>
          <w:szCs w:val="32"/>
          <w:u w:val="single"/>
        </w:rPr>
        <w:t xml:space="preserve">    </w:t>
      </w:r>
      <w:r>
        <w:rPr>
          <w:rFonts w:hint="eastAsia" w:ascii="仿宋_GB2312" w:hAnsi="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号停车位安装</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式充电桩一台。为了顺利完成电动汽车充电设施安装，保障相关安全责任，双方当事人共同作出如下承诺</w:t>
      </w:r>
      <w:r>
        <w:rPr>
          <w:rFonts w:hint="eastAsia" w:ascii="仿宋_GB2312" w:hAnsi="仿宋_GB2312" w:cs="仿宋_GB2312"/>
          <w:sz w:val="32"/>
          <w:szCs w:val="32"/>
          <w:lang w:eastAsia="zh-CN"/>
        </w:rPr>
        <w:t>：</w:t>
      </w:r>
    </w:p>
    <w:p w14:paraId="78A008D0">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rPr>
        <w:t>一、甲方承诺</w:t>
      </w:r>
      <w:r>
        <w:rPr>
          <w:rFonts w:hint="eastAsia" w:ascii="黑体" w:hAnsi="黑体" w:eastAsia="黑体" w:cs="黑体"/>
          <w:b w:val="0"/>
          <w:bCs w:val="0"/>
          <w:sz w:val="32"/>
          <w:szCs w:val="32"/>
          <w:lang w:eastAsia="zh-CN"/>
        </w:rPr>
        <w:t>：</w:t>
      </w:r>
    </w:p>
    <w:p w14:paraId="7A3F9B65">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1.甲方需安装充电设施的车位位于</w:t>
      </w:r>
      <w:r>
        <w:rPr>
          <w:rFonts w:hint="eastAsia" w:ascii="仿宋_GB2312" w:hAnsi="仿宋_GB2312" w:cs="仿宋_GB2312"/>
          <w:sz w:val="32"/>
          <w:szCs w:val="32"/>
          <w:u w:val="single"/>
          <w:lang w:val="en-US" w:eastAsia="zh-CN"/>
        </w:rPr>
        <w:t xml:space="preserve">                    </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充电设施安装前</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甲方同意提交相关施工资料</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按照装修管理的相关规定向物业公司(小区管理单位)报备，并监督乙方安全施工</w:t>
      </w:r>
    </w:p>
    <w:p w14:paraId="3525E87E">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2.充电设施建设按有关规定到供电公司办理报装手续充电设施安装院毕</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检验合格后甲方才能开始使用</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在使用过程中</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如因操作不当造成的一切损失，由甲方自行承担。</w:t>
      </w:r>
    </w:p>
    <w:p w14:paraId="67954184">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黑体" w:hAnsi="黑体" w:eastAsia="黑体" w:cs="黑体"/>
          <w:b w:val="0"/>
          <w:bCs w:val="0"/>
          <w:sz w:val="32"/>
          <w:szCs w:val="32"/>
        </w:rPr>
      </w:pPr>
    </w:p>
    <w:p w14:paraId="085F183C">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rPr>
        <w:t>二、乙方承诺</w:t>
      </w:r>
      <w:r>
        <w:rPr>
          <w:rFonts w:hint="eastAsia" w:ascii="黑体" w:hAnsi="黑体" w:eastAsia="黑体" w:cs="黑体"/>
          <w:b w:val="0"/>
          <w:bCs w:val="0"/>
          <w:sz w:val="32"/>
          <w:szCs w:val="32"/>
          <w:lang w:eastAsia="zh-CN"/>
        </w:rPr>
        <w:t>：</w:t>
      </w:r>
    </w:p>
    <w:p w14:paraId="30801221">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充电设施建设符合国家和本地充电设施建设标准和设计规范。乙方在施工过程中严格遵守电力建设安全、装修管理以及充电设备安装安全等相关规定，参照居民区充电基础设施安装指南，并服从物业公司(小区管理单位)的施工管理要求，做好安全防范措施，安全文明施工。</w:t>
      </w:r>
    </w:p>
    <w:p w14:paraId="7F3FCDFF">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2.乙方在施工过程中自备电动汽车充电设备安装所需要的设备、工具、材料、安全劳动用品等，符合安全规范要求。</w:t>
      </w:r>
    </w:p>
    <w:p w14:paraId="396C805D">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3.乙方在施工中注意保护原有设施及环境，如有污染、破坏应恢复至原有标准。</w:t>
      </w:r>
    </w:p>
    <w:p w14:paraId="102C968D">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4.在安装过程中产生的废弃物，乙方及时清理并清运。</w:t>
      </w:r>
    </w:p>
    <w:p w14:paraId="4B150B74">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5.乙方在施工过程中应加强安全管理，并承担施工过程中的相应安全责任。</w:t>
      </w:r>
    </w:p>
    <w:p w14:paraId="7247D628">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cs="仿宋_GB2312"/>
          <w:sz w:val="32"/>
          <w:szCs w:val="32"/>
          <w:lang w:val="en-US" w:eastAsia="zh-CN"/>
        </w:rPr>
      </w:pPr>
      <w:r>
        <w:rPr>
          <w:rFonts w:hint="eastAsia" w:ascii="仿宋_GB2312" w:hAnsi="仿宋_GB2312" w:eastAsia="仿宋_GB2312" w:cs="仿宋_GB2312"/>
          <w:sz w:val="32"/>
          <w:szCs w:val="32"/>
        </w:rPr>
        <w:t>6.因乙方安装不符合国家和本市相关规定标准、规范或安装设备质量不合格导致的安全问题，乙方同意承担全部责任。</w:t>
      </w:r>
    </w:p>
    <w:p w14:paraId="5CC881EC">
      <w:pPr>
        <w:keepNext w:val="0"/>
        <w:keepLines w:val="0"/>
        <w:pageBreakBefore w:val="0"/>
        <w:widowControl w:val="0"/>
        <w:kinsoku/>
        <w:wordWrap/>
        <w:overflowPunct/>
        <w:topLinePunct w:val="0"/>
        <w:autoSpaceDE/>
        <w:autoSpaceDN/>
        <w:bidi w:val="0"/>
        <w:adjustRightInd/>
        <w:snapToGrid/>
        <w:spacing w:after="0" w:line="560" w:lineRule="exact"/>
        <w:ind w:left="840" w:leftChars="400" w:right="0" w:rightChars="0" w:firstLine="0" w:firstLineChars="0"/>
        <w:jc w:val="both"/>
        <w:textAlignment w:val="auto"/>
        <w:rPr>
          <w:rFonts w:hint="eastAsia" w:ascii="仿宋_GB2312" w:hAnsi="仿宋_GB2312" w:cs="仿宋_GB2312"/>
          <w:sz w:val="32"/>
          <w:szCs w:val="32"/>
          <w:lang w:val="en-US" w:eastAsia="zh-CN"/>
        </w:rPr>
      </w:pPr>
    </w:p>
    <w:p w14:paraId="1F60CC43">
      <w:pPr>
        <w:keepNext w:val="0"/>
        <w:keepLines w:val="0"/>
        <w:pageBreakBefore w:val="0"/>
        <w:widowControl w:val="0"/>
        <w:kinsoku/>
        <w:wordWrap/>
        <w:overflowPunct/>
        <w:topLinePunct w:val="0"/>
        <w:autoSpaceDE/>
        <w:autoSpaceDN/>
        <w:bidi w:val="0"/>
        <w:adjustRightInd/>
        <w:snapToGrid/>
        <w:spacing w:after="0" w:line="560" w:lineRule="exact"/>
        <w:ind w:left="840" w:leftChars="400" w:right="0" w:rightChars="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val="en-US" w:eastAsia="zh-CN"/>
        </w:rPr>
        <w:t xml:space="preserve">     </w:t>
      </w:r>
      <w:r>
        <w:rPr>
          <w:rFonts w:hint="eastAsia" w:ascii="仿宋_GB2312" w:hAnsi="仿宋_GB2312" w:eastAsia="仿宋_GB2312" w:cs="仿宋_GB2312"/>
          <w:sz w:val="32"/>
          <w:szCs w:val="32"/>
        </w:rPr>
        <w:t>甲方(签字)</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 xml:space="preserve">   日期:</w:t>
      </w:r>
    </w:p>
    <w:p w14:paraId="0A700190">
      <w:pPr>
        <w:keepNext w:val="0"/>
        <w:keepLines w:val="0"/>
        <w:pageBreakBefore w:val="0"/>
        <w:widowControl w:val="0"/>
        <w:kinsoku/>
        <w:wordWrap/>
        <w:overflowPunct/>
        <w:topLinePunct w:val="0"/>
        <w:autoSpaceDE/>
        <w:autoSpaceDN/>
        <w:bidi w:val="0"/>
        <w:adjustRightInd/>
        <w:snapToGrid/>
        <w:spacing w:after="0" w:line="560" w:lineRule="exact"/>
        <w:ind w:left="840" w:leftChars="400" w:right="0" w:rightChars="0" w:firstLine="0" w:firstLineChars="0"/>
        <w:jc w:val="both"/>
        <w:textAlignment w:val="auto"/>
        <w:rPr>
          <w:rFonts w:hint="eastAsia" w:ascii="仿宋_GB2312" w:hAnsi="仿宋_GB2312" w:eastAsia="仿宋_GB2312" w:cs="仿宋_GB2312"/>
          <w:sz w:val="32"/>
          <w:szCs w:val="32"/>
        </w:rPr>
      </w:pPr>
    </w:p>
    <w:p w14:paraId="4C2D15D0">
      <w:pPr>
        <w:keepNext w:val="0"/>
        <w:keepLines w:val="0"/>
        <w:pageBreakBefore w:val="0"/>
        <w:widowControl w:val="0"/>
        <w:kinsoku/>
        <w:wordWrap/>
        <w:overflowPunct/>
        <w:topLinePunct w:val="0"/>
        <w:autoSpaceDE/>
        <w:autoSpaceDN/>
        <w:bidi w:val="0"/>
        <w:adjustRightInd/>
        <w:snapToGrid/>
        <w:spacing w:after="0" w:line="560" w:lineRule="exact"/>
        <w:ind w:left="840" w:leftChars="400" w:right="0" w:rightChars="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val="en-US" w:eastAsia="zh-CN"/>
        </w:rPr>
        <w:t xml:space="preserve">     </w:t>
      </w:r>
      <w:r>
        <w:rPr>
          <w:rFonts w:hint="eastAsia" w:ascii="仿宋_GB2312" w:hAnsi="仿宋_GB2312" w:eastAsia="仿宋_GB2312" w:cs="仿宋_GB2312"/>
          <w:sz w:val="32"/>
          <w:szCs w:val="32"/>
        </w:rPr>
        <w:t>乙方(公章)</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10"/>
          <w:szCs w:val="10"/>
          <w:lang w:val="en-US" w:eastAsia="zh-CN"/>
        </w:rPr>
        <w:t xml:space="preserve"> </w:t>
      </w:r>
      <w:r>
        <w:rPr>
          <w:rFonts w:hint="eastAsia" w:ascii="仿宋_GB2312" w:hAnsi="仿宋_GB2312" w:eastAsia="仿宋_GB2312" w:cs="仿宋_GB2312"/>
          <w:sz w:val="32"/>
          <w:szCs w:val="32"/>
        </w:rPr>
        <w:t>日期:</w:t>
      </w:r>
    </w:p>
    <w:p w14:paraId="209785B7">
      <w:pPr>
        <w:ind w:firstLine="640" w:firstLineChars="200"/>
        <w:rPr>
          <w:rFonts w:hint="eastAsia" w:ascii="新宋体" w:hAnsi="新宋体" w:eastAsia="新宋体" w:cs="新宋体"/>
          <w:sz w:val="32"/>
          <w:szCs w:val="32"/>
        </w:rPr>
      </w:pPr>
    </w:p>
    <w:p w14:paraId="2826FB3F">
      <w:pPr>
        <w:rPr>
          <w:rFonts w:hint="eastAsia" w:ascii="新宋体" w:hAnsi="新宋体" w:eastAsia="新宋体" w:cs="新宋体"/>
          <w:sz w:val="32"/>
          <w:szCs w:val="32"/>
        </w:rPr>
      </w:pPr>
    </w:p>
    <w:p w14:paraId="7E88C256">
      <w:pPr>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br w:type="page"/>
      </w:r>
    </w:p>
    <w:p w14:paraId="3F4818EF">
      <w:pPr>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附件 2-3</w:t>
      </w:r>
    </w:p>
    <w:p w14:paraId="5F2FFA6B">
      <w:pPr>
        <w:keepNext w:val="0"/>
        <w:keepLines w:val="0"/>
        <w:pageBreakBefore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sz w:val="32"/>
          <w:szCs w:val="32"/>
          <w:lang w:eastAsia="zh-CN"/>
        </w:rPr>
      </w:pPr>
    </w:p>
    <w:p w14:paraId="03970FEA">
      <w:pPr>
        <w:keepNext w:val="0"/>
        <w:keepLines w:val="0"/>
        <w:pageBreakBefore w:val="0"/>
        <w:widowControl w:val="0"/>
        <w:kinsoku/>
        <w:wordWrap/>
        <w:overflowPunct/>
        <w:topLinePunct w:val="0"/>
        <w:autoSpaceDE/>
        <w:autoSpaceDN/>
        <w:bidi w:val="0"/>
        <w:adjustRightInd/>
        <w:snapToGrid/>
        <w:spacing w:after="160" w:line="560"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电动汽车充电桩用电(使用)协议书</w:t>
      </w:r>
    </w:p>
    <w:p w14:paraId="0F27B3BC">
      <w:pPr>
        <w:keepNext w:val="0"/>
        <w:keepLines w:val="0"/>
        <w:pageBreakBefore w:val="0"/>
        <w:widowControl w:val="0"/>
        <w:kinsoku/>
        <w:wordWrap/>
        <w:overflowPunct/>
        <w:topLinePunct w:val="0"/>
        <w:autoSpaceDE/>
        <w:autoSpaceDN/>
        <w:bidi w:val="0"/>
        <w:adjustRightInd/>
        <w:snapToGrid/>
        <w:spacing w:after="160" w:line="560"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(参考范本)</w:t>
      </w:r>
    </w:p>
    <w:p w14:paraId="15CB331D">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p>
    <w:p w14:paraId="31979635">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甲方(小区管理单位)</w:t>
      </w:r>
      <w:r>
        <w:rPr>
          <w:rFonts w:hint="eastAsia" w:ascii="仿宋_GB2312" w:hAnsi="仿宋_GB2312" w:cs="仿宋_GB2312"/>
          <w:b/>
          <w:bCs/>
          <w:sz w:val="32"/>
          <w:szCs w:val="32"/>
          <w:lang w:eastAsia="zh-CN"/>
        </w:rPr>
        <w:t>：</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w:t>
      </w:r>
    </w:p>
    <w:p w14:paraId="7A12B752">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b/>
          <w:bCs/>
          <w:sz w:val="32"/>
          <w:szCs w:val="32"/>
        </w:rPr>
        <w:t>乙方(车位产权人/租赁人)</w:t>
      </w:r>
      <w:r>
        <w:rPr>
          <w:rFonts w:hint="eastAsia" w:ascii="仿宋_GB2312" w:hAnsi="仿宋_GB2312" w:cs="仿宋_GB2312"/>
          <w:b/>
          <w:bCs/>
          <w:sz w:val="32"/>
          <w:szCs w:val="32"/>
          <w:lang w:eastAsia="zh-CN"/>
        </w:rPr>
        <w:t>：</w:t>
      </w:r>
      <w:r>
        <w:rPr>
          <w:rFonts w:hint="eastAsia" w:ascii="仿宋_GB2312" w:hAnsi="仿宋_GB2312" w:eastAsia="仿宋_GB2312" w:cs="仿宋_GB2312"/>
          <w:sz w:val="32"/>
          <w:szCs w:val="32"/>
          <w:u w:val="single"/>
        </w:rPr>
        <w:t xml:space="preserve">                          </w:t>
      </w:r>
    </w:p>
    <w:p w14:paraId="32D4809A">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p>
    <w:p w14:paraId="7BCED780">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为明确甲、乙双方在转供电与使用中的权利和义务、根据乙方电动车充电使用需要</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甲方同意接驳电源</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甲乙双方本着友好协商、自原公平的原则达成如下协议</w:t>
      </w:r>
      <w:r>
        <w:rPr>
          <w:rFonts w:hint="eastAsia" w:ascii="仿宋_GB2312" w:hAnsi="仿宋_GB2312" w:cs="仿宋_GB2312"/>
          <w:sz w:val="32"/>
          <w:szCs w:val="32"/>
          <w:lang w:eastAsia="zh-CN"/>
        </w:rPr>
        <w:t>：</w:t>
      </w:r>
    </w:p>
    <w:p w14:paraId="2FCFB5B0">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一、用电地址</w:t>
      </w:r>
    </w:p>
    <w:p w14:paraId="7490CA39">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用电地址</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u w:val="single"/>
        </w:rPr>
        <w:t xml:space="preserve">                                  </w:t>
      </w:r>
    </w:p>
    <w:p w14:paraId="27AEA828">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二、用电方式及容量</w:t>
      </w:r>
    </w:p>
    <w:p w14:paraId="03DF409A">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(一)甲方仅负责提供电源及电源接驳点</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施工安装由乙方自行负责。乙方电动车充电电压为</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V，总用电容量为</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千瓦,由甲方从例</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***小区7栋负1楼低压配电箱处向乙方提供。</w:t>
      </w:r>
    </w:p>
    <w:p w14:paraId="77427DFF">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乙方只能在甲方指定位置接用电源，自行负责电缆及用电计量装置提供和安装，电缆及用电计量装置必须为合格产品，计量装置同时须经法定检测机构检验合格，电缆应符合电力负荷使用标准，并附检验证明及标志。安装完成后，乙方不得随意更换电表，确需更换时需征得甲方的书面同意。</w:t>
      </w:r>
    </w:p>
    <w:p w14:paraId="047A6089">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(三)乙方在用电施工过程中须接受甲方统一管理，不得随意改动和变更甲方用电线路和设备</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确有需要的，应向甲方提出书面申请，甲方视实际情况及时给予书面回复，乙方须接受甲方的处理结果</w:t>
      </w:r>
      <w:r>
        <w:rPr>
          <w:rFonts w:hint="eastAsia" w:ascii="仿宋_GB2312" w:hAnsi="仿宋_GB2312" w:cs="仿宋_GB2312"/>
          <w:sz w:val="32"/>
          <w:szCs w:val="32"/>
          <w:lang w:eastAsia="zh-CN"/>
        </w:rPr>
        <w:t>。</w:t>
      </w:r>
    </w:p>
    <w:p w14:paraId="7ADB53CF">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(四)乙方为充电设备</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充电设施及相关线路安全责任的第一责任人</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由其自行负责充电设备、设施的管理和使用，若因充电设备、设施的使用给他人造成人身或财产损害</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由乙方依法承担赔偿责任</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由此给甲方设备设施造成损坏的</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乙方应按原值或商定的金额赔偿</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如有其他责任人乙方同意在赔偿后再向其他责任人进行追偿</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乙方购买相关保险的</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乙方与保险公司应按照签订的赔偿条款依法承担赔偿责任。</w:t>
      </w:r>
    </w:p>
    <w:p w14:paraId="001E1F2D">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三、供电设施维护管理责任</w:t>
      </w:r>
    </w:p>
    <w:p w14:paraId="542CFFDA">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(一)管理责任分界点</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按照“谁所有、谁负责”的原则进行供电设施及线路管理、运维责任划分。</w:t>
      </w:r>
    </w:p>
    <w:p w14:paraId="6BC30957">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(二)甲方、乙方分管的供电设施</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除另有约定外</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未经对方同意不得操作和变更。如遇紧急情况必须操作时</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应及时通知对方。</w:t>
      </w:r>
    </w:p>
    <w:p w14:paraId="2414D76C">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(三)在供电设施上发生的法律责任，按供电设施管理责任归属确定。双方应做好各自分管的供电设施的运行维护管理工作，并依法承担相应的责任。</w:t>
      </w:r>
    </w:p>
    <w:p w14:paraId="3E482C06">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(四)乙方日常注意观察充电设施的运行情况，发现问题及时维修</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甲方对充电基础设施建设及使用中的安全隐患有发现、制止、报告的义务。甲方有权检查乙方的用电安全，对乙方有私拉乱接</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违章等现象的下达整改通知并暂停供电</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乙方应在限期内进行整改</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对在规定的时间内拒不整改的</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甲方有权立即上报相关单位。</w:t>
      </w:r>
    </w:p>
    <w:p w14:paraId="0C3E8234">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(五)乙方不再需要使用充电设施时</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应及时拆除充电设施</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如充电设施需拆除或者迁移位置</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乙方须向甲方报备</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到供电营业厅办理相关手续</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聘请有资质的企业进行操作</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监督安全施工</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并接受甲方对施工方的施工资质的核查</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充电设施拆除或者迁移位置的费用由乙方承担</w:t>
      </w:r>
      <w:r>
        <w:rPr>
          <w:rFonts w:hint="eastAsia" w:ascii="仿宋_GB2312" w:hAnsi="仿宋_GB2312" w:cs="仿宋_GB2312"/>
          <w:sz w:val="32"/>
          <w:szCs w:val="32"/>
          <w:lang w:eastAsia="zh-CN"/>
        </w:rPr>
        <w:t>。</w:t>
      </w:r>
    </w:p>
    <w:p w14:paraId="7B22CAC6">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四、用电费用及结算方式</w:t>
      </w:r>
    </w:p>
    <w:p w14:paraId="1E8C6283">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乙方未向电网企业直接报装接电的</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甲方应明确告知用电性质和电价标准</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按计量装置的记录数据向乙方收取费用</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费用收取应符合转供电有关规定</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乙方应于次月底前缴清上月电费</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否则甲方有权按日收取乙方拖欠电费总额的违约金。</w:t>
      </w:r>
    </w:p>
    <w:p w14:paraId="0B4EEC35">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五、其他</w:t>
      </w:r>
    </w:p>
    <w:p w14:paraId="68470287">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(一)乙方应按照规定进行充电设施报装申请，最终通过属地电网企业审核后，乙方才能组织安装单位进场。</w:t>
      </w:r>
    </w:p>
    <w:p w14:paraId="3F871420">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(二)有利害关系业主提出需拆除乙方充电桩时，由乙方负责沟通解决，甲方应协助双方沟通。</w:t>
      </w:r>
    </w:p>
    <w:p w14:paraId="2268FB71">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(三)相关部门认为充电桩不利于本小区的整体安全或发现充电设施存在安全隐患时要求整改</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在整改期间和整改未达标时,甲方有权配合相关部门基于安全角度作出的整改要求，停止充电设施供电</w:t>
      </w:r>
      <w:r>
        <w:rPr>
          <w:rFonts w:hint="eastAsia" w:ascii="仿宋_GB2312" w:hAnsi="仿宋_GB2312" w:cs="仿宋_GB2312"/>
          <w:sz w:val="32"/>
          <w:szCs w:val="32"/>
          <w:lang w:eastAsia="zh-CN"/>
        </w:rPr>
        <w:t>。</w:t>
      </w:r>
    </w:p>
    <w:p w14:paraId="40AFE370">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(四)双方就协议执行存在争议的</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可向仲裁委员会提起仲裁或人民法院提起诉讼</w:t>
      </w:r>
      <w:r>
        <w:rPr>
          <w:rFonts w:hint="eastAsia" w:ascii="仿宋_GB2312" w:hAnsi="仿宋_GB2312" w:cs="仿宋_GB2312"/>
          <w:sz w:val="32"/>
          <w:szCs w:val="32"/>
          <w:lang w:eastAsia="zh-CN"/>
        </w:rPr>
        <w:t>。</w:t>
      </w:r>
    </w:p>
    <w:p w14:paraId="6524886C">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本协议一式叁份，甲方贰份、乙方壹份，具有同等法律效力。</w:t>
      </w:r>
    </w:p>
    <w:p w14:paraId="438FFD84">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p>
    <w:p w14:paraId="4EAC4D6B">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甲方(盖章):</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 xml:space="preserve">         </w:t>
      </w:r>
      <w:r>
        <w:rPr>
          <w:rFonts w:hint="eastAsia" w:ascii="仿宋_GB2312" w:hAnsi="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r>
        <w:rPr>
          <w:rFonts w:hint="eastAsia" w:ascii="仿宋_GB2312" w:hAnsi="仿宋_GB2312" w:cs="仿宋_GB2312"/>
          <w:sz w:val="32"/>
          <w:szCs w:val="32"/>
          <w:lang w:val="en-US" w:eastAsia="zh-CN"/>
        </w:rPr>
        <w:t xml:space="preserve"> </w:t>
      </w:r>
      <w:r>
        <w:rPr>
          <w:rFonts w:hint="eastAsia" w:ascii="仿宋_GB2312" w:hAnsi="仿宋_GB2312" w:eastAsia="仿宋_GB2312" w:cs="仿宋_GB2312"/>
          <w:sz w:val="16"/>
          <w:szCs w:val="16"/>
        </w:rPr>
        <w:t xml:space="preserve"> </w:t>
      </w:r>
      <w:r>
        <w:rPr>
          <w:rFonts w:hint="eastAsia" w:ascii="仿宋_GB2312" w:hAnsi="仿宋_GB2312" w:eastAsia="仿宋_GB2312" w:cs="仿宋_GB2312"/>
          <w:sz w:val="32"/>
          <w:szCs w:val="32"/>
        </w:rPr>
        <w:t>乙方:</w:t>
      </w:r>
      <w:r>
        <w:rPr>
          <w:rFonts w:hint="eastAsia" w:ascii="仿宋_GB2312" w:hAnsi="仿宋_GB2312" w:eastAsia="仿宋_GB2312" w:cs="仿宋_GB2312"/>
          <w:sz w:val="32"/>
          <w:szCs w:val="32"/>
        </w:rPr>
        <w:tab/>
      </w:r>
    </w:p>
    <w:p w14:paraId="0935EA34">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p>
    <w:p w14:paraId="5303D5D4">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经办人:             </w:t>
      </w:r>
      <w:r>
        <w:rPr>
          <w:rFonts w:hint="eastAsia" w:ascii="仿宋_GB2312" w:hAnsi="仿宋_GB2312" w:eastAsia="仿宋_GB2312" w:cs="仿宋_GB2312"/>
          <w:sz w:val="32"/>
          <w:szCs w:val="32"/>
        </w:rPr>
        <w:tab/>
      </w:r>
      <w:r>
        <w:rPr>
          <w:rFonts w:hint="eastAsia" w:ascii="仿宋_GB2312" w:hAnsi="仿宋_GB2312" w:cs="仿宋_GB2312"/>
          <w:sz w:val="32"/>
          <w:szCs w:val="32"/>
          <w:lang w:val="en-US" w:eastAsia="zh-CN"/>
        </w:rPr>
        <w:t xml:space="preserve">  </w:t>
      </w:r>
      <w:r>
        <w:rPr>
          <w:rFonts w:hint="eastAsia" w:ascii="仿宋_GB2312" w:hAnsi="仿宋_GB2312" w:eastAsia="仿宋_GB2312" w:cs="仿宋_GB2312"/>
          <w:sz w:val="32"/>
          <w:szCs w:val="32"/>
        </w:rPr>
        <w:t>身份证号:</w:t>
      </w:r>
      <w:r>
        <w:rPr>
          <w:rFonts w:hint="eastAsia" w:ascii="仿宋_GB2312" w:hAnsi="仿宋_GB2312" w:eastAsia="仿宋_GB2312" w:cs="仿宋_GB2312"/>
          <w:sz w:val="32"/>
          <w:szCs w:val="32"/>
        </w:rPr>
        <w:tab/>
      </w:r>
    </w:p>
    <w:p w14:paraId="2F2270E5">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p>
    <w:p w14:paraId="3957602F">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 xml:space="preserve">           </w:t>
      </w:r>
      <w:r>
        <w:rPr>
          <w:rFonts w:hint="eastAsia" w:ascii="仿宋_GB2312" w:hAnsi="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r>
        <w:rPr>
          <w:rFonts w:hint="eastAsia" w:ascii="仿宋_GB2312" w:hAnsi="仿宋_GB2312" w:cs="仿宋_GB2312"/>
          <w:sz w:val="32"/>
          <w:szCs w:val="32"/>
          <w:lang w:val="en-US" w:eastAsia="zh-CN"/>
        </w:rPr>
        <w:t xml:space="preserve">  </w:t>
      </w:r>
      <w:r>
        <w:rPr>
          <w:rFonts w:hint="eastAsia" w:ascii="仿宋_GB2312" w:hAnsi="仿宋_GB2312" w:cs="仿宋_GB2312"/>
          <w:sz w:val="21"/>
          <w:szCs w:val="21"/>
          <w:lang w:val="en-US" w:eastAsia="zh-CN"/>
        </w:rPr>
        <w:t xml:space="preserve"> </w:t>
      </w:r>
      <w:r>
        <w:rPr>
          <w:rFonts w:hint="eastAsia" w:ascii="仿宋_GB2312" w:hAnsi="仿宋_GB2312" w:eastAsia="仿宋_GB2312" w:cs="仿宋_GB2312"/>
          <w:sz w:val="32"/>
          <w:szCs w:val="32"/>
        </w:rPr>
        <w:t>联系电话:</w:t>
      </w:r>
      <w:r>
        <w:rPr>
          <w:rFonts w:hint="eastAsia" w:ascii="仿宋_GB2312" w:hAnsi="仿宋_GB2312" w:eastAsia="仿宋_GB2312" w:cs="仿宋_GB2312"/>
          <w:sz w:val="32"/>
          <w:szCs w:val="32"/>
        </w:rPr>
        <w:tab/>
      </w:r>
    </w:p>
    <w:p w14:paraId="3E175B50">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p>
    <w:p w14:paraId="00F16BC5">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 xml:space="preserve"> 年  月  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 xml:space="preserve"> </w:t>
      </w:r>
      <w:r>
        <w:rPr>
          <w:rFonts w:hint="eastAsia" w:ascii="仿宋_GB2312" w:hAnsi="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r>
        <w:rPr>
          <w:rFonts w:hint="eastAsia" w:ascii="仿宋_GB2312" w:hAnsi="仿宋_GB2312" w:cs="仿宋_GB2312"/>
          <w:sz w:val="32"/>
          <w:szCs w:val="32"/>
          <w:lang w:val="en-US" w:eastAsia="zh-CN"/>
        </w:rPr>
        <w:t xml:space="preserve">  </w:t>
      </w:r>
      <w:r>
        <w:rPr>
          <w:rFonts w:hint="eastAsia" w:ascii="仿宋_GB2312" w:hAnsi="仿宋_GB2312" w:eastAsia="仿宋_GB2312" w:cs="仿宋_GB2312"/>
          <w:sz w:val="32"/>
          <w:szCs w:val="32"/>
        </w:rPr>
        <w:t>日期:</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 xml:space="preserve"> 年  月  日</w:t>
      </w:r>
    </w:p>
    <w:p w14:paraId="17CC3DE9">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rPr>
      </w:pPr>
    </w:p>
    <w:p w14:paraId="729CCAAA">
      <w:pP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br w:type="page"/>
      </w:r>
    </w:p>
    <w:p w14:paraId="32FF13B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附件3</w:t>
      </w:r>
    </w:p>
    <w:p w14:paraId="0A8433B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sz w:val="32"/>
          <w:szCs w:val="32"/>
          <w:lang w:val="en-US" w:eastAsia="zh-CN"/>
        </w:rPr>
      </w:pPr>
    </w:p>
    <w:p w14:paraId="2E981C1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昌吉州居民小区电动汽车充电设施</w:t>
      </w:r>
    </w:p>
    <w:p w14:paraId="2FCBCCC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424242"/>
          <w:kern w:val="0"/>
          <w:sz w:val="44"/>
          <w:szCs w:val="44"/>
          <w:lang w:val="en-US" w:eastAsia="zh-CN" w:bidi="ar-SA"/>
        </w:rPr>
      </w:pPr>
      <w:r>
        <w:rPr>
          <w:rFonts w:hint="eastAsia" w:ascii="方正小标宋简体" w:hAnsi="方正小标宋简体" w:eastAsia="方正小标宋简体" w:cs="方正小标宋简体"/>
          <w:b/>
          <w:bCs/>
          <w:sz w:val="44"/>
          <w:szCs w:val="44"/>
        </w:rPr>
        <w:t>技术规定</w:t>
      </w:r>
      <w:r>
        <w:rPr>
          <w:rFonts w:hint="eastAsia" w:ascii="方正小标宋简体" w:hAnsi="方正小标宋简体" w:eastAsia="方正小标宋简体" w:cs="方正小标宋简体"/>
          <w:b/>
          <w:bCs/>
          <w:sz w:val="44"/>
          <w:szCs w:val="44"/>
          <w:lang w:val="en-US" w:eastAsia="zh-CN"/>
        </w:rPr>
        <w:t>(试行)</w:t>
      </w:r>
    </w:p>
    <w:p w14:paraId="38131A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p>
    <w:p w14:paraId="3C3812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黑体" w:hAnsi="黑体" w:eastAsia="黑体" w:cs="黑体"/>
          <w:color w:val="424242"/>
          <w:kern w:val="0"/>
          <w:sz w:val="32"/>
          <w:szCs w:val="32"/>
          <w:lang w:val="en-US" w:eastAsia="zh-CN" w:bidi="ar-SA"/>
        </w:rPr>
        <w:t>一、总则</w:t>
      </w:r>
    </w:p>
    <w:p w14:paraId="17D527B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本文件规定了全州居民小区电动汽车充电设施的设备、建设安装、运行维护等相关的技术要求及管理要求。</w:t>
      </w:r>
    </w:p>
    <w:p w14:paraId="722D902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424242"/>
          <w:kern w:val="0"/>
          <w:sz w:val="32"/>
          <w:szCs w:val="32"/>
          <w:lang w:val="en-US" w:eastAsia="zh-CN" w:bidi="ar-SA"/>
        </w:rPr>
      </w:pPr>
      <w:r>
        <w:rPr>
          <w:rFonts w:hint="eastAsia" w:ascii="黑体" w:hAnsi="黑体" w:eastAsia="黑体" w:cs="黑体"/>
          <w:color w:val="424242"/>
          <w:kern w:val="0"/>
          <w:sz w:val="32"/>
          <w:szCs w:val="32"/>
          <w:lang w:val="en-US" w:eastAsia="zh-CN" w:bidi="ar-SA"/>
        </w:rPr>
        <w:t>二、规范性引用文件</w:t>
      </w:r>
    </w:p>
    <w:p w14:paraId="12CD4AA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10CE18D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 GB/T 18487.1 电动汽车传导充电系统第1部分：通用要求</w:t>
      </w:r>
    </w:p>
    <w:p w14:paraId="28F968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 GB/T 18487.2 电动汽车传导充电系统第2部分：非车载传导供电设备电磁兼容要求</w:t>
      </w:r>
    </w:p>
    <w:p w14:paraId="56F867B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 GB/T 34657.1 电动汽车传导充电互操作性测试规范第1部分：供电设备</w:t>
      </w:r>
    </w:p>
    <w:p w14:paraId="57B8F4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 GB/T 34658 电动汽车非车载传导式充电机与电池管理系统之间的通信协议一致性测试</w:t>
      </w:r>
    </w:p>
    <w:p w14:paraId="366A01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 GB/T 20234.1 电动汽车传导充电用连接装置第1部分：通用要求</w:t>
      </w:r>
    </w:p>
    <w:p w14:paraId="325DBD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 GB/T 20234.2 电动汽车传导充电用连接装置第2部分：交流充电接口</w:t>
      </w:r>
    </w:p>
    <w:p w14:paraId="315DED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 GB/T 20234.3 电动汽车传导充电用连接装置第3部分：直流充电接口</w:t>
      </w:r>
    </w:p>
    <w:p w14:paraId="36DEE02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 GB/T 27930 电动汽车非车载传导式充电机与电池管理系统之间的通信协议</w:t>
      </w:r>
    </w:p>
    <w:p w14:paraId="6D86DC3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 GB/T 29317 电动汽车充换电设施术语</w:t>
      </w:r>
    </w:p>
    <w:p w14:paraId="70E33E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 GB/T 29781 电动汽车充电站通用要求</w:t>
      </w:r>
    </w:p>
    <w:p w14:paraId="4BC5B5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 GB/T 31525 图形标志电动汽车充换电设施标志</w:t>
      </w:r>
    </w:p>
    <w:p w14:paraId="48330CC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 NB/T 33001 电动汽车非车载传导式充电机技术条件</w:t>
      </w:r>
    </w:p>
    <w:p w14:paraId="7EAD6A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 NB/T 33002 电动汽车交流充电桩技术条件</w:t>
      </w:r>
    </w:p>
    <w:p w14:paraId="1FB40E7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 NB/T 33008.1 电动汽车充电设备检验试验规范第1部分：非车载充电机</w:t>
      </w:r>
    </w:p>
    <w:p w14:paraId="388901A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 NB/T 33008.2 电动汽车充电设备检验试验规范第2部分：交流充电桩</w:t>
      </w:r>
    </w:p>
    <w:p w14:paraId="740F2A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 NB/T 33004 电动汽车充换电设施工程施工和竣工验收规范</w:t>
      </w:r>
    </w:p>
    <w:p w14:paraId="26B3EDC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 JG 1148-2022 电动汽车交流充电桩（试行）</w:t>
      </w:r>
    </w:p>
    <w:p w14:paraId="2E0F23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 JJG 1149-2022 电动汽车非车载充电机（试行）</w:t>
      </w:r>
    </w:p>
    <w:p w14:paraId="456EE66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 xml:space="preserve">• </w:t>
      </w:r>
      <w:r>
        <w:rPr>
          <w:rFonts w:hint="eastAsia" w:ascii="仿宋_GB2312" w:hAnsi="仿宋_GB2312" w:eastAsia="仿宋_GB2312" w:cs="仿宋_GB2312"/>
          <w:color w:val="424242"/>
          <w:sz w:val="32"/>
          <w:szCs w:val="32"/>
        </w:rPr>
        <w:t>GB/T50966-2024</w:t>
      </w:r>
      <w:r>
        <w:rPr>
          <w:rFonts w:hint="eastAsia" w:ascii="仿宋_GB2312" w:hAnsi="仿宋_GB2312" w:eastAsia="仿宋_GB2312" w:cs="仿宋_GB2312"/>
          <w:color w:val="424242"/>
          <w:sz w:val="32"/>
          <w:szCs w:val="32"/>
          <w:lang w:val="en-US" w:eastAsia="zh-CN"/>
        </w:rPr>
        <w:t xml:space="preserve"> </w:t>
      </w:r>
      <w:r>
        <w:rPr>
          <w:rFonts w:hint="eastAsia" w:ascii="仿宋_GB2312" w:hAnsi="仿宋_GB2312" w:eastAsia="仿宋_GB2312" w:cs="仿宋_GB2312"/>
          <w:color w:val="424242"/>
          <w:sz w:val="32"/>
          <w:szCs w:val="32"/>
        </w:rPr>
        <w:t>电动汽车充电站设计标准</w:t>
      </w:r>
    </w:p>
    <w:p w14:paraId="499510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424242"/>
          <w:kern w:val="0"/>
          <w:sz w:val="32"/>
          <w:szCs w:val="32"/>
          <w:lang w:val="en-US" w:eastAsia="zh-CN" w:bidi="ar-SA"/>
        </w:rPr>
      </w:pPr>
      <w:r>
        <w:rPr>
          <w:rFonts w:hint="eastAsia" w:ascii="黑体" w:hAnsi="黑体" w:eastAsia="黑体" w:cs="黑体"/>
          <w:color w:val="424242"/>
          <w:kern w:val="0"/>
          <w:sz w:val="32"/>
          <w:szCs w:val="32"/>
          <w:lang w:val="en-US" w:eastAsia="zh-CN" w:bidi="ar-SA"/>
        </w:rPr>
        <w:t>三、术语和定义</w:t>
      </w:r>
    </w:p>
    <w:p w14:paraId="08E4A0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3.1充电设施（Charging infrastructure）</w:t>
      </w:r>
    </w:p>
    <w:p w14:paraId="3EF89B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采用整车充电方式为电动汽车提供电能的相关设施的总称。注：由于居民小区停车位特殊性，结合分散充电设施定义，本文所述充电设施均属于分散充电设施。</w:t>
      </w:r>
    </w:p>
    <w:p w14:paraId="5B26617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[来源：GB/T 29317-2021，3.1.1]</w:t>
      </w:r>
    </w:p>
    <w:p w14:paraId="36E926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3.2分散充电设施（Dispersal charging infrastructure）</w:t>
      </w:r>
    </w:p>
    <w:p w14:paraId="3F8AC6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结合用户居住停车位、单位停车场、公共建筑物停车场、社会公共停车场、路内临时停车位等配建的为电动汽车提供电能的设施，包括充电设备、供电系统、配套设施等。</w:t>
      </w:r>
    </w:p>
    <w:p w14:paraId="6BF065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[来源：GB/T 51313-2018，2.0.1]</w:t>
      </w:r>
    </w:p>
    <w:p w14:paraId="373A17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3.3充电系统（Charging systems）</w:t>
      </w:r>
    </w:p>
    <w:p w14:paraId="118392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由充电站内的所有充电设备、电缆及相关辅助设备组成的系统。</w:t>
      </w:r>
    </w:p>
    <w:p w14:paraId="16933FE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[来源：GB/T 29317-2021，7.2]</w:t>
      </w:r>
    </w:p>
    <w:p w14:paraId="3CCB3A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3.4充电设备（Charging equipment）</w:t>
      </w:r>
    </w:p>
    <w:p w14:paraId="2D7B02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以传导与电动汽车连接，为其提供电能的设备，包括交流充电桩和非车载充电机。</w:t>
      </w:r>
    </w:p>
    <w:p w14:paraId="661E04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3.5交流充电桩（AC Charging spot）</w:t>
      </w:r>
    </w:p>
    <w:p w14:paraId="4CA848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采用传导方式为具有车载充电机的电动汽车提供交流电源的专用供电装置。</w:t>
      </w:r>
    </w:p>
    <w:p w14:paraId="69DB16F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[来源：GB/T 29317-2021，5.3]</w:t>
      </w:r>
    </w:p>
    <w:p w14:paraId="34DD665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3.6非车载充电机（Off-board charger）</w:t>
      </w:r>
    </w:p>
    <w:p w14:paraId="6E8AEC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固定连接至交流或直流电源，并将其电能转化为直流电能，采用传导方式为电动汽车动力蓄电池充电的专用装置。注：俗称直流充电机。</w:t>
      </w:r>
    </w:p>
    <w:p w14:paraId="65EA12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[来源：GB/T 29317-2021，5.1]</w:t>
      </w:r>
    </w:p>
    <w:p w14:paraId="4BF1C2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3.7供电系统（Power supply system）</w:t>
      </w:r>
    </w:p>
    <w:p w14:paraId="1E8C96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为充电设施提供电源的电力设备和配电线路的总称。</w:t>
      </w:r>
    </w:p>
    <w:p w14:paraId="649FC87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3.8电源接入点（Power point of access）</w:t>
      </w:r>
    </w:p>
    <w:p w14:paraId="277952D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包括配电室或箱变低压母线出线处、配电箱出线处及其他可为充电设施提供电源的出线处。</w:t>
      </w:r>
    </w:p>
    <w:p w14:paraId="1E700B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3.9充电运营管理平台（Charging operation management platform）</w:t>
      </w:r>
    </w:p>
    <w:p w14:paraId="56889F9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具备计费、调度等营运功能，基于网络云端数据平台负责与充电基础设施通讯，实时获取和记录充电设备状态信息的同时并对充电设备进行操作的网络平台。</w:t>
      </w:r>
    </w:p>
    <w:p w14:paraId="566630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3.10电力负荷监控平台（Power load monitoring platform）</w:t>
      </w:r>
    </w:p>
    <w:p w14:paraId="6FE97A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监测充电运营管理平台上传的负荷数据，并向充电运营管理平台下发负荷调度指令。</w:t>
      </w:r>
    </w:p>
    <w:p w14:paraId="45CF07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3.11负荷调度（Load management）</w:t>
      </w:r>
    </w:p>
    <w:p w14:paraId="4DD75A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根据系统运行情况，为保证系统稳定可靠运行，实时进行的充电系统输出功率调整的控制管理方式。</w:t>
      </w:r>
    </w:p>
    <w:p w14:paraId="485FD0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3.12有序充电（Orderly charging）</w:t>
      </w:r>
    </w:p>
    <w:p w14:paraId="39FAED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通过运用技术措施进行引导和协调，按照一定策略对电动汽车进行充电。</w:t>
      </w:r>
    </w:p>
    <w:p w14:paraId="76C9F21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[来源：GB/T 29317-2021，10.2]</w:t>
      </w:r>
    </w:p>
    <w:p w14:paraId="03B2E6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3.13所有权人</w:t>
      </w:r>
    </w:p>
    <w:p w14:paraId="39BC18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依法享有充电设施所有权，对充电设施享有占有、使用、收益和处置权利的主体。</w:t>
      </w:r>
    </w:p>
    <w:p w14:paraId="418874D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3.14受托管理人</w:t>
      </w:r>
    </w:p>
    <w:p w14:paraId="49F74B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接受所有权人的委托，承担电动汽车充电设施维护管理的专业机构，包括但不限于符合条件的充电运营企业、物业服务人等。</w:t>
      </w:r>
    </w:p>
    <w:p w14:paraId="1FBA47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3.15物业服务人</w:t>
      </w:r>
    </w:p>
    <w:p w14:paraId="7DE493F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包括物业服务企业和其他管理人。</w:t>
      </w:r>
    </w:p>
    <w:p w14:paraId="43703CC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黑体" w:hAnsi="黑体" w:eastAsia="黑体" w:cs="黑体"/>
          <w:color w:val="424242"/>
          <w:kern w:val="0"/>
          <w:sz w:val="32"/>
          <w:szCs w:val="32"/>
          <w:lang w:val="en-US" w:eastAsia="zh-CN" w:bidi="ar-SA"/>
        </w:rPr>
        <w:t>四、技术要求</w:t>
      </w:r>
    </w:p>
    <w:p w14:paraId="209B895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4.1基本要求</w:t>
      </w:r>
    </w:p>
    <w:p w14:paraId="04E7F4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4.1.1 充电设施按服务对象特征可分为：</w:t>
      </w:r>
    </w:p>
    <w:p w14:paraId="2C4EDD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 自用充电设施，指专为某个特定个体用户提供充电服务的充电设施。</w:t>
      </w:r>
    </w:p>
    <w:p w14:paraId="620304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 公用充电设施，指不专为某个特定个体用户提供充电服务的充电设施。</w:t>
      </w:r>
    </w:p>
    <w:p w14:paraId="4BF885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4.1.2 充电设备应采用节能、环保、免维护或少维护的新技术、新设备和新材料，严禁使用国家和地方明令禁止或淘汰的技术和产品。</w:t>
      </w:r>
    </w:p>
    <w:p w14:paraId="35F478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4.1.3 充电设备应选用获得相应资质的第三方检验机构检验合格的产品，应按法律法规的要求取得强制性认证或型式试验报告。</w:t>
      </w:r>
    </w:p>
    <w:p w14:paraId="47B16CE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4.1.4 充电设施应能提供安全的电动汽车充电环境，并在充电过程中监控充电设备及条件允许时监控充电车辆安全。</w:t>
      </w:r>
    </w:p>
    <w:p w14:paraId="43EC571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4.1.5 充电设备应符合《电动车辆传导充电系统》GB/T 18487和《电动汽车传导用连接装置》GB/T 20234等的规定。</w:t>
      </w:r>
    </w:p>
    <w:p w14:paraId="5BAE620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4.1.6 充电运营企业应设置充电运营管理平台对充电设备进行管理，平台要求应满足4.5节的规定。</w:t>
      </w:r>
    </w:p>
    <w:p w14:paraId="18E9D66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4.1.7 充电设施应采用有序充电方式进行管理。</w:t>
      </w:r>
    </w:p>
    <w:p w14:paraId="7E60E46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4.1.8电气设备的布置应遵循安全、可靠、适用的原则，并便于安装、操作、搬运、检修、调试。</w:t>
      </w:r>
    </w:p>
    <w:p w14:paraId="677E994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4.2 充电设备要求</w:t>
      </w:r>
    </w:p>
    <w:p w14:paraId="2A34A25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4.2.1充电设备应能够实时接收并快速响应充电运营管理平台下发的有序充电指令或措施，机动调整充电时序和输出功率，实现有序充电。</w:t>
      </w:r>
    </w:p>
    <w:p w14:paraId="29110E2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4.2.2充电设备应具备即时启动充电、定时启动充电、唤醒车辆、调节功率、停止充电等功能，支持本地和远程两种控制方式。</w:t>
      </w:r>
    </w:p>
    <w:p w14:paraId="1056B4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4.2.3充电设备应具备本机异常检测功能，并能够将异常情况上传至充电运营管理平台。</w:t>
      </w:r>
    </w:p>
    <w:p w14:paraId="1EAA647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4.2.4充电设备应具备将本机的充电电流、电压、功率及充电业务数据（如充电开始和停止事件）等信息实时上传到充电运营管理平台的功能。</w:t>
      </w:r>
    </w:p>
    <w:p w14:paraId="12B612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4.2.5充电设备应具备过压、欠压、过电流和短路保护等监测功能，对充电过程中的异常事件、通信故障等进行识别记录，并上传至充电运营管理平台。</w:t>
      </w:r>
    </w:p>
    <w:p w14:paraId="7C8A9FF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4.2.6充电设备应响应充电运营管理平台下发的有序充电策略，响应时间应≤60秒。</w:t>
      </w:r>
    </w:p>
    <w:p w14:paraId="6FF4384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4.2.7非车载充电机与电动汽车之间的通信协议除应将GB/T 27930-2015标准中规定的必选字段上传外，还应包含如下字段：车辆识别码（VIN）、最低单体动力蓄电池电压及编号、电池加热状态、电池冷却状态、电池内阻、电池容量、车辆公告型号。</w:t>
      </w:r>
    </w:p>
    <w:p w14:paraId="27F9981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4.2.8鼓励采用智能有序调度等新技术，充分利用小区剩余电力变配容量。</w:t>
      </w:r>
    </w:p>
    <w:p w14:paraId="31AD27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4.2.9交流充电桩功能要求：</w:t>
      </w:r>
    </w:p>
    <w:p w14:paraId="5996CE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1.功率调节功能：交流有序充电桩按照功率调节需求，调节控制导引电路输出PWM信号占空比，通过电动汽车车载充电机调整输出电流，实现输出功率调节功能。</w:t>
      </w:r>
    </w:p>
    <w:p w14:paraId="540ECB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2.启停控制功能：交流有序充电桩接收到启停控制命令后，执行即时启动充电、停止充电等操作。</w:t>
      </w:r>
    </w:p>
    <w:p w14:paraId="479E400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3.定时控制功能：交流有序充电桩应具备实时时钟和对时功能，支持用户本地或远程实现定时启动和输出功率定时自动调整。</w:t>
      </w:r>
    </w:p>
    <w:p w14:paraId="39934EC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4.唤醒功能：在交流充电桩与电动汽车处于完全连接状态下，采用如下方法实现唤醒功能：</w:t>
      </w:r>
    </w:p>
    <w:p w14:paraId="5BCF42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 交流充电桩唤醒休眠状态的电动汽车：交流充电桩通过控制导引电路输出PWM信号，从“状态1”变为“状态2”；处于休眠状态的电动汽车在检测到该信号后，应闭合开关S2，实现电动汽车的唤醒。</w:t>
      </w:r>
    </w:p>
    <w:p w14:paraId="203DF3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 交流充电桩确认电动汽车唤醒状态：交流有序充电桩处于“状态2”下，当检测到电动汽车闭合开关S2（电动汽车被唤醒），应继续输出PWM信号，并在3秒内导通交流供电回路。</w:t>
      </w:r>
    </w:p>
    <w:p w14:paraId="1F41F38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 休眠状态的交流充电桩被电动汽车唤醒：处于休眠状态的交流充电桩在检测到电动汽车开关S2闭合（“状态2”转为“状态3”）后，应输出PWM信号并进入充电状态，实现交流充电桩的唤醒。</w:t>
      </w:r>
    </w:p>
    <w:p w14:paraId="6BD2219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5.交流有序充电桩的控制导引电路输出PWM信号可调节步长应不小于PWM信号周期的1%，PWM信号输出占空比公差应满足GB/T 18487.1中相关要求。</w:t>
      </w:r>
    </w:p>
    <w:p w14:paraId="6127A3C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4.2.10非车载充电机功能要求：</w:t>
      </w:r>
    </w:p>
    <w:p w14:paraId="64CF5A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1.功率调节功能：非车载充电机按照充电机最大输出能力、车辆需求和功率调节指令等信息调整输出电压和电流参数，实现输出功率调节功能。</w:t>
      </w:r>
    </w:p>
    <w:p w14:paraId="0475A0F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2.启停控制功能：非车载充电机接收到启停控制命令后，执行即时启动充电、停止充电等操作。</w:t>
      </w:r>
    </w:p>
    <w:p w14:paraId="259547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3.定时控制功能：非车载充电机应具备实时时钟和对时功能，支持用户本地或远程实现定时启动和输出功率定时自动调整。</w:t>
      </w:r>
    </w:p>
    <w:p w14:paraId="44A353C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4.唤醒功能：</w:t>
      </w:r>
    </w:p>
    <w:p w14:paraId="1147F3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 对于GB/T 20234.3充电接口，非车载充电机控制低压辅助供电回路分断10秒以上再导通，并启动数字通信，实现唤醒休眠的电动汽车。</w:t>
      </w:r>
    </w:p>
    <w:p w14:paraId="4C8F8A4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 对于GB/T 20234.4充电接口，非车载充电机通过GB/T 18487.1-20XX中C.4.2.1规定的车辆唤醒方式实现唤醒休眠的电动汽车。</w:t>
      </w:r>
    </w:p>
    <w:p w14:paraId="75306C4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5.非车载充电机的稳流精度、稳压精度、输出电流设定误差、输出电压设定误差等技术指标应满足NB/T 33001中相关要求。在额定输出功率20%～100%范围内且输出电流设定值≥30A时，输出功率误差应不超过设定输出功率±2%。</w:t>
      </w:r>
    </w:p>
    <w:p w14:paraId="2AFE82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4.3 供电系统</w:t>
      </w:r>
    </w:p>
    <w:p w14:paraId="20E996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4.3.1居民小区应为电动汽车充电设施设置专用的供电回路。</w:t>
      </w:r>
    </w:p>
    <w:p w14:paraId="4598359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4.3.2供电系统的设计，除应符合本指引外，还应符合现行国家标准GB/T 51313《电动汽车分散充电设施工程技术标准》、GB 50052《供配电系统设计规范》、GB 50053《20kV及以下变电所设计规范》、GB 50054《低压配电设计规范》的有关规定。</w:t>
      </w:r>
    </w:p>
    <w:p w14:paraId="78D926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4.4 计量计费系统</w:t>
      </w:r>
    </w:p>
    <w:p w14:paraId="7A9893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4.4.1充电设备的电能计量计费应包括两部分：充电设备和电源提供单位之间的计量计费、充电设备和电动汽车之间的电量和服务费用结算计量。</w:t>
      </w:r>
    </w:p>
    <w:p w14:paraId="458D6C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4.4.2充电设备与电力部门之间的计量计费由供电单位按照国家的标准和供电单位的要求实施。</w:t>
      </w:r>
    </w:p>
    <w:p w14:paraId="34C9D1D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4.4.3用于贸易结算的充电设备应由充电设备所在区（市、县）人民政府计量行政部门指定的具有计量检定资质的计量检定机构按照JJG 1148或JJG 1149要求开展强制检定，经检定合格后方可使用，并实行周期检定。</w:t>
      </w:r>
    </w:p>
    <w:p w14:paraId="5B34D5A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4.5 充电运营管理平台</w:t>
      </w:r>
    </w:p>
    <w:p w14:paraId="739D3D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4.5.1 基本要求</w:t>
      </w:r>
    </w:p>
    <w:p w14:paraId="090327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a)充电运营管理平台宜支持各类充电启动方式，包括但不限于移动客户端扫码、刷卡、车充识别、有序充电等。</w:t>
      </w:r>
    </w:p>
    <w:p w14:paraId="0180397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b)充电运营管理平台应具备在线充值支付功能，支持移动支付、银联卡等支付方式。</w:t>
      </w:r>
    </w:p>
    <w:p w14:paraId="369C73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c)充电运营管理平台应支持峰谷计量、计费，支持定制化计费策略。</w:t>
      </w:r>
    </w:p>
    <w:p w14:paraId="73E2416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d)充电运营管理平台应具备完善的财务管理，支持充值、退款、对账、记账和报表分析等功能。</w:t>
      </w:r>
    </w:p>
    <w:p w14:paraId="79EB1D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e)充电运营管理平台应符合T/CEC 102.1《电动汽车充换电服务信息交换》标准，满足符合该标准的不同充电运营企业、不同区域的充电服务设施、第三方平台之间的信息交换和互联互通。</w:t>
      </w:r>
    </w:p>
    <w:p w14:paraId="69CD7E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f)充电运营管理平台应按照政府监管平台的要求上传充电设施的基本信息，包括但不限于名称、地址、经纬度、上线运营时间、联系人、总功率、充电机工作状态、充电枪状态、充电状态、输入电压/电流/功率、输出电压/电流/功率、停止充电原因、故障信息等。</w:t>
      </w:r>
    </w:p>
    <w:p w14:paraId="75B09C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g)充电运营管理平台应具备充电记录统计功能。充电记录应包括订单编号、电站编号、电站名称、终端名称、运营公司、电站类型、场站类型、收费标准、结算公司、充电开始、结束时间、充电电量、订单费用、订单状态等信息。</w:t>
      </w:r>
    </w:p>
    <w:p w14:paraId="62E51FD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4.5.2 有序管理</w:t>
      </w:r>
    </w:p>
    <w:p w14:paraId="043DC3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a)充电运营管理平台应具备记录系统内任何操作记录的日志功能。</w:t>
      </w:r>
    </w:p>
    <w:p w14:paraId="1E9BEC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b)充电运营管理平台应能接收电力负荷监控平台下发的负荷调控指令，并制定有序充电策略下发至充电设备进行响应。</w:t>
      </w:r>
    </w:p>
    <w:p w14:paraId="2022D1E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c)充电运营管理平台应具备远程启动和停止充电的功能。</w:t>
      </w:r>
    </w:p>
    <w:p w14:paraId="1FAAFE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d)充电运营管理平台应响应电力负荷监控平台下发的有序充电策略，响应时间应不大于15分钟。</w:t>
      </w:r>
    </w:p>
    <w:p w14:paraId="7BF91B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e)充电运营管理平台应具备将有序充电运行数据传至政府监管平台的功能。</w:t>
      </w:r>
    </w:p>
    <w:p w14:paraId="4B53A2F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f)充电运营管理平台应具有对电网运行需求、电动汽车用户有序充电需求等信息反馈的功能。</w:t>
      </w:r>
    </w:p>
    <w:p w14:paraId="08A3CF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g)充电运营管理平台应具有根据电网功率调节需求或价格信息、充电设备运行信息、车辆状态信息、充电负荷预测信息等生成有序充电控制策略的功能。</w:t>
      </w:r>
    </w:p>
    <w:p w14:paraId="472E9A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h)充电运营管理平台应具有对有序充电设备进行远程启停控制和输出功率调整的功能。</w:t>
      </w:r>
    </w:p>
    <w:p w14:paraId="3587C4C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i)充电运营管理平台应具有有序充电控制策略下发和效果评估的功能。</w:t>
      </w:r>
    </w:p>
    <w:p w14:paraId="58997E7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j)充电运营管理平台应具有实时获取充电负荷、充电电量、充电电流、车辆状态等信息的功能。</w:t>
      </w:r>
    </w:p>
    <w:p w14:paraId="38C480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4.5.3 安全要求</w:t>
      </w:r>
    </w:p>
    <w:p w14:paraId="09591E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a)充电运营管理平台应具备安全预警功能，能以包括但不限于充电用户端/短信/邮件等方式发送预警通知至用户。</w:t>
      </w:r>
    </w:p>
    <w:p w14:paraId="02D7AA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b)充电运营管理平台应具备与充电设施通信链路加密的功能。</w:t>
      </w:r>
    </w:p>
    <w:p w14:paraId="30A9F3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c)充电运营管理平台应具备数据备份和恢复功能，存储时间不低于5年。</w:t>
      </w:r>
    </w:p>
    <w:p w14:paraId="553BA9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d)充电运营管理平台可靠性应达到99.9%，提供7天×24小时的连续运行保障，平均无故障运行时间大于2000小时，平均故障修复时间小于2小时，接收充电设备数据成功率≥95%。</w:t>
      </w:r>
    </w:p>
    <w:p w14:paraId="651005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e)充电运营管理平台应具备实时监控动力电池状态的功能，对异常情况及时停止充电并发出告警，异常情况包含但不限于：输出电压大于车辆电池最高允许总电压、电池最高温度大于电池最高允许温度、电池短时间温升过快、同一时刻电池不同部位温差过大、电池单体电压超过最高允许电压、电池压差超过允许值。</w:t>
      </w:r>
    </w:p>
    <w:p w14:paraId="5221F1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f)充电运营管理平台应具备车辆动力电池故障诊断分析功能，根据收集的车辆动力电池数据对火灾风险进行分析研判及监测预警，对识别到的故障车辆采取预警和限制充电等火灾防控措施。</w:t>
      </w:r>
    </w:p>
    <w:p w14:paraId="5BCF10A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g)充电运营管理平台的信息安全防护应遵循NB/T 33017中对运营监控系统的要求进行设计、建设与安装。</w:t>
      </w:r>
    </w:p>
    <w:p w14:paraId="0A7E4F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424242"/>
          <w:kern w:val="0"/>
          <w:sz w:val="32"/>
          <w:szCs w:val="32"/>
          <w:lang w:val="en-US" w:eastAsia="zh-CN" w:bidi="ar-SA"/>
        </w:rPr>
      </w:pPr>
      <w:r>
        <w:rPr>
          <w:rFonts w:hint="eastAsia" w:ascii="黑体" w:hAnsi="黑体" w:eastAsia="黑体" w:cs="黑体"/>
          <w:color w:val="424242"/>
          <w:kern w:val="0"/>
          <w:sz w:val="32"/>
          <w:szCs w:val="32"/>
          <w:lang w:val="en-US" w:eastAsia="zh-CN" w:bidi="ar-SA"/>
        </w:rPr>
        <w:t>五、建设与安装要求</w:t>
      </w:r>
    </w:p>
    <w:p w14:paraId="35D6892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5.1 基本要求</w:t>
      </w:r>
    </w:p>
    <w:p w14:paraId="0652118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5.1.1 在居民小区建筑物内安装的电动汽车充电设施不应设置在地下停车场负二层及以下。</w:t>
      </w:r>
    </w:p>
    <w:p w14:paraId="1B212BF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5.1.2 安装的供配电管线、配电设备和充电设备应符合相关产品标准要求，在3C强制性产品目录范围内的应具备认证证书。</w:t>
      </w:r>
    </w:p>
    <w:p w14:paraId="4793ED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5.1.3 充电设施的设计布局应当符合用电、消防、防雷、土建、人防等方面有关法律、法规以及国家、地方等标准要求。</w:t>
      </w:r>
    </w:p>
    <w:p w14:paraId="6EE8204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5.1.4 安装充电设施时，不得损坏或者擅自变动建筑楼板、梁、柱、剪力墙等房屋承重结构、主体结构，不得损坏或者擅自变动原有消防设施或防火分区，不得损坏人防工程主体结构和设施设备。对擅自开孔（钻孔）贯穿楼板、梁、柱、剪力墙等房屋承重结构、主体结构的行为，物业服务人要及时劝阻、制止。</w:t>
      </w:r>
    </w:p>
    <w:p w14:paraId="2E4984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5.1.5 居民小区充电设施建设前，所有权人应向小区管理单位提供下列资料：</w:t>
      </w:r>
    </w:p>
    <w:p w14:paraId="243C8C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 a）充电设施建设单位、施工单位资质证明材料；</w:t>
      </w:r>
    </w:p>
    <w:p w14:paraId="413A43D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 b）充电设备的产品认证证书或型式试验（检验）报告；</w:t>
      </w:r>
    </w:p>
    <w:p w14:paraId="4F477EC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 c）充电设施的安装施工方案及资料；</w:t>
      </w:r>
    </w:p>
    <w:p w14:paraId="792993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5.1.6 充电设施在投入使用前应委托具备中国计量认证（CMA）资质的第三方检测机构进行竣工验收，确保其符合本标准的相关要求，验收资料盖章签字后，充电设施方可投入使用，所有权人及小区管理单位应予以分别保存。未经验收或验收不合格的充电设施不得投入使用。</w:t>
      </w:r>
    </w:p>
    <w:p w14:paraId="21D86E4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5.1.7 鼓励居民小区充电设施投入使用前购买充电桩保险，保障运营过程中因自然灾害、意外事故等导致充电桩本身损失和第三者财产损失。支持保险公司针对充电桩建立“保险+服务”模式，实现事前预防事后保障。</w:t>
      </w:r>
    </w:p>
    <w:p w14:paraId="5B26C95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5.2 施工要求</w:t>
      </w:r>
    </w:p>
    <w:p w14:paraId="2A7AC3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5.2.1 充电设施建设施工单位资质应符合NB/T 33004的规定。施工人员应具备相应要求的资格和作业操作证。充电设施工程施工和质量管理应具有相应的施工技术水准。</w:t>
      </w:r>
    </w:p>
    <w:p w14:paraId="11DE2CC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5.2.2 施工单位应建立健全施工技术、质量、安全生产等管理体系，制定各项施工管理规定，并贯彻执行。充电设施建设单位、所有权人应对施工单位进行安全管理监督，监督其施工安全方案、配备安全防护措施、施工资质和安全管理机构落实情况。</w:t>
      </w:r>
    </w:p>
    <w:p w14:paraId="47E61E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5.2.3 施工单位应按照相关施工安全标准组织施工，针对每个项目存在的危险源编制安全施工方案，确保施工安全。</w:t>
      </w:r>
    </w:p>
    <w:p w14:paraId="353C89C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5.2.4 充电设施的施工必须符合电力建设施工、质量检验评价标准和规范的有关要求，确保充电设备投运后稳定、安全可靠地运行。</w:t>
      </w:r>
    </w:p>
    <w:p w14:paraId="62DBF5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5.2.5 施工单位应设置专兼职安全员进行项目安全管理，建立项目安全管理组织机构，编制项目安全管理方案。</w:t>
      </w:r>
    </w:p>
    <w:p w14:paraId="3CC9E1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5.2.6 建设项目各个相关方应明确安全管理责任，施工单位对施工安全负主要责任，充电设施建设单位负责总体协调、监督。</w:t>
      </w:r>
    </w:p>
    <w:p w14:paraId="35BFA7F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5.2.7 工程所用的管材、电缆、构（配）件和设备等产品进入施工现场时必须妥善保管。施工单位必须遵守国家和地方政府有关环境保护的法律法规，采取有效措施控制施工现场的各种粉尘、废气、废弃物及噪声、振动等对环境造成的污染和危害。</w:t>
      </w:r>
    </w:p>
    <w:p w14:paraId="44B89DB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5.2.8 为建设工程提供机械设备和配件的单位，应当按照安全施工的要求配备齐全有效的保险、限位等安全设施和装置。施工单位采购、租赁的安全防护用具、机械设备、施工机具及配件，应当具有生产（制造）许可证、产品合格证等检测合格证明。</w:t>
      </w:r>
    </w:p>
    <w:p w14:paraId="5BE9CE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5.2.9 建设施工项目停工时应将现场临时用电、施工机械等具有潜在危险的设备设施断电，临时线路收回，现场存在的坑洞等存在坠落风险部位做好防护，已送电设备断电或上锁，现场材料、垃圾合理堆放或清理。</w:t>
      </w:r>
    </w:p>
    <w:p w14:paraId="3B9C118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5.3 设施防护</w:t>
      </w:r>
    </w:p>
    <w:p w14:paraId="73B9892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5.3.1 充电设备的绝缘电阻和介电强度应符合现行国家标准《电动汽车传导充电系统第1部分：通用要求》GB/T 18487.1相关要求。</w:t>
      </w:r>
    </w:p>
    <w:p w14:paraId="0E79421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5.3.2 充电设备的防雷与接地应满足现行国家规范《建筑物防雷设计规范》GB 50057和《交流电气装置的接地设计规范》GB/T 50065的相关规定。防雷接地、防静电接地、电气设备的工作接地、保护接地及信息系统的接地宜共用接地装置，接地电阻不应大于4Ω。</w:t>
      </w:r>
    </w:p>
    <w:p w14:paraId="278EF6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5.3.3 电气装置外露导电部分应进行可靠接地，户内充电设施应采用等电位联结，户外充电设施宜采用等电位联结。</w:t>
      </w:r>
    </w:p>
    <w:p w14:paraId="0BA968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5.4 消防及安全</w:t>
      </w:r>
    </w:p>
    <w:p w14:paraId="1CB99FF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5.4.1 设置充电设施的场所，应满足国家现行规范《建筑设计防火规范》GB 50016、《汽车库、修车库、停车库设计防火规范》GB 50067、《电动汽车充电站设计规范》GB 50966、《消防应急照明和疏散指示系统》GB 17945及</w:t>
      </w:r>
      <w:r>
        <w:rPr>
          <w:rFonts w:hint="eastAsia" w:ascii="仿宋_GB2312" w:hAnsi="仿宋_GB2312" w:eastAsia="仿宋_GB2312" w:cs="仿宋_GB2312"/>
          <w:color w:val="424242"/>
          <w:sz w:val="32"/>
          <w:szCs w:val="32"/>
        </w:rPr>
        <w:t>《电动汽车充电站设计标准》GB/T50966-2024</w:t>
      </w:r>
      <w:r>
        <w:rPr>
          <w:rFonts w:hint="eastAsia" w:ascii="仿宋_GB2312" w:hAnsi="仿宋_GB2312" w:eastAsia="仿宋_GB2312" w:cs="仿宋_GB2312"/>
          <w:color w:val="424242"/>
          <w:kern w:val="0"/>
          <w:sz w:val="32"/>
          <w:szCs w:val="32"/>
          <w:lang w:val="en-US" w:eastAsia="zh-CN" w:bidi="ar-SA"/>
        </w:rPr>
        <w:t>的相关规定。</w:t>
      </w:r>
    </w:p>
    <w:p w14:paraId="7FF11B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5.4.2 配建充电设施的地面停车位距离建筑物的距离要求应满足《汽车库、修车库、停车库设计防火规范》GB 50067中停车场与对应建筑物的距离。</w:t>
      </w:r>
    </w:p>
    <w:p w14:paraId="6D6039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5.4.3 新建及既有建筑物配建充电设施需执行《电动汽车分散充电设施工程技术标准》GB 51313相关规定：</w:t>
      </w:r>
    </w:p>
    <w:p w14:paraId="50273F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 a）地下、半地下车库内，未设置火灾自动报警系统、排烟设施、自动喷水系统、消防应急照明和疏散指示标志的，不得建设电动汽车充电设施。</w:t>
      </w:r>
    </w:p>
    <w:p w14:paraId="679E7C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 b）新建汽车库内配建的充电设施在同一防火分区应集中布置，设置独立的防火单元，每个防火单元应与其他防火单元和车库其他部位分隔。</w:t>
      </w:r>
    </w:p>
    <w:p w14:paraId="5B476A4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5.4.4 集中布置的充电设施区域应按照《建筑灭火器配置设计规范》GB 50140规定配备灭火器，其他充电设施区域宜与就近建筑物、汽车库、停车场共用消防设施。</w:t>
      </w:r>
    </w:p>
    <w:p w14:paraId="2E4E85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5.4.5 充电设施基础底座内部电缆入口处应进行防火封堵，充电设施管线在穿越建筑外墙、隔墙、楼板后留下的空隙，应采用防火材料进行封堵。</w:t>
      </w:r>
    </w:p>
    <w:p w14:paraId="6AF9A1D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5.4.6 充电设施发生火灾或事故时应能自行切断电源，监控装置应将报警信号传送到消防值班室。</w:t>
      </w:r>
    </w:p>
    <w:p w14:paraId="65EC1D0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424242"/>
          <w:kern w:val="0"/>
          <w:sz w:val="32"/>
          <w:szCs w:val="32"/>
          <w:lang w:val="en-US" w:eastAsia="zh-CN" w:bidi="ar-SA"/>
        </w:rPr>
      </w:pPr>
      <w:r>
        <w:rPr>
          <w:rFonts w:hint="eastAsia" w:ascii="黑体" w:hAnsi="黑体" w:eastAsia="黑体" w:cs="黑体"/>
          <w:color w:val="424242"/>
          <w:kern w:val="0"/>
          <w:sz w:val="32"/>
          <w:szCs w:val="32"/>
          <w:lang w:val="en-US" w:eastAsia="zh-CN" w:bidi="ar-SA"/>
        </w:rPr>
        <w:t>六、运行与维护</w:t>
      </w:r>
    </w:p>
    <w:p w14:paraId="39ED0B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6.1 一般规定</w:t>
      </w:r>
    </w:p>
    <w:p w14:paraId="6FD8F7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6.1.1 充电运营企业应有健全的管理制度和安全规范，包括但不限于以下条款：</w:t>
      </w:r>
    </w:p>
    <w:p w14:paraId="308275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 a）公用充电设施应每月至少进行一次安全检查，自用充电设施应每季度至少进行一次安全检查。内容应至少包括电气安全、消防安全及相关设备设施的检查。充电设施的定期巡查、安全检查、隐患整改、维护保养、风险评估、应急处置等记录应向小区管理单位报备。</w:t>
      </w:r>
    </w:p>
    <w:p w14:paraId="5052EC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 b）应熟悉应急处置程序和措施，建立突发事件应急预案，进行应急培训、演练和评估，包括火灾、车辆故障、电池破损燃烧爆炸、供电系统故障、人员触电、电池故障、设备故障等。发生事故后，应立即启动应急预案，按照有关规定报告事故情况，并开展先期处理。</w:t>
      </w:r>
    </w:p>
    <w:p w14:paraId="2FF0A4B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6.1.2 支持“统建统服、有序充电”模式推广应用，鼓励所有权人将充电设施委托具备相关资质的受托人进行管理维护（受托人符合《昌吉州居民小区电动汽车充电基础设施建设运营管理办法（试行）》第十六、十七条）。所有权人及受托管理人应当履行下列安全管理责任：</w:t>
      </w:r>
    </w:p>
    <w:p w14:paraId="62C4BE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 a）定期开展电气安全、消防安全及相关设备设施的检查，及时消除安全隐患，并记录备查。</w:t>
      </w:r>
    </w:p>
    <w:p w14:paraId="4ADF435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 b）定期对充电设施进行安全风险评估，及时整改不符合项；按照国家相关标准在管理区域配置必要的消防设施器材。</w:t>
      </w:r>
    </w:p>
    <w:p w14:paraId="7679F19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 c）定期对充电设施开展线路、设备检测，确保充电设施运行安全。</w:t>
      </w:r>
    </w:p>
    <w:p w14:paraId="1B9E80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 d）法律、法规规定的其他安全管理责任。</w:t>
      </w:r>
    </w:p>
    <w:p w14:paraId="43C726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6.1.3 受托管理人除承担上述安全管理责任外，还应履行以下义务：</w:t>
      </w:r>
    </w:p>
    <w:p w14:paraId="5704539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 a）建立和落实安全生产管理制度、充电设施运行维护管理制度。</w:t>
      </w:r>
    </w:p>
    <w:p w14:paraId="497F82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 b）配备符合相应条件的专业技术人员，明确安全管理责任人。</w:t>
      </w:r>
    </w:p>
    <w:p w14:paraId="4D8A92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 c）制定突发事件应急预案，定期开展应急培训和演练。</w:t>
      </w:r>
    </w:p>
    <w:p w14:paraId="3ECDFBE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 d）配备充电监控管理系统，具备数据存储和管理功能，实现对充电设施运行的监控和异常情况告警。</w:t>
      </w:r>
    </w:p>
    <w:p w14:paraId="50D6507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6.1.4所有权人将充电设施委托给专业机构维护管理的，除5.1.5规定资料外，还应提供下列资料：</w:t>
      </w:r>
    </w:p>
    <w:p w14:paraId="5673D55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 a）受托管理人资质证明。</w:t>
      </w:r>
    </w:p>
    <w:p w14:paraId="21FD86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 b）与受托管理人签订的充电设施委托管理合同（合同内应明确约定服务内容、质量要求、收费标准、安全管理责任等）；</w:t>
      </w:r>
    </w:p>
    <w:p w14:paraId="479F315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 c）受托管理人向成都市保险经营主体投保并获得的关于财产损失保险和第三者责任保险的保单。</w:t>
      </w:r>
    </w:p>
    <w:p w14:paraId="707F53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6.2 安全管理</w:t>
      </w:r>
    </w:p>
    <w:p w14:paraId="0C14C3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6.2.1物业服务人应加强物业服务区域的日常巡查，切实履行发现、劝阻和报告义务。</w:t>
      </w:r>
    </w:p>
    <w:p w14:paraId="2BC883F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6.2.2充电运营企业应设置安全管理组织并配备专职安全员：运营各环节应明确安全责任人。</w:t>
      </w:r>
    </w:p>
    <w:p w14:paraId="7D6583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6.2.3充电设备维护人员若进网作业，应具备电工入网许可证，若进行低压电气设备操作，应具备低压操作电工证。</w:t>
      </w:r>
    </w:p>
    <w:p w14:paraId="20457C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6.3 维护保养</w:t>
      </w:r>
    </w:p>
    <w:p w14:paraId="3AF516F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6.3.1充电设备维护人员应参照充电设备生产厂家的产品手册，对供电系统、充电设备进行月度维护、季度维护和年度维护，保持其安全、清洁、完好，并做好相关检查保养记录。</w:t>
      </w:r>
    </w:p>
    <w:p w14:paraId="164E46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6.3.2充电运营企业应对服务过程进行记录，包括充电记录、设备维护记录、设备检修记录、巡视记录、运行日志等。</w:t>
      </w:r>
    </w:p>
    <w:p w14:paraId="15FC81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6.3.3服务过程应保留原始记录，记录应及时、准确、真实、完整。记录保存期限不少于5年。</w:t>
      </w:r>
    </w:p>
    <w:p w14:paraId="0E18394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424242"/>
          <w:kern w:val="0"/>
          <w:sz w:val="32"/>
          <w:szCs w:val="32"/>
          <w:lang w:val="en-US" w:eastAsia="zh-CN" w:bidi="ar-SA"/>
        </w:rPr>
      </w:pPr>
    </w:p>
    <w:p w14:paraId="03F0394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424242"/>
          <w:kern w:val="0"/>
          <w:sz w:val="32"/>
          <w:szCs w:val="32"/>
          <w:lang w:val="en-US" w:eastAsia="zh-CN" w:bidi="ar-SA"/>
        </w:rPr>
      </w:pPr>
    </w:p>
    <w:p w14:paraId="514D43E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hAnsi="仿宋_GB2312" w:eastAsia="仿宋_GB2312" w:cs="仿宋_GB2312"/>
          <w:color w:val="424242"/>
          <w:kern w:val="0"/>
          <w:sz w:val="32"/>
          <w:szCs w:val="32"/>
          <w:lang w:val="en-US" w:eastAsia="zh-CN" w:bidi="ar-SA"/>
        </w:rPr>
      </w:pPr>
      <w:r>
        <w:rPr>
          <w:rFonts w:hint="eastAsia" w:ascii="仿宋_GB2312" w:hAnsi="仿宋_GB2312" w:eastAsia="仿宋_GB2312" w:cs="仿宋_GB2312"/>
          <w:color w:val="424242"/>
          <w:kern w:val="0"/>
          <w:sz w:val="32"/>
          <w:szCs w:val="32"/>
          <w:lang w:val="en-US" w:eastAsia="zh-CN" w:bidi="ar-SA"/>
        </w:rPr>
        <w:t xml:space="preserve">          </w:t>
      </w:r>
    </w:p>
    <w:p w14:paraId="6099B62D">
      <w:pPr>
        <w:ind w:firstLine="640" w:firstLineChars="200"/>
        <w:rPr>
          <w:rFonts w:hint="eastAsia" w:ascii="新宋体" w:hAnsi="新宋体" w:eastAsia="新宋体" w:cs="新宋体"/>
          <w:sz w:val="32"/>
          <w:szCs w:val="32"/>
          <w:lang w:val="en-US" w:eastAsia="zh-CN"/>
        </w:rPr>
      </w:pPr>
    </w:p>
    <w:p w14:paraId="5C05EDC4">
      <w:pPr>
        <w:ind w:firstLine="540" w:firstLineChars="200"/>
        <w:rPr>
          <w:rFonts w:hint="eastAsia" w:ascii="微软雅黑" w:hAnsi="微软雅黑" w:eastAsia="微软雅黑" w:cs="宋体"/>
          <w:color w:val="424242"/>
          <w:kern w:val="0"/>
          <w:sz w:val="27"/>
          <w:szCs w:val="27"/>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embedRegular r:id="rId1" w:fontKey="{2C70A634-0098-4795-B977-F85BC61AB33D}"/>
  </w:font>
  <w:font w:name="黑体">
    <w:panose1 w:val="02010609060101010101"/>
    <w:charset w:val="86"/>
    <w:family w:val="auto"/>
    <w:pitch w:val="default"/>
    <w:sig w:usb0="800002BF" w:usb1="38CF7CFA" w:usb2="00000016" w:usb3="00000000" w:csb0="00040001" w:csb1="00000000"/>
    <w:embedRegular r:id="rId2" w:fontKey="{8A656B67-DE2A-4EF4-B159-6EA6E372565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A31AB20C-398B-4581-B9F5-7B7C69566A86}"/>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00000" w:usb2="00000000" w:usb3="00000000" w:csb0="00040000" w:csb1="00000000"/>
    <w:embedRegular r:id="rId4" w:fontKey="{DDA56D42-6B97-4877-A849-9DBD3DD2DE21}"/>
  </w:font>
  <w:font w:name="方正黑体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8CF3C52" w:usb2="00000016" w:usb3="00000000" w:csb0="0004001F" w:csb1="00000000"/>
    <w:embedRegular r:id="rId5" w:fontKey="{88E3F445-4743-4D9C-A375-72DBAAFC87FE}"/>
  </w:font>
  <w:font w:name="仿宋_GB2312">
    <w:panose1 w:val="02010609030101010101"/>
    <w:charset w:val="86"/>
    <w:family w:val="auto"/>
    <w:pitch w:val="default"/>
    <w:sig w:usb0="00000001" w:usb1="080E0000" w:usb2="00000000" w:usb3="00000000" w:csb0="00040000" w:csb1="00000000"/>
    <w:embedRegular r:id="rId6" w:fontKey="{0096C6D1-AFCB-47C7-BE4C-08BA55FA40C1}"/>
  </w:font>
  <w:font w:name="方正仿宋_GBK">
    <w:panose1 w:val="02000000000000000000"/>
    <w:charset w:val="86"/>
    <w:family w:val="auto"/>
    <w:pitch w:val="default"/>
    <w:sig w:usb0="A00002BF" w:usb1="38CF7CFA" w:usb2="00082016" w:usb3="00000000" w:csb0="00040001" w:csb1="00000000"/>
  </w:font>
  <w:font w:name="新宋体">
    <w:panose1 w:val="02010609030101010101"/>
    <w:charset w:val="86"/>
    <w:family w:val="modern"/>
    <w:pitch w:val="default"/>
    <w:sig w:usb0="00000003" w:usb1="288F0000" w:usb2="00000006" w:usb3="00000000" w:csb0="00040001" w:csb1="00000000"/>
    <w:embedRegular r:id="rId7" w:fontKey="{6D6BECD5-0E06-4A6D-AD4E-543516409CD9}"/>
  </w:font>
  <w:font w:name="方正小标宋_GBK">
    <w:panose1 w:val="02000000000000000000"/>
    <w:charset w:val="86"/>
    <w:family w:val="auto"/>
    <w:pitch w:val="default"/>
    <w:sig w:usb0="A00002BF" w:usb1="38CF7CFA" w:usb2="00082016" w:usb3="00000000" w:csb0="00040001" w:csb1="00000000"/>
    <w:embedRegular r:id="rId8" w:fontKey="{5C2E863E-B56A-490C-B56F-AADF787D37E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18BE6">
    <w:pPr>
      <w:pStyle w:val="2"/>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6810704">
                          <w:pPr>
                            <w:pStyle w:val="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66810704">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2DD"/>
    <w:rsid w:val="000549F0"/>
    <w:rsid w:val="0019360A"/>
    <w:rsid w:val="001D311A"/>
    <w:rsid w:val="001D5BA7"/>
    <w:rsid w:val="001E5B8E"/>
    <w:rsid w:val="00201B6C"/>
    <w:rsid w:val="00284768"/>
    <w:rsid w:val="003377FF"/>
    <w:rsid w:val="00444CC9"/>
    <w:rsid w:val="004D03F2"/>
    <w:rsid w:val="00534711"/>
    <w:rsid w:val="00572B98"/>
    <w:rsid w:val="006305C3"/>
    <w:rsid w:val="006675CB"/>
    <w:rsid w:val="006922AC"/>
    <w:rsid w:val="007D2F55"/>
    <w:rsid w:val="007D7FA5"/>
    <w:rsid w:val="008C25BA"/>
    <w:rsid w:val="009C557D"/>
    <w:rsid w:val="009E03C1"/>
    <w:rsid w:val="00A174D4"/>
    <w:rsid w:val="00A46380"/>
    <w:rsid w:val="00A60CA0"/>
    <w:rsid w:val="00A77B91"/>
    <w:rsid w:val="00AA7D3A"/>
    <w:rsid w:val="00B0710A"/>
    <w:rsid w:val="00B32D4B"/>
    <w:rsid w:val="00B41AFD"/>
    <w:rsid w:val="00B80296"/>
    <w:rsid w:val="00BF318B"/>
    <w:rsid w:val="00C7252E"/>
    <w:rsid w:val="00CA046B"/>
    <w:rsid w:val="00D672A3"/>
    <w:rsid w:val="00DB0CFE"/>
    <w:rsid w:val="00E641B2"/>
    <w:rsid w:val="00EF0BFB"/>
    <w:rsid w:val="00F130D6"/>
    <w:rsid w:val="00F14FE4"/>
    <w:rsid w:val="00F262DD"/>
    <w:rsid w:val="00F93CF1"/>
    <w:rsid w:val="01D24A8A"/>
    <w:rsid w:val="02277907"/>
    <w:rsid w:val="06143F5E"/>
    <w:rsid w:val="067130E7"/>
    <w:rsid w:val="06E47579"/>
    <w:rsid w:val="08346D03"/>
    <w:rsid w:val="0A9A7472"/>
    <w:rsid w:val="0B092D5A"/>
    <w:rsid w:val="0D0365E6"/>
    <w:rsid w:val="0D26470E"/>
    <w:rsid w:val="0D2E5243"/>
    <w:rsid w:val="0D9A310F"/>
    <w:rsid w:val="105C70F7"/>
    <w:rsid w:val="10681E8C"/>
    <w:rsid w:val="137455F6"/>
    <w:rsid w:val="155650EA"/>
    <w:rsid w:val="1D245484"/>
    <w:rsid w:val="1E4C1170"/>
    <w:rsid w:val="1F35399F"/>
    <w:rsid w:val="21375FBA"/>
    <w:rsid w:val="227C0E03"/>
    <w:rsid w:val="28E41B90"/>
    <w:rsid w:val="2A3B5083"/>
    <w:rsid w:val="2E907006"/>
    <w:rsid w:val="2EA879D8"/>
    <w:rsid w:val="30600316"/>
    <w:rsid w:val="3086336C"/>
    <w:rsid w:val="32477476"/>
    <w:rsid w:val="32CD0EA9"/>
    <w:rsid w:val="33D20D8E"/>
    <w:rsid w:val="34434031"/>
    <w:rsid w:val="36A5355B"/>
    <w:rsid w:val="390F1D60"/>
    <w:rsid w:val="393A5E99"/>
    <w:rsid w:val="3ABB74E7"/>
    <w:rsid w:val="3FB24C34"/>
    <w:rsid w:val="3FD619A1"/>
    <w:rsid w:val="3FDF6055"/>
    <w:rsid w:val="434051AA"/>
    <w:rsid w:val="43B72B65"/>
    <w:rsid w:val="43E96E09"/>
    <w:rsid w:val="467240C9"/>
    <w:rsid w:val="492F4EEA"/>
    <w:rsid w:val="4A59710E"/>
    <w:rsid w:val="4A77777D"/>
    <w:rsid w:val="4E065663"/>
    <w:rsid w:val="4F5453D0"/>
    <w:rsid w:val="4FAA29B2"/>
    <w:rsid w:val="500A6A72"/>
    <w:rsid w:val="523F2F8B"/>
    <w:rsid w:val="5407486F"/>
    <w:rsid w:val="55C7694F"/>
    <w:rsid w:val="5659183A"/>
    <w:rsid w:val="56642A19"/>
    <w:rsid w:val="568B2912"/>
    <w:rsid w:val="57B3328F"/>
    <w:rsid w:val="581261D1"/>
    <w:rsid w:val="5A4E03DE"/>
    <w:rsid w:val="5C27609F"/>
    <w:rsid w:val="5CC8077F"/>
    <w:rsid w:val="5D7F5AF4"/>
    <w:rsid w:val="5ED93A21"/>
    <w:rsid w:val="5F5A62FF"/>
    <w:rsid w:val="6664238C"/>
    <w:rsid w:val="709657A5"/>
    <w:rsid w:val="71274C97"/>
    <w:rsid w:val="75945B8A"/>
    <w:rsid w:val="75C174CA"/>
    <w:rsid w:val="7620699E"/>
    <w:rsid w:val="7BE3507D"/>
    <w:rsid w:val="7D4C7F28"/>
    <w:rsid w:val="7D796B01"/>
    <w:rsid w:val="7F0105BB"/>
    <w:rsid w:val="7F443D8D"/>
    <w:rsid w:val="7F873AEE"/>
    <w:rsid w:val="7FB12F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paragraph" w:customStyle="1" w:styleId="8">
    <w:name w:val="Table Text"/>
    <w:basedOn w:val="1"/>
    <w:semiHidden/>
    <w:qFormat/>
    <w:uiPriority w:val="0"/>
    <w:rPr>
      <w:rFonts w:ascii="宋体" w:hAnsi="宋体" w:eastAsia="宋体" w:cs="宋体"/>
      <w:sz w:val="25"/>
      <w:szCs w:val="25"/>
      <w:lang w:val="en-US" w:eastAsia="en-US" w:bidi="ar-SA"/>
    </w:rPr>
  </w:style>
  <w:style w:type="table" w:customStyle="1" w:styleId="9">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35</Pages>
  <Words>2767</Words>
  <Characters>2866</Characters>
  <Lines>35</Lines>
  <Paragraphs>10</Paragraphs>
  <TotalTime>1</TotalTime>
  <ScaleCrop>false</ScaleCrop>
  <LinksUpToDate>false</LinksUpToDate>
  <CharactersWithSpaces>2887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2025-02-06T06:16:00Z</dcterms:created>
  <dc:creator>User</dc:creator>
  <cp:lastModifiedBy>王子威</cp:lastModifiedBy>
  <dcterms:modified xsi:type="dcterms:W3CDTF">2025-02-24T11:38:15Z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F3D32386FB634EFBAA2E47401DE642A6</vt:lpwstr>
  </property>
  <property fmtid="{D5CDD505-2E9C-101B-9397-08002B2CF9AE}" pid="4" name="KSOTemplateDocerSaveRecord">
    <vt:lpwstr>eyJoZGlkIjoiYjgzNThhYmE2MzI0OGU1ZWY5YmNiYjgwZmMyZTE3ZmYiLCJ1c2VySWQiOiI3MTAzMzUxODQifQ==</vt:lpwstr>
  </property>
</Properties>
</file>