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191919"/>
          <w:spacing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191919"/>
          <w:spacing w:val="0"/>
          <w:sz w:val="44"/>
          <w:szCs w:val="44"/>
          <w:shd w:val="clear" w:fill="FFFFFF"/>
        </w:rPr>
        <w:t xml:space="preserve">狠抓乱象整治 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191919"/>
          <w:spacing w:val="0"/>
          <w:sz w:val="44"/>
          <w:szCs w:val="44"/>
          <w:shd w:val="clear" w:fill="FFFFFF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191919"/>
          <w:spacing w:val="0"/>
          <w:sz w:val="44"/>
          <w:szCs w:val="44"/>
          <w:shd w:val="clear" w:fill="FFFFFF"/>
        </w:rPr>
        <w:t>提升城市面貌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6"/>
          <w:sz w:val="32"/>
          <w:szCs w:val="32"/>
          <w:shd w:val="clear" w:fill="FFFFFF"/>
          <w:lang w:val="en-US" w:eastAsia="zh-CN"/>
        </w:rPr>
      </w:pPr>
    </w:p>
    <w:bookmarkEnd w:id="0"/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为打造示范街区，吉木萨尔县城建监察大队结合系列专项整治行动，加大了对占道经营、违章搭建、非机动车乱停放等城市乱象的整治力度，不断提升城市精细化管理水平。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baseline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6"/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一、</w:t>
      </w:r>
      <w:r>
        <w:rPr>
          <w:rStyle w:val="6"/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从严执法，常态</w:t>
      </w:r>
      <w:r>
        <w:rPr>
          <w:rStyle w:val="6"/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化</w:t>
      </w:r>
      <w:r>
        <w:rPr>
          <w:rStyle w:val="6"/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整治城市乱象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吉木萨尔县城建监察大队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将“严”字贯穿城市管理工作始终，从严整治城市乱象，从严惩治城市管理违法行为，有效解决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城市居民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关注的热点、难点问题，严出效果、严出常态。</w:t>
      </w:r>
    </w:p>
    <w:p>
      <w:pPr>
        <w:pStyle w:val="3"/>
        <w:ind w:firstLine="643" w:firstLineChars="200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加大渣土车管理，强力推进“控土”“防尘”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吉木萨尔县城建监察大队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严厉打击各类违规运输渣土行为，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对城区主干道上路行驶的施工车辆进行严格管控，核实其是否按照通行证的行驶路线行走，是否带泥上路，是否未按照相关要求对车厢进行密闭处理。以及各个工地对驶出工地车辆是否进行严格密闭，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所有驶出施工工地车辆均要进行清洗泥沙，工地要进行必要的降尘作业。截至目前，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劝导教育不规范上路行驶车辆254辆,处罚未按通行证要求上路行驶的车辆11辆，共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计处罚金额6500元。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baseline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严查未停车辆，规范化管理初见成效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吉木萨尔县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城建监察大队通过零距离、电视台、发抖音多种形式宣传违停车辆整治措施，同时，联合县交警大队、警务站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采取锁车、拖车等方式开展执法行动，重点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查处未停放在停车泊位的机动车和非机动车辆、机动车车身超出泊位线、未按施划箭头有序停放车辆等违停现象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，共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劝导教育车辆驾驶员587人，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锁车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314辆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参加教育学习187人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，充分体现了城管人性化执法理念。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</w:pPr>
      <w:r>
        <w:rPr>
          <w:rStyle w:val="6"/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四、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持续整治城市管理“顽疾”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　　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吉木萨尔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县城建监察大队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全天错时管理、节假日轮休管控，管理工作紧盯违法行为出现，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用说服教育、劝导示范、行政指导等非强制行政手段，将执法与普法相结合，实现变堵为疏，变被动执法为主动服务。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截止目前，规范治理流动摊贩385余人次，清理店外店272处，清理乱堆乱放126起，清理破旧、不符合规定布标39个。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06675" cy="1467485"/>
            <wp:effectExtent l="0" t="0" r="3175" b="18415"/>
            <wp:docPr id="6" name="图片 6" descr="6d90092db5b12ce2b875c4c6ffbe1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d90092db5b12ce2b875c4c6ffbe1c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06675" cy="146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41270" cy="1411605"/>
            <wp:effectExtent l="0" t="0" r="11430" b="17145"/>
            <wp:docPr id="9" name="图片 9" descr="f8eb13661f703c82019c6b3ca5bcb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8eb13661f703c82019c6b3ca5bcb2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1270" cy="141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72690" cy="1475740"/>
            <wp:effectExtent l="0" t="0" r="3810" b="10160"/>
            <wp:docPr id="7" name="图片 7" descr="f7b915fbece69f5d6e8401e6a5895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7b915fbece69f5d6e8401e6a58958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72690" cy="147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41270" cy="1429385"/>
            <wp:effectExtent l="0" t="0" r="11430" b="18415"/>
            <wp:docPr id="10" name="图片 10" descr="90a0f801a0d1e1e23a787065c1372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90a0f801a0d1e1e23a787065c1372a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1270" cy="142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6D0F26"/>
    <w:rsid w:val="30B2252F"/>
    <w:rsid w:val="69096D23"/>
    <w:rsid w:val="716D0F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 w:cs="Times New Roman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8">
    <w:name w:val="Heading2"/>
    <w:basedOn w:val="1"/>
    <w:next w:val="1"/>
    <w:qFormat/>
    <w:uiPriority w:val="0"/>
    <w:pPr>
      <w:keepNext/>
      <w:keepLines/>
      <w:spacing w:line="240" w:lineRule="auto"/>
      <w:jc w:val="both"/>
    </w:pPr>
    <w:rPr>
      <w:rFonts w:ascii="Arial" w:hAnsi="Arial" w:eastAsia="黑体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2021-08-24T09:16:00Z</dcterms:created>
  <dc:creator>光</dc:creator>
  <cp:lastModifiedBy>Administrator</cp:lastModifiedBy>
  <dcterms:modified xsi:type="dcterms:W3CDTF">2023-10-19T02:14:48Z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  <property fmtid="{D5CDD505-2E9C-101B-9397-08002B2CF9AE}" pid="3" name="ICV">
    <vt:lpwstr>1EB65555320945319623556BEE2E9FFF</vt:lpwstr>
  </property>
  <property fmtid="{D5CDD505-2E9C-101B-9397-08002B2CF9AE}" pid="4" name="KSOSaveFontToCloudKey">
    <vt:lpwstr>990662047_btnclosed</vt:lpwstr>
  </property>
</Properties>
</file>