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60297">
      <w:pPr>
        <w:spacing w:line="240" w:lineRule="auto"/>
        <w:rPr>
          <w:rFonts w:eastAsia="仿宋_GB2312"/>
          <w:color w:val="000000" w:themeColor="text1"/>
          <w:sz w:val="36"/>
          <w:szCs w:val="36"/>
          <w14:textFill>
            <w14:solidFill>
              <w14:schemeClr w14:val="tx1"/>
            </w14:solidFill>
          </w14:textFill>
        </w:rPr>
      </w:pPr>
      <w:bookmarkStart w:id="0" w:name="_Hlk57883707"/>
    </w:p>
    <w:p w14:paraId="403E2170">
      <w:pPr>
        <w:spacing w:line="240" w:lineRule="auto"/>
        <w:rPr>
          <w:rFonts w:eastAsia="仿宋_GB2312"/>
          <w:color w:val="000000" w:themeColor="text1"/>
          <w:sz w:val="36"/>
          <w:szCs w:val="36"/>
          <w14:textFill>
            <w14:solidFill>
              <w14:schemeClr w14:val="tx1"/>
            </w14:solidFill>
          </w14:textFill>
        </w:rPr>
      </w:pPr>
    </w:p>
    <w:p w14:paraId="2A95A393">
      <w:pPr>
        <w:spacing w:line="240" w:lineRule="auto"/>
        <w:rPr>
          <w:rFonts w:eastAsia="仿宋_GB2312"/>
          <w:color w:val="000000" w:themeColor="text1"/>
          <w:sz w:val="36"/>
          <w:szCs w:val="36"/>
          <w14:textFill>
            <w14:solidFill>
              <w14:schemeClr w14:val="tx1"/>
            </w14:solidFill>
          </w14:textFill>
        </w:rPr>
      </w:pPr>
    </w:p>
    <w:p w14:paraId="49B108BB">
      <w:pPr>
        <w:spacing w:line="240" w:lineRule="auto"/>
        <w:rPr>
          <w:rFonts w:eastAsia="仿宋_GB2312"/>
          <w:color w:val="000000" w:themeColor="text1"/>
          <w:sz w:val="36"/>
          <w:szCs w:val="36"/>
          <w14:textFill>
            <w14:solidFill>
              <w14:schemeClr w14:val="tx1"/>
            </w14:solidFill>
          </w14:textFill>
        </w:rPr>
      </w:pPr>
    </w:p>
    <w:bookmarkEnd w:id="0"/>
    <w:p w14:paraId="27A8CEF8">
      <w:pPr>
        <w:spacing w:line="240" w:lineRule="auto"/>
        <w:ind w:firstLine="0" w:firstLineChars="0"/>
        <w:jc w:val="center"/>
        <w:outlineLvl w:val="0"/>
        <w:rPr>
          <w:rFonts w:eastAsia="方正小标宋_GBK"/>
          <w:bCs/>
          <w:color w:val="000000" w:themeColor="text1"/>
          <w:sz w:val="72"/>
          <w:szCs w:val="72"/>
          <w14:textFill>
            <w14:solidFill>
              <w14:schemeClr w14:val="tx1"/>
            </w14:solidFill>
          </w14:textFill>
        </w:rPr>
      </w:pPr>
      <w:r>
        <w:rPr>
          <w:rFonts w:eastAsia="方正小标宋_GBK"/>
          <w:bCs/>
          <w:color w:val="000000" w:themeColor="text1"/>
          <w:sz w:val="72"/>
          <w:szCs w:val="72"/>
          <w14:textFill>
            <w14:solidFill>
              <w14:schemeClr w14:val="tx1"/>
            </w14:solidFill>
          </w14:textFill>
        </w:rPr>
        <w:t>建设项目环境影响报告表</w:t>
      </w:r>
    </w:p>
    <w:p w14:paraId="1218BC30">
      <w:pPr>
        <w:spacing w:before="192" w:beforeLines="80"/>
        <w:ind w:firstLine="0" w:firstLineChars="0"/>
        <w:jc w:val="center"/>
        <w:rPr>
          <w:rFonts w:eastAsia="楷体_GB2312"/>
          <w:bCs/>
          <w:color w:val="000000" w:themeColor="text1"/>
          <w:sz w:val="48"/>
          <w:szCs w:val="48"/>
          <w14:textFill>
            <w14:solidFill>
              <w14:schemeClr w14:val="tx1"/>
            </w14:solidFill>
          </w14:textFill>
        </w:rPr>
      </w:pPr>
      <w:r>
        <w:rPr>
          <w:rFonts w:eastAsia="楷体_GB2312"/>
          <w:bCs/>
          <w:color w:val="000000" w:themeColor="text1"/>
          <w:sz w:val="48"/>
          <w:szCs w:val="48"/>
          <w14:textFill>
            <w14:solidFill>
              <w14:schemeClr w14:val="tx1"/>
            </w14:solidFill>
          </w14:textFill>
        </w:rPr>
        <w:t>（生态影响类）</w:t>
      </w:r>
    </w:p>
    <w:p w14:paraId="59F84AD6">
      <w:pPr>
        <w:ind w:firstLine="0" w:firstLineChars="0"/>
        <w:jc w:val="center"/>
        <w:rPr>
          <w:rFonts w:hint="eastAsia" w:eastAsia="仿宋"/>
          <w:b/>
          <w:bCs/>
          <w:color w:val="000000" w:themeColor="text1"/>
          <w:sz w:val="36"/>
          <w:szCs w:val="36"/>
          <w:lang w:eastAsia="zh-CN"/>
          <w14:textFill>
            <w14:solidFill>
              <w14:schemeClr w14:val="tx1"/>
            </w14:solidFill>
          </w14:textFill>
        </w:rPr>
      </w:pPr>
      <w:bookmarkStart w:id="1" w:name="_Hlk57883728"/>
    </w:p>
    <w:p w14:paraId="05DCB20E">
      <w:pPr>
        <w:ind w:firstLine="0" w:firstLineChars="0"/>
        <w:jc w:val="center"/>
        <w:rPr>
          <w:rFonts w:hint="eastAsia" w:eastAsia="仿宋"/>
          <w:b/>
          <w:bCs/>
          <w:color w:val="000000" w:themeColor="text1"/>
          <w:sz w:val="36"/>
          <w:szCs w:val="36"/>
          <w:lang w:eastAsia="zh-CN"/>
          <w14:textFill>
            <w14:solidFill>
              <w14:schemeClr w14:val="tx1"/>
            </w14:solidFill>
          </w14:textFill>
        </w:rPr>
      </w:pPr>
    </w:p>
    <w:p w14:paraId="255BE5EF">
      <w:pPr>
        <w:pStyle w:val="8"/>
        <w:ind w:firstLine="0" w:firstLineChars="0"/>
        <w:rPr>
          <w:color w:val="000000" w:themeColor="text1"/>
          <w14:textFill>
            <w14:solidFill>
              <w14:schemeClr w14:val="tx1"/>
            </w14:solidFill>
          </w14:textFill>
        </w:rPr>
      </w:pPr>
    </w:p>
    <w:p w14:paraId="5190D4C5">
      <w:pPr>
        <w:ind w:firstLine="0" w:firstLineChars="0"/>
        <w:rPr>
          <w:rFonts w:eastAsia="仿宋"/>
          <w:color w:val="000000" w:themeColor="text1"/>
          <w:sz w:val="44"/>
          <w:szCs w:val="44"/>
          <w14:textFill>
            <w14:solidFill>
              <w14:schemeClr w14:val="tx1"/>
            </w14:solidFill>
          </w14:textFill>
        </w:rPr>
      </w:pPr>
    </w:p>
    <w:p w14:paraId="3C3F6654">
      <w:pPr>
        <w:spacing w:line="240" w:lineRule="auto"/>
        <w:ind w:firstLine="0" w:firstLineChars="0"/>
        <w:rPr>
          <w:rFonts w:eastAsia="仿宋"/>
          <w:color w:val="000000" w:themeColor="text1"/>
          <w:sz w:val="44"/>
          <w:szCs w:val="44"/>
          <w14:textFill>
            <w14:solidFill>
              <w14:schemeClr w14:val="tx1"/>
            </w14:solidFill>
          </w14:textFill>
        </w:rPr>
      </w:pPr>
    </w:p>
    <w:p w14:paraId="67457968">
      <w:pPr>
        <w:spacing w:line="240" w:lineRule="auto"/>
        <w:ind w:firstLine="0" w:firstLineChars="0"/>
        <w:rPr>
          <w:rFonts w:eastAsia="仿宋"/>
          <w:color w:val="000000" w:themeColor="text1"/>
          <w:sz w:val="44"/>
          <w:szCs w:val="44"/>
          <w14:textFill>
            <w14:solidFill>
              <w14:schemeClr w14:val="tx1"/>
            </w14:solidFill>
          </w14:textFill>
        </w:rPr>
      </w:pPr>
    </w:p>
    <w:bookmarkEnd w:id="1"/>
    <w:p w14:paraId="586BA48A">
      <w:pPr>
        <w:ind w:firstLine="0" w:firstLineChars="0"/>
        <w:jc w:val="left"/>
        <w:rPr>
          <w:rFonts w:eastAsia="仿宋_GB2312"/>
          <w:color w:val="000000" w:themeColor="text1"/>
          <w:sz w:val="36"/>
          <w:szCs w:val="36"/>
          <w:u w:val="single"/>
          <w14:textFill>
            <w14:solidFill>
              <w14:schemeClr w14:val="tx1"/>
            </w14:solidFill>
          </w14:textFill>
        </w:rPr>
      </w:pPr>
      <w:r>
        <w:rPr>
          <w:rFonts w:eastAsia="仿宋_GB2312"/>
          <w:color w:val="000000" w:themeColor="text1"/>
          <w:sz w:val="36"/>
          <w:szCs w:val="36"/>
          <w14:textFill>
            <w14:solidFill>
              <w14:schemeClr w14:val="tx1"/>
            </w14:solidFill>
          </w14:textFill>
        </w:rPr>
        <w:t>项目名称：</w:t>
      </w:r>
      <w:r>
        <w:rPr>
          <w:rFonts w:hint="eastAsia" w:eastAsia="仿宋_GB2312"/>
          <w:color w:val="000000" w:themeColor="text1"/>
          <w:sz w:val="36"/>
          <w:szCs w:val="36"/>
          <w:u w:val="single"/>
          <w14:textFill>
            <w14:solidFill>
              <w14:schemeClr w14:val="tx1"/>
            </w14:solidFill>
          </w14:textFill>
        </w:rPr>
        <w:t>萨探1块萨102-124等4口井钻试工程项目</w:t>
      </w:r>
      <w:r>
        <w:rPr>
          <w:rFonts w:eastAsia="仿宋_GB2312"/>
          <w:color w:val="000000" w:themeColor="text1"/>
          <w:sz w:val="36"/>
          <w:szCs w:val="36"/>
          <w:u w:val="single"/>
          <w14:textFill>
            <w14:solidFill>
              <w14:schemeClr w14:val="tx1"/>
            </w14:solidFill>
          </w14:textFill>
        </w:rPr>
        <w:t xml:space="preserve">  </w:t>
      </w:r>
    </w:p>
    <w:p w14:paraId="34941E12">
      <w:pPr>
        <w:ind w:left="1620" w:hanging="1620" w:hangingChars="450"/>
        <w:jc w:val="left"/>
        <w:rPr>
          <w:rFonts w:eastAsia="仿宋_GB2312"/>
          <w:color w:val="000000" w:themeColor="text1"/>
          <w:sz w:val="36"/>
          <w:szCs w:val="36"/>
          <w:u w:val="single"/>
          <w14:textFill>
            <w14:solidFill>
              <w14:schemeClr w14:val="tx1"/>
            </w14:solidFill>
          </w14:textFill>
        </w:rPr>
      </w:pPr>
      <w:r>
        <w:rPr>
          <w:rFonts w:eastAsia="仿宋_GB2312"/>
          <w:color w:val="000000" w:themeColor="text1"/>
          <w:sz w:val="36"/>
          <w:szCs w:val="36"/>
          <w14:textFill>
            <w14:solidFill>
              <w14:schemeClr w14:val="tx1"/>
            </w14:solidFill>
          </w14:textFill>
        </w:rPr>
        <w:t>建设单位：</w:t>
      </w:r>
      <w:r>
        <w:rPr>
          <w:rFonts w:eastAsia="仿宋_GB2312"/>
          <w:color w:val="000000" w:themeColor="text1"/>
          <w:sz w:val="36"/>
          <w:szCs w:val="36"/>
          <w:u w:val="single"/>
          <w14:textFill>
            <w14:solidFill>
              <w14:schemeClr w14:val="tx1"/>
            </w14:solidFill>
          </w14:textFill>
        </w:rPr>
        <w:t>中国石油天然气股份有限公司吐哈油</w:t>
      </w:r>
      <w:r>
        <w:rPr>
          <w:rFonts w:hint="eastAsia" w:eastAsia="仿宋_GB2312"/>
          <w:color w:val="000000" w:themeColor="text1"/>
          <w:sz w:val="36"/>
          <w:szCs w:val="36"/>
          <w:u w:val="single"/>
          <w14:textFill>
            <w14:solidFill>
              <w14:schemeClr w14:val="tx1"/>
            </w14:solidFill>
          </w14:textFill>
        </w:rPr>
        <w:t>田分公</w:t>
      </w:r>
    </w:p>
    <w:p w14:paraId="31526D82">
      <w:pPr>
        <w:ind w:firstLine="1800" w:firstLineChars="500"/>
        <w:jc w:val="left"/>
        <w:rPr>
          <w:rFonts w:eastAsia="仿宋_GB2312"/>
          <w:color w:val="000000" w:themeColor="text1"/>
          <w:sz w:val="36"/>
          <w:szCs w:val="36"/>
          <w:u w:val="single"/>
          <w14:textFill>
            <w14:solidFill>
              <w14:schemeClr w14:val="tx1"/>
            </w14:solidFill>
          </w14:textFill>
        </w:rPr>
      </w:pPr>
      <w:r>
        <w:rPr>
          <w:rFonts w:hint="eastAsia" w:eastAsia="仿宋_GB2312"/>
          <w:color w:val="000000" w:themeColor="text1"/>
          <w:sz w:val="36"/>
          <w:szCs w:val="36"/>
          <w:u w:val="single"/>
          <w14:textFill>
            <w14:solidFill>
              <w14:schemeClr w14:val="tx1"/>
            </w14:solidFill>
          </w14:textFill>
        </w:rPr>
        <w:t>司准东采油管理区</w:t>
      </w:r>
      <w:r>
        <w:rPr>
          <w:rFonts w:eastAsia="仿宋_GB2312"/>
          <w:color w:val="000000" w:themeColor="text1"/>
          <w:sz w:val="36"/>
          <w:szCs w:val="36"/>
          <w:u w:val="single"/>
          <w14:textFill>
            <w14:solidFill>
              <w14:schemeClr w14:val="tx1"/>
            </w14:solidFill>
          </w14:textFill>
        </w:rPr>
        <w:t xml:space="preserve">    </w:t>
      </w:r>
      <w:r>
        <w:rPr>
          <w:rFonts w:hint="eastAsia" w:eastAsia="仿宋_GB2312"/>
          <w:color w:val="000000" w:themeColor="text1"/>
          <w:sz w:val="36"/>
          <w:szCs w:val="36"/>
          <w:u w:val="single"/>
          <w14:textFill>
            <w14:solidFill>
              <w14:schemeClr w14:val="tx1"/>
            </w14:solidFill>
          </w14:textFill>
        </w:rPr>
        <w:t xml:space="preserve">                  </w:t>
      </w:r>
    </w:p>
    <w:p w14:paraId="423FED51">
      <w:pPr>
        <w:ind w:firstLine="0" w:firstLineChars="0"/>
        <w:rPr>
          <w:rFonts w:eastAsia="仿宋_GB2312"/>
          <w:color w:val="000000" w:themeColor="text1"/>
          <w:sz w:val="36"/>
          <w:szCs w:val="36"/>
          <w:u w:val="single"/>
          <w14:textFill>
            <w14:solidFill>
              <w14:schemeClr w14:val="tx1"/>
            </w14:solidFill>
          </w14:textFill>
        </w:rPr>
      </w:pPr>
      <w:r>
        <w:rPr>
          <w:rFonts w:eastAsia="仿宋_GB2312"/>
          <w:color w:val="000000" w:themeColor="text1"/>
          <w:sz w:val="36"/>
          <w:szCs w:val="36"/>
          <w14:textFill>
            <w14:solidFill>
              <w14:schemeClr w14:val="tx1"/>
            </w14:solidFill>
          </w14:textFill>
        </w:rPr>
        <w:t>编制日期：</w:t>
      </w:r>
      <w:r>
        <w:rPr>
          <w:rFonts w:eastAsia="仿宋_GB2312"/>
          <w:color w:val="000000" w:themeColor="text1"/>
          <w:sz w:val="36"/>
          <w:szCs w:val="36"/>
          <w:u w:val="single"/>
          <w14:textFill>
            <w14:solidFill>
              <w14:schemeClr w14:val="tx1"/>
            </w14:solidFill>
          </w14:textFill>
        </w:rPr>
        <w:t xml:space="preserve">             202</w:t>
      </w:r>
      <w:r>
        <w:rPr>
          <w:rFonts w:hint="eastAsia" w:eastAsia="仿宋_GB2312"/>
          <w:color w:val="000000" w:themeColor="text1"/>
          <w:sz w:val="36"/>
          <w:szCs w:val="36"/>
          <w:u w:val="single"/>
          <w14:textFill>
            <w14:solidFill>
              <w14:schemeClr w14:val="tx1"/>
            </w14:solidFill>
          </w14:textFill>
        </w:rPr>
        <w:t>6</w:t>
      </w:r>
      <w:r>
        <w:rPr>
          <w:rFonts w:eastAsia="仿宋_GB2312"/>
          <w:color w:val="000000" w:themeColor="text1"/>
          <w:sz w:val="36"/>
          <w:szCs w:val="36"/>
          <w:u w:val="single"/>
          <w14:textFill>
            <w14:solidFill>
              <w14:schemeClr w14:val="tx1"/>
            </w14:solidFill>
          </w14:textFill>
        </w:rPr>
        <w:t>年</w:t>
      </w:r>
      <w:r>
        <w:rPr>
          <w:rFonts w:hint="eastAsia" w:eastAsia="仿宋_GB2312"/>
          <w:color w:val="000000" w:themeColor="text1"/>
          <w:sz w:val="36"/>
          <w:szCs w:val="36"/>
          <w:u w:val="single"/>
          <w:lang w:val="en-US" w:eastAsia="zh-CN"/>
          <w14:textFill>
            <w14:solidFill>
              <w14:schemeClr w14:val="tx1"/>
            </w14:solidFill>
          </w14:textFill>
        </w:rPr>
        <w:t>8</w:t>
      </w:r>
      <w:r>
        <w:rPr>
          <w:rFonts w:eastAsia="仿宋_GB2312"/>
          <w:color w:val="000000" w:themeColor="text1"/>
          <w:sz w:val="36"/>
          <w:szCs w:val="36"/>
          <w:u w:val="single"/>
          <w14:textFill>
            <w14:solidFill>
              <w14:schemeClr w14:val="tx1"/>
            </w14:solidFill>
          </w14:textFill>
        </w:rPr>
        <w:t xml:space="preserve">月              </w:t>
      </w:r>
      <w:r>
        <w:rPr>
          <w:rFonts w:hint="eastAsia" w:eastAsia="仿宋_GB2312"/>
          <w:color w:val="000000" w:themeColor="text1"/>
          <w:sz w:val="36"/>
          <w:szCs w:val="36"/>
          <w:u w:val="single"/>
          <w14:textFill>
            <w14:solidFill>
              <w14:schemeClr w14:val="tx1"/>
            </w14:solidFill>
          </w14:textFill>
        </w:rPr>
        <w:t xml:space="preserve"> </w:t>
      </w:r>
    </w:p>
    <w:p w14:paraId="29801524">
      <w:pPr>
        <w:ind w:firstLine="0" w:firstLineChars="0"/>
        <w:rPr>
          <w:rFonts w:eastAsia="仿宋_GB2312"/>
          <w:color w:val="000000" w:themeColor="text1"/>
          <w:sz w:val="36"/>
          <w:szCs w:val="36"/>
          <w:u w:val="single"/>
          <w14:textFill>
            <w14:solidFill>
              <w14:schemeClr w14:val="tx1"/>
            </w14:solidFill>
          </w14:textFill>
        </w:rPr>
      </w:pPr>
    </w:p>
    <w:p w14:paraId="31B7E251">
      <w:pPr>
        <w:spacing w:line="288" w:lineRule="auto"/>
        <w:ind w:firstLine="0" w:firstLineChars="0"/>
        <w:rPr>
          <w:rFonts w:eastAsia="仿宋_GB2312"/>
          <w:color w:val="000000" w:themeColor="text1"/>
          <w:sz w:val="36"/>
          <w:szCs w:val="36"/>
          <w14:textFill>
            <w14:solidFill>
              <w14:schemeClr w14:val="tx1"/>
            </w14:solidFill>
          </w14:textFill>
        </w:rPr>
      </w:pPr>
    </w:p>
    <w:p w14:paraId="767207E7">
      <w:pPr>
        <w:spacing w:line="288" w:lineRule="auto"/>
        <w:ind w:firstLine="0" w:firstLineChars="0"/>
        <w:rPr>
          <w:rFonts w:eastAsia="仿宋_GB2312"/>
          <w:color w:val="000000" w:themeColor="text1"/>
          <w:sz w:val="36"/>
          <w:szCs w:val="36"/>
          <w14:textFill>
            <w14:solidFill>
              <w14:schemeClr w14:val="tx1"/>
            </w14:solidFill>
          </w14:textFill>
        </w:rPr>
      </w:pPr>
    </w:p>
    <w:p w14:paraId="0FA617E4">
      <w:pPr>
        <w:spacing w:line="288" w:lineRule="auto"/>
        <w:ind w:firstLine="0" w:firstLineChars="0"/>
        <w:rPr>
          <w:rFonts w:eastAsia="仿宋_GB2312"/>
          <w:color w:val="000000" w:themeColor="text1"/>
          <w:sz w:val="36"/>
          <w:szCs w:val="36"/>
          <w14:textFill>
            <w14:solidFill>
              <w14:schemeClr w14:val="tx1"/>
            </w14:solidFill>
          </w14:textFill>
        </w:rPr>
      </w:pPr>
    </w:p>
    <w:p w14:paraId="71EF39C0">
      <w:pPr>
        <w:spacing w:line="288" w:lineRule="auto"/>
        <w:ind w:firstLine="0" w:firstLineChars="0"/>
        <w:rPr>
          <w:rFonts w:eastAsia="仿宋_GB2312"/>
          <w:color w:val="000000" w:themeColor="text1"/>
          <w:sz w:val="36"/>
          <w:szCs w:val="36"/>
          <w14:textFill>
            <w14:solidFill>
              <w14:schemeClr w14:val="tx1"/>
            </w14:solidFill>
          </w14:textFill>
        </w:rPr>
      </w:pPr>
    </w:p>
    <w:p w14:paraId="44CF9C76">
      <w:pPr>
        <w:spacing w:line="288" w:lineRule="auto"/>
        <w:ind w:firstLine="0" w:firstLineChars="0"/>
        <w:jc w:val="center"/>
        <w:rPr>
          <w:rFonts w:eastAsia="楷体_GB2312"/>
          <w:color w:val="000000" w:themeColor="text1"/>
          <w:sz w:val="36"/>
          <w:szCs w:val="36"/>
          <w14:textFill>
            <w14:solidFill>
              <w14:schemeClr w14:val="tx1"/>
            </w14:solidFill>
          </w14:textFill>
        </w:rPr>
      </w:pPr>
      <w:r>
        <w:rPr>
          <w:rFonts w:eastAsia="楷体_GB2312"/>
          <w:color w:val="000000" w:themeColor="text1"/>
          <w:sz w:val="36"/>
          <w:szCs w:val="36"/>
          <w14:textFill>
            <w14:solidFill>
              <w14:schemeClr w14:val="tx1"/>
            </w14:solidFill>
          </w14:textFill>
        </w:rPr>
        <w:t>中华人民共和国生态环境部制</w:t>
      </w:r>
    </w:p>
    <w:p w14:paraId="6BB22B57">
      <w:pPr>
        <w:pStyle w:val="2"/>
        <w:rPr>
          <w:bCs w:val="0"/>
          <w:color w:val="000000" w:themeColor="text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701" w:left="1531" w:header="851" w:footer="1077" w:gutter="0"/>
          <w:pgNumType w:start="1"/>
          <w:cols w:space="720" w:num="1"/>
          <w:docGrid w:linePitch="312" w:charSpace="0"/>
        </w:sectPr>
      </w:pPr>
    </w:p>
    <w:p w14:paraId="2D35910F">
      <w:pPr>
        <w:pStyle w:val="2"/>
        <w:rPr>
          <w:bCs w:val="0"/>
          <w:color w:val="000000" w:themeColor="text1"/>
          <w14:textFill>
            <w14:solidFill>
              <w14:schemeClr w14:val="tx1"/>
            </w14:solidFill>
          </w14:textFill>
        </w:rPr>
      </w:pPr>
      <w:r>
        <w:rPr>
          <w:bCs w:val="0"/>
          <w:color w:val="000000" w:themeColor="text1"/>
          <w14:textFill>
            <w14:solidFill>
              <w14:schemeClr w14:val="tx1"/>
            </w14:solidFill>
          </w14:textFill>
        </w:rPr>
        <w:t>一、建设项目基本情况</w:t>
      </w:r>
    </w:p>
    <w:tbl>
      <w:tblPr>
        <w:tblStyle w:val="16"/>
        <w:tblW w:w="8917"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697"/>
        <w:gridCol w:w="933"/>
        <w:gridCol w:w="2075"/>
        <w:gridCol w:w="2205"/>
        <w:gridCol w:w="8"/>
        <w:gridCol w:w="2999"/>
      </w:tblGrid>
      <w:tr w14:paraId="41C5C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630" w:type="dxa"/>
            <w:gridSpan w:val="2"/>
            <w:tcMar>
              <w:top w:w="16" w:type="dxa"/>
              <w:left w:w="16" w:type="dxa"/>
              <w:right w:w="16" w:type="dxa"/>
            </w:tcMar>
            <w:vAlign w:val="center"/>
          </w:tcPr>
          <w:p w14:paraId="7B0AA804">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建设项目名称</w:t>
            </w:r>
          </w:p>
        </w:tc>
        <w:tc>
          <w:tcPr>
            <w:tcW w:w="7287" w:type="dxa"/>
            <w:gridSpan w:val="4"/>
            <w:vAlign w:val="center"/>
          </w:tcPr>
          <w:p w14:paraId="62DC8ACD">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萨探1块萨102-124等4口井钻试工程</w:t>
            </w:r>
          </w:p>
        </w:tc>
      </w:tr>
      <w:tr w14:paraId="0576E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630" w:type="dxa"/>
            <w:gridSpan w:val="2"/>
            <w:tcMar>
              <w:top w:w="16" w:type="dxa"/>
              <w:left w:w="16" w:type="dxa"/>
              <w:right w:w="16" w:type="dxa"/>
            </w:tcMar>
            <w:vAlign w:val="center"/>
          </w:tcPr>
          <w:p w14:paraId="5AE218D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项目代码</w:t>
            </w:r>
          </w:p>
        </w:tc>
        <w:tc>
          <w:tcPr>
            <w:tcW w:w="7287" w:type="dxa"/>
            <w:gridSpan w:val="4"/>
            <w:vAlign w:val="center"/>
          </w:tcPr>
          <w:p w14:paraId="2EE0E9D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无</w:t>
            </w:r>
          </w:p>
        </w:tc>
      </w:tr>
      <w:tr w14:paraId="03E832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630" w:type="dxa"/>
            <w:gridSpan w:val="2"/>
            <w:tcMar>
              <w:top w:w="16" w:type="dxa"/>
              <w:left w:w="16" w:type="dxa"/>
              <w:right w:w="16" w:type="dxa"/>
            </w:tcMar>
            <w:vAlign w:val="center"/>
          </w:tcPr>
          <w:p w14:paraId="3DF0F5CF">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建设单位联系人</w:t>
            </w:r>
          </w:p>
        </w:tc>
        <w:tc>
          <w:tcPr>
            <w:tcW w:w="2075" w:type="dxa"/>
            <w:vAlign w:val="center"/>
          </w:tcPr>
          <w:p w14:paraId="6012E85B">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2213" w:type="dxa"/>
            <w:gridSpan w:val="2"/>
            <w:vAlign w:val="center"/>
          </w:tcPr>
          <w:p w14:paraId="5068C2F3">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联系方式</w:t>
            </w:r>
          </w:p>
        </w:tc>
        <w:tc>
          <w:tcPr>
            <w:tcW w:w="2999" w:type="dxa"/>
            <w:vAlign w:val="center"/>
          </w:tcPr>
          <w:p w14:paraId="5E0BC096">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r>
      <w:tr w14:paraId="1EE45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630" w:type="dxa"/>
            <w:gridSpan w:val="2"/>
            <w:tcMar>
              <w:top w:w="16" w:type="dxa"/>
              <w:left w:w="16" w:type="dxa"/>
              <w:right w:w="16" w:type="dxa"/>
            </w:tcMar>
            <w:vAlign w:val="center"/>
          </w:tcPr>
          <w:p w14:paraId="7DDE9ED1">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建设地点</w:t>
            </w:r>
          </w:p>
        </w:tc>
        <w:tc>
          <w:tcPr>
            <w:tcW w:w="7287" w:type="dxa"/>
            <w:gridSpan w:val="4"/>
            <w:vAlign w:val="center"/>
          </w:tcPr>
          <w:p w14:paraId="607FB8E0">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新疆维吾尔自治区昌吉回族自治州奇台县</w:t>
            </w:r>
          </w:p>
        </w:tc>
      </w:tr>
      <w:tr w14:paraId="716DF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38" w:hRule="atLeast"/>
        </w:trPr>
        <w:tc>
          <w:tcPr>
            <w:tcW w:w="1630" w:type="dxa"/>
            <w:gridSpan w:val="2"/>
            <w:tcMar>
              <w:top w:w="16" w:type="dxa"/>
              <w:left w:w="16" w:type="dxa"/>
              <w:right w:w="16" w:type="dxa"/>
            </w:tcMar>
            <w:vAlign w:val="center"/>
          </w:tcPr>
          <w:p w14:paraId="396E7E90">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地理坐标</w:t>
            </w:r>
          </w:p>
        </w:tc>
        <w:tc>
          <w:tcPr>
            <w:tcW w:w="7287" w:type="dxa"/>
            <w:gridSpan w:val="4"/>
            <w:vAlign w:val="center"/>
          </w:tcPr>
          <w:p w14:paraId="5EFA2829">
            <w:pPr>
              <w:spacing w:line="240" w:lineRule="auto"/>
              <w:ind w:firstLine="0" w:firstLineChars="0"/>
              <w:jc w:val="center"/>
              <w:rPr>
                <w:rFonts w:hint="default" w:eastAsia="宋体"/>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萨102-124井：</w:t>
            </w:r>
            <w:r>
              <w:rPr>
                <w:rFonts w:hint="eastAsia"/>
                <w:color w:val="000000" w:themeColor="text1"/>
                <w:sz w:val="24"/>
                <w:szCs w:val="24"/>
                <w:lang w:val="en-US" w:eastAsia="zh-CN"/>
                <w14:textFill>
                  <w14:solidFill>
                    <w14:schemeClr w14:val="tx1"/>
                  </w14:solidFill>
                </w14:textFill>
              </w:rPr>
              <w:t>***</w:t>
            </w:r>
          </w:p>
          <w:p w14:paraId="3DE3A288">
            <w:pPr>
              <w:pStyle w:val="15"/>
              <w:spacing w:line="240" w:lineRule="auto"/>
              <w:ind w:firstLine="0" w:firstLineChars="0"/>
              <w:jc w:val="center"/>
              <w:rPr>
                <w:rFonts w:ascii="Times New Roman" w:hAnsi="Times New Roman" w:eastAsia="宋体"/>
                <w:color w:val="000000" w:themeColor="text1"/>
                <w:sz w:val="24"/>
                <w:szCs w:val="24"/>
                <w14:textFill>
                  <w14:solidFill>
                    <w14:schemeClr w14:val="tx1"/>
                  </w14:solidFill>
                </w14:textFill>
              </w:rPr>
            </w:pPr>
            <w:r>
              <w:rPr>
                <w:rFonts w:ascii="Times New Roman" w:hAnsi="Times New Roman" w:eastAsia="宋体"/>
                <w:color w:val="000000" w:themeColor="text1"/>
                <w:sz w:val="24"/>
                <w:szCs w:val="24"/>
                <w14:textFill>
                  <w14:solidFill>
                    <w14:schemeClr w14:val="tx1"/>
                  </w14:solidFill>
                </w14:textFill>
              </w:rPr>
              <w:t>萨102-224井：</w:t>
            </w:r>
            <w:r>
              <w:rPr>
                <w:rFonts w:hint="eastAsia"/>
                <w:color w:val="000000" w:themeColor="text1"/>
                <w:sz w:val="24"/>
                <w:szCs w:val="24"/>
                <w:lang w:val="en-US" w:eastAsia="zh-CN"/>
                <w14:textFill>
                  <w14:solidFill>
                    <w14:schemeClr w14:val="tx1"/>
                  </w14:solidFill>
                </w14:textFill>
              </w:rPr>
              <w:t>***</w:t>
            </w:r>
          </w:p>
          <w:p w14:paraId="60DF1BFD">
            <w:pPr>
              <w:pStyle w:val="9"/>
              <w:spacing w:line="240" w:lineRule="auto"/>
              <w:ind w:firstLine="0" w:firstLineChars="0"/>
              <w:jc w:val="center"/>
              <w:rPr>
                <w:rFonts w:ascii="Times New Roman" w:hAnsi="Times New Roman" w:eastAsia="宋体"/>
                <w:color w:val="000000" w:themeColor="text1"/>
                <w:sz w:val="24"/>
                <w:szCs w:val="24"/>
                <w14:textFill>
                  <w14:solidFill>
                    <w14:schemeClr w14:val="tx1"/>
                  </w14:solidFill>
                </w14:textFill>
              </w:rPr>
            </w:pPr>
            <w:r>
              <w:rPr>
                <w:rFonts w:ascii="Times New Roman" w:hAnsi="Times New Roman" w:eastAsia="宋体"/>
                <w:color w:val="000000" w:themeColor="text1"/>
                <w:sz w:val="24"/>
                <w:szCs w:val="24"/>
                <w14:textFill>
                  <w14:solidFill>
                    <w14:schemeClr w14:val="tx1"/>
                  </w14:solidFill>
                </w14:textFill>
              </w:rPr>
              <w:t>萨102-115井：</w:t>
            </w:r>
            <w:r>
              <w:rPr>
                <w:rFonts w:hint="eastAsia"/>
                <w:color w:val="000000" w:themeColor="text1"/>
                <w:sz w:val="24"/>
                <w:szCs w:val="24"/>
                <w:lang w:val="en-US" w:eastAsia="zh-CN"/>
                <w14:textFill>
                  <w14:solidFill>
                    <w14:schemeClr w14:val="tx1"/>
                  </w14:solidFill>
                </w14:textFill>
              </w:rPr>
              <w:t>***</w:t>
            </w:r>
          </w:p>
          <w:p w14:paraId="6A4197EB">
            <w:pPr>
              <w:pStyle w:val="9"/>
              <w:spacing w:line="240" w:lineRule="auto"/>
              <w:ind w:firstLine="0" w:firstLineChars="0"/>
              <w:jc w:val="center"/>
              <w:rPr>
                <w:rFonts w:hint="eastAsia"/>
                <w:color w:val="000000" w:themeColor="text1"/>
                <w14:textFill>
                  <w14:solidFill>
                    <w14:schemeClr w14:val="tx1"/>
                  </w14:solidFill>
                </w14:textFill>
              </w:rPr>
            </w:pPr>
            <w:r>
              <w:rPr>
                <w:rFonts w:ascii="Times New Roman" w:hAnsi="Times New Roman" w:eastAsia="宋体"/>
                <w:color w:val="000000" w:themeColor="text1"/>
                <w:sz w:val="24"/>
                <w:szCs w:val="24"/>
                <w14:textFill>
                  <w14:solidFill>
                    <w14:schemeClr w14:val="tx1"/>
                  </w14:solidFill>
                </w14:textFill>
              </w:rPr>
              <w:t>萨102-215井：</w:t>
            </w:r>
            <w:r>
              <w:rPr>
                <w:rFonts w:hint="eastAsia"/>
                <w:color w:val="000000" w:themeColor="text1"/>
                <w:sz w:val="24"/>
                <w:szCs w:val="24"/>
                <w:lang w:val="en-US" w:eastAsia="zh-CN"/>
                <w14:textFill>
                  <w14:solidFill>
                    <w14:schemeClr w14:val="tx1"/>
                  </w14:solidFill>
                </w14:textFill>
              </w:rPr>
              <w:t>***</w:t>
            </w:r>
          </w:p>
        </w:tc>
      </w:tr>
      <w:tr w14:paraId="12A295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72" w:hRule="atLeast"/>
        </w:trPr>
        <w:tc>
          <w:tcPr>
            <w:tcW w:w="1630" w:type="dxa"/>
            <w:gridSpan w:val="2"/>
            <w:tcMar>
              <w:top w:w="16" w:type="dxa"/>
              <w:left w:w="16" w:type="dxa"/>
              <w:right w:w="16" w:type="dxa"/>
            </w:tcMar>
            <w:vAlign w:val="center"/>
          </w:tcPr>
          <w:p w14:paraId="22E31015">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建设项目</w:t>
            </w:r>
          </w:p>
          <w:p w14:paraId="7BECB77D">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行业类别</w:t>
            </w:r>
          </w:p>
        </w:tc>
        <w:tc>
          <w:tcPr>
            <w:tcW w:w="2075" w:type="dxa"/>
            <w:vAlign w:val="center"/>
          </w:tcPr>
          <w:p w14:paraId="434829A6">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四十六、专业技术服务业99陆地矿产资源地质勘查（含油气资源勘探）；二氧化碳地质封存</w:t>
            </w:r>
          </w:p>
        </w:tc>
        <w:tc>
          <w:tcPr>
            <w:tcW w:w="2205" w:type="dxa"/>
            <w:vAlign w:val="center"/>
          </w:tcPr>
          <w:p w14:paraId="4272AD3B">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用地（用海）面积（m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）/长度（km）</w:t>
            </w:r>
          </w:p>
        </w:tc>
        <w:tc>
          <w:tcPr>
            <w:tcW w:w="3007" w:type="dxa"/>
            <w:gridSpan w:val="2"/>
            <w:vAlign w:val="center"/>
          </w:tcPr>
          <w:p w14:paraId="446C87CD">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临时占地：29072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p>
        </w:tc>
      </w:tr>
      <w:tr w14:paraId="0CD6CA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11" w:hRule="atLeast"/>
        </w:trPr>
        <w:tc>
          <w:tcPr>
            <w:tcW w:w="1630" w:type="dxa"/>
            <w:gridSpan w:val="2"/>
            <w:tcMar>
              <w:top w:w="16" w:type="dxa"/>
              <w:left w:w="16" w:type="dxa"/>
              <w:right w:w="16" w:type="dxa"/>
            </w:tcMar>
            <w:vAlign w:val="center"/>
          </w:tcPr>
          <w:p w14:paraId="0249257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建设性质</w:t>
            </w:r>
          </w:p>
        </w:tc>
        <w:tc>
          <w:tcPr>
            <w:tcW w:w="2075" w:type="dxa"/>
            <w:vAlign w:val="center"/>
          </w:tcPr>
          <w:p w14:paraId="4B2E4847">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☑新建（迁建）</w:t>
            </w:r>
          </w:p>
          <w:p w14:paraId="499798AC">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□改建</w:t>
            </w:r>
          </w:p>
          <w:p w14:paraId="57C8D6E6">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□扩建</w:t>
            </w:r>
          </w:p>
          <w:p w14:paraId="4EE91C48">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□技术改造</w:t>
            </w:r>
          </w:p>
        </w:tc>
        <w:tc>
          <w:tcPr>
            <w:tcW w:w="2205" w:type="dxa"/>
            <w:vAlign w:val="center"/>
          </w:tcPr>
          <w:p w14:paraId="5FEED11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建设项目</w:t>
            </w:r>
          </w:p>
          <w:p w14:paraId="67D9595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申报情形</w:t>
            </w:r>
          </w:p>
        </w:tc>
        <w:tc>
          <w:tcPr>
            <w:tcW w:w="3007" w:type="dxa"/>
            <w:gridSpan w:val="2"/>
            <w:vAlign w:val="center"/>
          </w:tcPr>
          <w:p w14:paraId="18465374">
            <w:pPr>
              <w:spacing w:line="240" w:lineRule="auto"/>
              <w:ind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首次申报项目</w:t>
            </w:r>
          </w:p>
          <w:p w14:paraId="5CFC369F">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□不予批准后再次申报项目</w:t>
            </w:r>
          </w:p>
          <w:p w14:paraId="52C8556A">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□超五年重新审核项目</w:t>
            </w:r>
          </w:p>
          <w:p w14:paraId="6A81B3AC">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□重大变动重新报批项目</w:t>
            </w:r>
          </w:p>
        </w:tc>
      </w:tr>
      <w:tr w14:paraId="53B863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79" w:hRule="atLeast"/>
        </w:trPr>
        <w:tc>
          <w:tcPr>
            <w:tcW w:w="1630" w:type="dxa"/>
            <w:gridSpan w:val="2"/>
            <w:tcMar>
              <w:top w:w="16" w:type="dxa"/>
              <w:left w:w="16" w:type="dxa"/>
              <w:right w:w="16" w:type="dxa"/>
            </w:tcMar>
            <w:vAlign w:val="center"/>
          </w:tcPr>
          <w:p w14:paraId="2722102C">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项目审批（核准/备案）部门（选填）</w:t>
            </w:r>
          </w:p>
        </w:tc>
        <w:tc>
          <w:tcPr>
            <w:tcW w:w="2075" w:type="dxa"/>
            <w:vAlign w:val="center"/>
          </w:tcPr>
          <w:p w14:paraId="60D332C3">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2205" w:type="dxa"/>
            <w:vAlign w:val="center"/>
          </w:tcPr>
          <w:p w14:paraId="214F475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项目审批（核准/备案）文号（选填）</w:t>
            </w:r>
          </w:p>
        </w:tc>
        <w:tc>
          <w:tcPr>
            <w:tcW w:w="3007" w:type="dxa"/>
            <w:gridSpan w:val="2"/>
            <w:vAlign w:val="center"/>
          </w:tcPr>
          <w:p w14:paraId="796FDE84">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677C9C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7" w:hRule="atLeast"/>
        </w:trPr>
        <w:tc>
          <w:tcPr>
            <w:tcW w:w="1630" w:type="dxa"/>
            <w:gridSpan w:val="2"/>
            <w:tcMar>
              <w:top w:w="16" w:type="dxa"/>
              <w:left w:w="16" w:type="dxa"/>
              <w:right w:w="16" w:type="dxa"/>
            </w:tcMar>
            <w:vAlign w:val="center"/>
          </w:tcPr>
          <w:p w14:paraId="63DFD7DD">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总投资（万元）</w:t>
            </w:r>
          </w:p>
        </w:tc>
        <w:tc>
          <w:tcPr>
            <w:tcW w:w="2075" w:type="dxa"/>
            <w:vAlign w:val="center"/>
          </w:tcPr>
          <w:p w14:paraId="1D693106">
            <w:pPr>
              <w:spacing w:line="240" w:lineRule="auto"/>
              <w:ind w:firstLine="0" w:firstLineChars="0"/>
              <w:jc w:val="center"/>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15200</w:t>
            </w:r>
          </w:p>
        </w:tc>
        <w:tc>
          <w:tcPr>
            <w:tcW w:w="2205" w:type="dxa"/>
            <w:tcMar>
              <w:top w:w="16" w:type="dxa"/>
              <w:left w:w="16" w:type="dxa"/>
              <w:right w:w="16" w:type="dxa"/>
            </w:tcMar>
            <w:vAlign w:val="center"/>
          </w:tcPr>
          <w:p w14:paraId="678A70B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环保投资（万元）</w:t>
            </w:r>
          </w:p>
        </w:tc>
        <w:tc>
          <w:tcPr>
            <w:tcW w:w="3007" w:type="dxa"/>
            <w:gridSpan w:val="2"/>
            <w:vAlign w:val="center"/>
          </w:tcPr>
          <w:p w14:paraId="45123B60">
            <w:pPr>
              <w:spacing w:line="240" w:lineRule="auto"/>
              <w:ind w:firstLine="0" w:firstLineChars="0"/>
              <w:jc w:val="center"/>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8</w:t>
            </w:r>
          </w:p>
        </w:tc>
      </w:tr>
      <w:tr w14:paraId="1BBB5C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8" w:hRule="atLeast"/>
        </w:trPr>
        <w:tc>
          <w:tcPr>
            <w:tcW w:w="1630" w:type="dxa"/>
            <w:gridSpan w:val="2"/>
            <w:tcMar>
              <w:top w:w="16" w:type="dxa"/>
              <w:left w:w="16" w:type="dxa"/>
              <w:right w:w="16" w:type="dxa"/>
            </w:tcMar>
            <w:vAlign w:val="center"/>
          </w:tcPr>
          <w:p w14:paraId="327E780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环保投资占比（%）</w:t>
            </w:r>
          </w:p>
        </w:tc>
        <w:tc>
          <w:tcPr>
            <w:tcW w:w="2075" w:type="dxa"/>
            <w:vAlign w:val="center"/>
          </w:tcPr>
          <w:p w14:paraId="38D0714D">
            <w:pPr>
              <w:spacing w:line="240" w:lineRule="auto"/>
              <w:ind w:firstLine="0" w:firstLineChars="0"/>
              <w:jc w:val="center"/>
              <w:rPr>
                <w:rFonts w:hint="default" w:eastAsia="宋体"/>
                <w:color w:val="000000" w:themeColor="text1"/>
                <w:highlight w:val="yellow"/>
                <w:lang w:val="en-US" w:eastAsia="zh-CN"/>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63</w:t>
            </w:r>
          </w:p>
        </w:tc>
        <w:tc>
          <w:tcPr>
            <w:tcW w:w="2205" w:type="dxa"/>
            <w:tcMar>
              <w:top w:w="16" w:type="dxa"/>
              <w:left w:w="16" w:type="dxa"/>
              <w:right w:w="16" w:type="dxa"/>
            </w:tcMar>
            <w:vAlign w:val="center"/>
          </w:tcPr>
          <w:p w14:paraId="2F976400">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施工工期</w:t>
            </w:r>
          </w:p>
        </w:tc>
        <w:tc>
          <w:tcPr>
            <w:tcW w:w="3007" w:type="dxa"/>
            <w:gridSpan w:val="2"/>
            <w:vAlign w:val="center"/>
          </w:tcPr>
          <w:p w14:paraId="5DE42359">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钻井期：</w:t>
            </w:r>
            <w:r>
              <w:rPr>
                <w:rFonts w:hint="eastAsia"/>
                <w:color w:val="000000" w:themeColor="text1"/>
                <w14:textFill>
                  <w14:solidFill>
                    <w14:schemeClr w14:val="tx1"/>
                  </w14:solidFill>
                </w14:textFill>
              </w:rPr>
              <w:t>196</w:t>
            </w:r>
            <w:r>
              <w:rPr>
                <w:color w:val="000000" w:themeColor="text1"/>
                <w14:textFill>
                  <w14:solidFill>
                    <w14:schemeClr w14:val="tx1"/>
                  </w14:solidFill>
                </w14:textFill>
              </w:rPr>
              <w:t>d</w:t>
            </w:r>
          </w:p>
          <w:p w14:paraId="142CF4E3">
            <w:pPr>
              <w:spacing w:line="240" w:lineRule="auto"/>
              <w:ind w:firstLine="0" w:firstLineChars="0"/>
              <w:jc w:val="center"/>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单井</w:t>
            </w:r>
            <w:r>
              <w:rPr>
                <w:color w:val="000000" w:themeColor="text1"/>
                <w14:textFill>
                  <w14:solidFill>
                    <w14:schemeClr w14:val="tx1"/>
                  </w14:solidFill>
                </w14:textFill>
              </w:rPr>
              <w:t>试油期：</w:t>
            </w:r>
            <w:r>
              <w:rPr>
                <w:rFonts w:hint="eastAsia"/>
                <w:color w:val="000000" w:themeColor="text1"/>
                <w14:textFill>
                  <w14:solidFill>
                    <w14:schemeClr w14:val="tx1"/>
                  </w14:solidFill>
                </w14:textFill>
              </w:rPr>
              <w:t>180</w:t>
            </w:r>
            <w:r>
              <w:rPr>
                <w:color w:val="000000" w:themeColor="text1"/>
                <w14:textFill>
                  <w14:solidFill>
                    <w14:schemeClr w14:val="tx1"/>
                  </w14:solidFill>
                </w14:textFill>
              </w:rPr>
              <w:t>d</w:t>
            </w:r>
          </w:p>
        </w:tc>
      </w:tr>
      <w:tr w14:paraId="11B6FC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8" w:hRule="atLeast"/>
        </w:trPr>
        <w:tc>
          <w:tcPr>
            <w:tcW w:w="1630" w:type="dxa"/>
            <w:gridSpan w:val="2"/>
            <w:tcMar>
              <w:top w:w="16" w:type="dxa"/>
              <w:left w:w="16" w:type="dxa"/>
              <w:right w:w="16" w:type="dxa"/>
            </w:tcMar>
            <w:vAlign w:val="center"/>
          </w:tcPr>
          <w:p w14:paraId="7DEB3C69">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是否开工建设</w:t>
            </w:r>
          </w:p>
        </w:tc>
        <w:tc>
          <w:tcPr>
            <w:tcW w:w="7287" w:type="dxa"/>
            <w:gridSpan w:val="4"/>
            <w:vAlign w:val="center"/>
          </w:tcPr>
          <w:p w14:paraId="44797491">
            <w:pPr>
              <w:spacing w:line="240" w:lineRule="auto"/>
              <w:ind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否</w:t>
            </w:r>
          </w:p>
          <w:p w14:paraId="0279B23A">
            <w:pPr>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□是：</w:t>
            </w:r>
          </w:p>
        </w:tc>
      </w:tr>
      <w:tr w14:paraId="281CD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30" w:type="dxa"/>
            <w:gridSpan w:val="2"/>
            <w:tcMar>
              <w:top w:w="16" w:type="dxa"/>
              <w:left w:w="16" w:type="dxa"/>
              <w:right w:w="16" w:type="dxa"/>
            </w:tcMar>
            <w:vAlign w:val="center"/>
          </w:tcPr>
          <w:p w14:paraId="340121B4">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专项评价设置情况</w:t>
            </w:r>
          </w:p>
        </w:tc>
        <w:tc>
          <w:tcPr>
            <w:tcW w:w="7287" w:type="dxa"/>
            <w:gridSpan w:val="4"/>
            <w:tcMar>
              <w:top w:w="16" w:type="dxa"/>
              <w:left w:w="16" w:type="dxa"/>
              <w:right w:w="16" w:type="dxa"/>
            </w:tcMar>
            <w:vAlign w:val="center"/>
          </w:tcPr>
          <w:p w14:paraId="2A76BC27">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无</w:t>
            </w:r>
          </w:p>
        </w:tc>
      </w:tr>
      <w:tr w14:paraId="1DB3C9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81" w:hRule="atLeast"/>
        </w:trPr>
        <w:tc>
          <w:tcPr>
            <w:tcW w:w="1630" w:type="dxa"/>
            <w:gridSpan w:val="2"/>
            <w:tcMar>
              <w:top w:w="16" w:type="dxa"/>
              <w:left w:w="16" w:type="dxa"/>
              <w:right w:w="16" w:type="dxa"/>
            </w:tcMar>
            <w:vAlign w:val="center"/>
          </w:tcPr>
          <w:p w14:paraId="7627BF7F">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规划情况</w:t>
            </w:r>
          </w:p>
        </w:tc>
        <w:tc>
          <w:tcPr>
            <w:tcW w:w="7287" w:type="dxa"/>
            <w:gridSpan w:val="4"/>
            <w:tcMar>
              <w:top w:w="16" w:type="dxa"/>
              <w:left w:w="16" w:type="dxa"/>
              <w:right w:w="16" w:type="dxa"/>
            </w:tcMar>
            <w:vAlign w:val="center"/>
          </w:tcPr>
          <w:p w14:paraId="6DEA6E69">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cs="宋体"/>
                <w:color w:val="000000" w:themeColor="text1"/>
                <w14:textFill>
                  <w14:solidFill>
                    <w14:schemeClr w14:val="tx1"/>
                  </w14:solidFill>
                </w14:textFill>
              </w:rPr>
              <w:t>规划名称：《新疆维吾尔自治区矿产资源总体规划（</w:t>
            </w:r>
            <w:r>
              <w:rPr>
                <w:rFonts w:ascii="Times New Roman" w:hAnsi="Times New Roman"/>
                <w:color w:val="000000" w:themeColor="text1"/>
                <w14:textFill>
                  <w14:solidFill>
                    <w14:schemeClr w14:val="tx1"/>
                  </w14:solidFill>
                </w14:textFill>
              </w:rPr>
              <w:t>2021-2025</w:t>
            </w:r>
            <w:r>
              <w:rPr>
                <w:rFonts w:hint="eastAsia" w:cs="宋体"/>
                <w:color w:val="000000" w:themeColor="text1"/>
                <w14:textFill>
                  <w14:solidFill>
                    <w14:schemeClr w14:val="tx1"/>
                  </w14:solidFill>
                </w14:textFill>
              </w:rPr>
              <w:t>年）》；</w:t>
            </w:r>
          </w:p>
          <w:p w14:paraId="559A94F9">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审批机关：自然资源部；</w:t>
            </w:r>
          </w:p>
          <w:p w14:paraId="265204C7">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审批文号：自然资函〔</w:t>
            </w:r>
            <w:r>
              <w:rPr>
                <w:rFonts w:ascii="Times New Roman" w:hAnsi="Times New Roman"/>
                <w:color w:val="000000" w:themeColor="text1"/>
                <w14:textFill>
                  <w14:solidFill>
                    <w14:schemeClr w14:val="tx1"/>
                  </w14:solidFill>
                </w14:textFill>
              </w:rPr>
              <w:t>2022</w:t>
            </w:r>
            <w:r>
              <w:rPr>
                <w:rFonts w:hint="eastAsia" w:cs="宋体"/>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1092</w:t>
            </w:r>
            <w:r>
              <w:rPr>
                <w:rFonts w:hint="eastAsia" w:cs="宋体"/>
                <w:color w:val="000000" w:themeColor="text1"/>
                <w14:textFill>
                  <w14:solidFill>
                    <w14:schemeClr w14:val="tx1"/>
                  </w14:solidFill>
                </w14:textFill>
              </w:rPr>
              <w:t>号。</w:t>
            </w:r>
          </w:p>
          <w:p w14:paraId="338E047C">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w:t>
            </w:r>
            <w:r>
              <w:rPr>
                <w:rFonts w:hint="eastAsia" w:cs="宋体"/>
                <w:color w:val="000000" w:themeColor="text1"/>
                <w14:textFill>
                  <w14:solidFill>
                    <w14:schemeClr w14:val="tx1"/>
                  </w14:solidFill>
                </w14:textFill>
              </w:rPr>
              <w:t>规划名称：《新疆维吾尔自治区昌吉回族自治州矿产资源总体规划（</w:t>
            </w:r>
            <w:r>
              <w:rPr>
                <w:rFonts w:ascii="Times New Roman" w:hAnsi="Times New Roman"/>
                <w:color w:val="000000" w:themeColor="text1"/>
                <w14:textFill>
                  <w14:solidFill>
                    <w14:schemeClr w14:val="tx1"/>
                  </w14:solidFill>
                </w14:textFill>
              </w:rPr>
              <w:t>2021-2025</w:t>
            </w:r>
            <w:r>
              <w:rPr>
                <w:rFonts w:hint="eastAsia" w:cs="宋体"/>
                <w:color w:val="000000" w:themeColor="text1"/>
                <w14:textFill>
                  <w14:solidFill>
                    <w14:schemeClr w14:val="tx1"/>
                  </w14:solidFill>
                </w14:textFill>
              </w:rPr>
              <w:t>年）》；</w:t>
            </w:r>
          </w:p>
          <w:p w14:paraId="6A4ED9BE">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规划编制单位：昌吉回族自治州人民政府。</w:t>
            </w:r>
          </w:p>
          <w:p w14:paraId="6E043FE9">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w:t>
            </w:r>
            <w:r>
              <w:rPr>
                <w:rFonts w:hint="eastAsia" w:cs="宋体"/>
                <w:color w:val="000000" w:themeColor="text1"/>
                <w14:textFill>
                  <w14:solidFill>
                    <w14:schemeClr w14:val="tx1"/>
                  </w14:solidFill>
                </w14:textFill>
              </w:rPr>
              <w:t>规划名称：《吐哈油田公司勘探与生产业务</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十四五</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发展规划》；</w:t>
            </w:r>
          </w:p>
          <w:p w14:paraId="3414D172">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规划编制单位：中国石油天然气股份有限公司吐哈油田分公司。</w:t>
            </w:r>
          </w:p>
        </w:tc>
      </w:tr>
      <w:tr w14:paraId="30B2C0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81" w:hRule="atLeast"/>
        </w:trPr>
        <w:tc>
          <w:tcPr>
            <w:tcW w:w="1630" w:type="dxa"/>
            <w:gridSpan w:val="2"/>
            <w:tcMar>
              <w:top w:w="16" w:type="dxa"/>
              <w:left w:w="16" w:type="dxa"/>
              <w:right w:w="16" w:type="dxa"/>
            </w:tcMar>
            <w:vAlign w:val="center"/>
          </w:tcPr>
          <w:p w14:paraId="15411BE1">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规划环境影响评价情况</w:t>
            </w:r>
          </w:p>
        </w:tc>
        <w:tc>
          <w:tcPr>
            <w:tcW w:w="7287" w:type="dxa"/>
            <w:gridSpan w:val="4"/>
            <w:tcMar>
              <w:top w:w="16" w:type="dxa"/>
              <w:left w:w="16" w:type="dxa"/>
              <w:right w:w="16" w:type="dxa"/>
            </w:tcMar>
            <w:vAlign w:val="center"/>
          </w:tcPr>
          <w:p w14:paraId="7DD73C75">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cs="宋体"/>
                <w:color w:val="000000" w:themeColor="text1"/>
                <w14:textFill>
                  <w14:solidFill>
                    <w14:schemeClr w14:val="tx1"/>
                  </w14:solidFill>
                </w14:textFill>
              </w:rPr>
              <w:t>环评文件名称：《新疆维吾尔自治区矿产资源总体规划（</w:t>
            </w:r>
            <w:r>
              <w:rPr>
                <w:rFonts w:ascii="Times New Roman" w:hAnsi="Times New Roman"/>
                <w:color w:val="000000" w:themeColor="text1"/>
                <w14:textFill>
                  <w14:solidFill>
                    <w14:schemeClr w14:val="tx1"/>
                  </w14:solidFill>
                </w14:textFill>
              </w:rPr>
              <w:t>2021-2025</w:t>
            </w:r>
            <w:r>
              <w:rPr>
                <w:rFonts w:hint="eastAsia" w:cs="宋体"/>
                <w:color w:val="000000" w:themeColor="text1"/>
                <w14:textFill>
                  <w14:solidFill>
                    <w14:schemeClr w14:val="tx1"/>
                  </w14:solidFill>
                </w14:textFill>
              </w:rPr>
              <w:t>年）环境影响报告书》；</w:t>
            </w:r>
          </w:p>
          <w:p w14:paraId="45375DC6">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审查机关：生态环境部；</w:t>
            </w:r>
          </w:p>
          <w:p w14:paraId="781545C6">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审查文件名称及文号：关于《新疆维吾尔自治区矿产资源总体规划（</w:t>
            </w:r>
            <w:r>
              <w:rPr>
                <w:rFonts w:ascii="Times New Roman" w:hAnsi="Times New Roman"/>
                <w:color w:val="000000" w:themeColor="text1"/>
                <w14:textFill>
                  <w14:solidFill>
                    <w14:schemeClr w14:val="tx1"/>
                  </w14:solidFill>
                </w14:textFill>
              </w:rPr>
              <w:t>2021-2025</w:t>
            </w:r>
            <w:r>
              <w:rPr>
                <w:rFonts w:hint="eastAsia" w:cs="宋体"/>
                <w:color w:val="000000" w:themeColor="text1"/>
                <w14:textFill>
                  <w14:solidFill>
                    <w14:schemeClr w14:val="tx1"/>
                  </w14:solidFill>
                </w14:textFill>
              </w:rPr>
              <w:t>年）环境影响报告书》的审查意见（环审〔</w:t>
            </w:r>
            <w:r>
              <w:rPr>
                <w:rFonts w:ascii="Times New Roman" w:hAnsi="Times New Roman"/>
                <w:color w:val="000000" w:themeColor="text1"/>
                <w14:textFill>
                  <w14:solidFill>
                    <w14:schemeClr w14:val="tx1"/>
                  </w14:solidFill>
                </w14:textFill>
              </w:rPr>
              <w:t>2022</w:t>
            </w:r>
            <w:r>
              <w:rPr>
                <w:rFonts w:hint="eastAsia" w:cs="宋体"/>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124</w:t>
            </w:r>
            <w:r>
              <w:rPr>
                <w:rFonts w:hint="eastAsia" w:cs="宋体"/>
                <w:color w:val="000000" w:themeColor="text1"/>
                <w14:textFill>
                  <w14:solidFill>
                    <w14:schemeClr w14:val="tx1"/>
                  </w14:solidFill>
                </w14:textFill>
              </w:rPr>
              <w:t>号）。</w:t>
            </w:r>
          </w:p>
          <w:p w14:paraId="6322BCC1">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w:t>
            </w:r>
            <w:r>
              <w:rPr>
                <w:rFonts w:hint="eastAsia" w:cs="宋体"/>
                <w:color w:val="000000" w:themeColor="text1"/>
                <w14:textFill>
                  <w14:solidFill>
                    <w14:schemeClr w14:val="tx1"/>
                  </w14:solidFill>
                </w14:textFill>
              </w:rPr>
              <w:t>环评文件名称：《新疆维吾尔自治区昌吉回族自治州矿产资源总体规划（</w:t>
            </w:r>
            <w:r>
              <w:rPr>
                <w:rFonts w:ascii="Times New Roman" w:hAnsi="Times New Roman"/>
                <w:color w:val="000000" w:themeColor="text1"/>
                <w14:textFill>
                  <w14:solidFill>
                    <w14:schemeClr w14:val="tx1"/>
                  </w14:solidFill>
                </w14:textFill>
              </w:rPr>
              <w:t>2021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2025</w:t>
            </w:r>
            <w:r>
              <w:rPr>
                <w:rFonts w:hint="eastAsia" w:cs="宋体"/>
                <w:color w:val="000000" w:themeColor="text1"/>
                <w14:textFill>
                  <w14:solidFill>
                    <w14:schemeClr w14:val="tx1"/>
                  </w14:solidFill>
                </w14:textFill>
              </w:rPr>
              <w:t>年）环境影响报告书》；</w:t>
            </w:r>
          </w:p>
          <w:p w14:paraId="46B033D2">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审查机关：昌吉回族自治州生态环境局；</w:t>
            </w:r>
          </w:p>
          <w:p w14:paraId="70C0D4DB">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审查文件名称及文号：关于《新疆维吾尔自治区昌吉回族自治州矿产资源总体规划（</w:t>
            </w:r>
            <w:r>
              <w:rPr>
                <w:rFonts w:ascii="Times New Roman" w:hAnsi="Times New Roman"/>
                <w:color w:val="000000" w:themeColor="text1"/>
                <w14:textFill>
                  <w14:solidFill>
                    <w14:schemeClr w14:val="tx1"/>
                  </w14:solidFill>
                </w14:textFill>
              </w:rPr>
              <w:t>2021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2025</w:t>
            </w:r>
            <w:r>
              <w:rPr>
                <w:rFonts w:hint="eastAsia" w:cs="宋体"/>
                <w:color w:val="000000" w:themeColor="text1"/>
                <w14:textFill>
                  <w14:solidFill>
                    <w14:schemeClr w14:val="tx1"/>
                  </w14:solidFill>
                </w14:textFill>
              </w:rPr>
              <w:t>年）环境影响报告书》的审查意见（昌州环函〔</w:t>
            </w:r>
            <w:r>
              <w:rPr>
                <w:rFonts w:ascii="Times New Roman" w:hAnsi="Times New Roman"/>
                <w:color w:val="000000" w:themeColor="text1"/>
                <w14:textFill>
                  <w14:solidFill>
                    <w14:schemeClr w14:val="tx1"/>
                  </w14:solidFill>
                </w14:textFill>
              </w:rPr>
              <w:t>2023</w:t>
            </w:r>
            <w:r>
              <w:rPr>
                <w:rFonts w:hint="eastAsia" w:cs="宋体"/>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40</w:t>
            </w:r>
            <w:r>
              <w:rPr>
                <w:rFonts w:hint="eastAsia" w:cs="宋体"/>
                <w:color w:val="000000" w:themeColor="text1"/>
                <w14:textFill>
                  <w14:solidFill>
                    <w14:schemeClr w14:val="tx1"/>
                  </w14:solidFill>
                </w14:textFill>
              </w:rPr>
              <w:t>号）。</w:t>
            </w:r>
          </w:p>
        </w:tc>
      </w:tr>
      <w:tr w14:paraId="34AF6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97" w:type="dxa"/>
            <w:tcMar>
              <w:top w:w="16" w:type="dxa"/>
              <w:left w:w="16" w:type="dxa"/>
              <w:right w:w="16" w:type="dxa"/>
            </w:tcMar>
            <w:vAlign w:val="center"/>
          </w:tcPr>
          <w:p w14:paraId="547DD11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规划及规划环境影响评价符合性分析</w:t>
            </w:r>
          </w:p>
        </w:tc>
        <w:tc>
          <w:tcPr>
            <w:tcW w:w="8220" w:type="dxa"/>
            <w:gridSpan w:val="5"/>
            <w:tcMar>
              <w:top w:w="16" w:type="dxa"/>
              <w:left w:w="16" w:type="dxa"/>
              <w:right w:w="16" w:type="dxa"/>
            </w:tcMar>
            <w:vAlign w:val="center"/>
          </w:tcPr>
          <w:p w14:paraId="79CB458E">
            <w:pPr>
              <w:pStyle w:val="14"/>
              <w:spacing w:before="0" w:beforeAutospacing="0" w:after="0" w:afterAutospacing="0"/>
              <w:ind w:firstLine="0" w:firstLineChars="0"/>
              <w:textAlignment w:val="center"/>
              <w:rPr>
                <w:rFonts w:hint="eastAsia"/>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1</w:t>
            </w:r>
            <w:r>
              <w:rPr>
                <w:rFonts w:hint="eastAsia" w:ascii="Times New Roman" w:hAnsi="Times New Roman"/>
                <w:b/>
                <w:bCs/>
                <w:color w:val="000000" w:themeColor="text1"/>
                <w:sz w:val="28"/>
                <w:szCs w:val="28"/>
                <w14:textFill>
                  <w14:solidFill>
                    <w14:schemeClr w14:val="tx1"/>
                  </w14:solidFill>
                </w14:textFill>
              </w:rPr>
              <w:t xml:space="preserve"> </w:t>
            </w:r>
            <w:r>
              <w:rPr>
                <w:rFonts w:hint="eastAsia" w:cs="宋体"/>
                <w:b/>
                <w:bCs/>
                <w:color w:val="000000" w:themeColor="text1"/>
                <w:sz w:val="28"/>
                <w:szCs w:val="28"/>
                <w14:textFill>
                  <w14:solidFill>
                    <w14:schemeClr w14:val="tx1"/>
                  </w14:solidFill>
                </w14:textFill>
              </w:rPr>
              <w:t>与《新疆维吾尔自治区矿产资源总体规划（</w:t>
            </w:r>
            <w:r>
              <w:rPr>
                <w:rFonts w:ascii="Times New Roman" w:hAnsi="Times New Roman"/>
                <w:b/>
                <w:bCs/>
                <w:color w:val="000000" w:themeColor="text1"/>
                <w:sz w:val="28"/>
                <w:szCs w:val="28"/>
                <w14:textFill>
                  <w14:solidFill>
                    <w14:schemeClr w14:val="tx1"/>
                  </w14:solidFill>
                </w14:textFill>
              </w:rPr>
              <w:t>2021</w:t>
            </w:r>
            <w:r>
              <w:rPr>
                <w:rFonts w:hint="eastAsia" w:ascii="Times New Roman" w:hAnsi="Times New Roman"/>
                <w:b/>
                <w:bCs/>
                <w:color w:val="000000" w:themeColor="text1"/>
                <w:sz w:val="28"/>
                <w:szCs w:val="28"/>
                <w14:textFill>
                  <w14:solidFill>
                    <w14:schemeClr w14:val="tx1"/>
                  </w14:solidFill>
                </w14:textFill>
              </w:rPr>
              <w:t>-</w:t>
            </w:r>
            <w:r>
              <w:rPr>
                <w:rFonts w:ascii="Times New Roman" w:hAnsi="Times New Roman"/>
                <w:b/>
                <w:bCs/>
                <w:color w:val="000000" w:themeColor="text1"/>
                <w:sz w:val="28"/>
                <w:szCs w:val="28"/>
                <w14:textFill>
                  <w14:solidFill>
                    <w14:schemeClr w14:val="tx1"/>
                  </w14:solidFill>
                </w14:textFill>
              </w:rPr>
              <w:t>2025</w:t>
            </w:r>
            <w:r>
              <w:rPr>
                <w:rFonts w:hint="eastAsia" w:cs="宋体"/>
                <w:b/>
                <w:bCs/>
                <w:color w:val="000000" w:themeColor="text1"/>
                <w:sz w:val="28"/>
                <w:szCs w:val="28"/>
                <w14:textFill>
                  <w14:solidFill>
                    <w14:schemeClr w14:val="tx1"/>
                  </w14:solidFill>
                </w14:textFill>
              </w:rPr>
              <w:t>年）》及规划环评的符合性分析</w:t>
            </w:r>
          </w:p>
          <w:p w14:paraId="06384F80">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新疆矿产资源丰富，是我国重要的能源资源开发区。规划将石油、天然气列为重点勘查开采矿种，鼓励勘探和开发；并依据矿产资源分布特点及勘查开发利用现状，按照</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深化北疆东疆、加快南疆勘查开发</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的总体思路，划分了环准噶尔、环塔里木、阿尔泰、东准噶尔、西准噶尔、东天山、西天山、西南天山、西昆仑、东昆仑</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阿尔金等</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两环八带</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十个勘查开发区。规划环评要求对勘查开发活动中产生的污染物采取相应的治理措施，对生态影响实施有效的减缓措施。</w:t>
            </w:r>
          </w:p>
          <w:p w14:paraId="394E9F2B">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本项目拟部署的</w:t>
            </w:r>
            <w:r>
              <w:rPr>
                <w:rFonts w:hint="eastAsia" w:ascii="Times New Roman" w:hAnsi="Times New Roman"/>
                <w:color w:val="000000" w:themeColor="text1"/>
                <w14:textFill>
                  <w14:solidFill>
                    <w14:schemeClr w14:val="tx1"/>
                  </w14:solidFill>
                </w14:textFill>
              </w:rPr>
              <w:t>4</w:t>
            </w:r>
            <w:r>
              <w:rPr>
                <w:rFonts w:hint="eastAsia" w:cs="宋体"/>
                <w:color w:val="000000" w:themeColor="text1"/>
                <w14:textFill>
                  <w14:solidFill>
                    <w14:schemeClr w14:val="tx1"/>
                  </w14:solidFill>
                </w14:textFill>
              </w:rPr>
              <w:t>口勘探井位于</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两环八带</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中的环准噶尔能源矿产勘查开发区，属于陆地矿产资源地质勘查（含油气资源勘探），符合规划要求。项目按照《新疆维吾尔自治区矿产资源总体规划（</w:t>
            </w:r>
            <w:r>
              <w:rPr>
                <w:rFonts w:ascii="Times New Roman" w:hAnsi="Times New Roman"/>
                <w:color w:val="000000" w:themeColor="text1"/>
                <w14:textFill>
                  <w14:solidFill>
                    <w14:schemeClr w14:val="tx1"/>
                  </w14:solidFill>
                </w14:textFill>
              </w:rPr>
              <w:t>2021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2025</w:t>
            </w:r>
            <w:r>
              <w:rPr>
                <w:rFonts w:hint="eastAsia" w:cs="宋体"/>
                <w:color w:val="000000" w:themeColor="text1"/>
                <w14:textFill>
                  <w14:solidFill>
                    <w14:schemeClr w14:val="tx1"/>
                  </w14:solidFill>
                </w14:textFill>
              </w:rPr>
              <w:t>年）环境影响报告书》要求，在施工期落实了相应的污染防治与生态保护措施：一是废水防治方面，生活污水经防渗收集池收集后定期拉运至吉木萨尔县污水处理厂处理，井下作业废水（洗井废水、压裂返排液）全部回收，由密闭罐车运输至吉康脱水站处理达标后回注油藏，不外排；二是废气防治方面，伴生气通过排气管线充分燃烧后放空 ，对施工扬尘采取物料覆盖、场地洒水抑尘和车辆限速等措施；三是固体废物处置方面，钻井全过程采用</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泥浆不落地</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工艺 ，钻井液循环利用率超过</w:t>
            </w:r>
            <w:r>
              <w:rPr>
                <w:rFonts w:ascii="Times New Roman" w:hAnsi="Times New Roman"/>
                <w:color w:val="000000" w:themeColor="text1"/>
                <w14:textFill>
                  <w14:solidFill>
                    <w14:schemeClr w14:val="tx1"/>
                  </w14:solidFill>
                </w14:textFill>
              </w:rPr>
              <w:t>95%</w:t>
            </w:r>
            <w:r>
              <w:rPr>
                <w:rFonts w:hint="eastAsia" w:cs="宋体"/>
                <w:color w:val="000000" w:themeColor="text1"/>
                <w14:textFill>
                  <w14:solidFill>
                    <w14:schemeClr w14:val="tx1"/>
                  </w14:solidFill>
                </w14:textFill>
              </w:rPr>
              <w:t>，落地油</w:t>
            </w:r>
            <w:r>
              <w:rPr>
                <w:rFonts w:ascii="Times New Roman" w:hAnsi="Times New Roman"/>
                <w:color w:val="000000" w:themeColor="text1"/>
                <w14:textFill>
                  <w14:solidFill>
                    <w14:schemeClr w14:val="tx1"/>
                  </w14:solidFill>
                </w14:textFill>
              </w:rPr>
              <w:t>100%</w:t>
            </w:r>
            <w:r>
              <w:rPr>
                <w:rFonts w:hint="eastAsia" w:cs="宋体"/>
                <w:color w:val="000000" w:themeColor="text1"/>
                <w14:textFill>
                  <w14:solidFill>
                    <w14:schemeClr w14:val="tx1"/>
                  </w14:solidFill>
                </w14:textFill>
              </w:rPr>
              <w:t>回收；水基钻井岩屑由具备资质单位资源化利用或妥善处置，油基及沾油岩屑、废防渗材料、废润滑油、废弃防渗膜等危险废物全部委托新疆中建环能北庭环保科技有限公司进行无害化处置；四是噪声控制方面，对钻机、柴油机等高噪声设备采取减振、隔声及合理施工时段措施，确保噪声达标排放；五是生态保护方面，严格控制临时占地范围，施工结束后及时清理平整场地，促进植被自然恢复。综上，项目已明确并落实了规划环评要求的污染防治与生态减缓措施，符合《新疆维吾尔自治区矿产资源总体规划（</w:t>
            </w:r>
            <w:r>
              <w:rPr>
                <w:rFonts w:ascii="Times New Roman" w:hAnsi="Times New Roman"/>
                <w:color w:val="000000" w:themeColor="text1"/>
                <w14:textFill>
                  <w14:solidFill>
                    <w14:schemeClr w14:val="tx1"/>
                  </w14:solidFill>
                </w14:textFill>
              </w:rPr>
              <w:t>2021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2025</w:t>
            </w:r>
            <w:r>
              <w:rPr>
                <w:rFonts w:hint="eastAsia" w:cs="宋体"/>
                <w:color w:val="000000" w:themeColor="text1"/>
                <w14:textFill>
                  <w14:solidFill>
                    <w14:schemeClr w14:val="tx1"/>
                  </w14:solidFill>
                </w14:textFill>
              </w:rPr>
              <w:t>年）》及其规划环评的相关要求。</w:t>
            </w:r>
          </w:p>
          <w:p w14:paraId="183CFAE8">
            <w:pPr>
              <w:pStyle w:val="14"/>
              <w:spacing w:before="0" w:beforeAutospacing="0" w:after="0" w:afterAutospacing="0"/>
              <w:ind w:firstLine="0" w:firstLineChars="0"/>
              <w:textAlignment w:val="center"/>
              <w:rPr>
                <w:rFonts w:hint="eastAsia"/>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2</w:t>
            </w:r>
            <w:r>
              <w:rPr>
                <w:rFonts w:hint="eastAsia" w:ascii="Times New Roman" w:hAnsi="Times New Roman"/>
                <w:b/>
                <w:bCs/>
                <w:color w:val="000000" w:themeColor="text1"/>
                <w:sz w:val="28"/>
                <w:szCs w:val="28"/>
                <w14:textFill>
                  <w14:solidFill>
                    <w14:schemeClr w14:val="tx1"/>
                  </w14:solidFill>
                </w14:textFill>
              </w:rPr>
              <w:t xml:space="preserve"> </w:t>
            </w:r>
            <w:r>
              <w:rPr>
                <w:rFonts w:hint="eastAsia" w:cs="宋体"/>
                <w:b/>
                <w:bCs/>
                <w:color w:val="000000" w:themeColor="text1"/>
                <w:sz w:val="28"/>
                <w:szCs w:val="28"/>
                <w14:textFill>
                  <w14:solidFill>
                    <w14:schemeClr w14:val="tx1"/>
                  </w14:solidFill>
                </w14:textFill>
              </w:rPr>
              <w:t>与《新疆维吾尔自治区昌吉回族自治州矿产资源总体规划（</w:t>
            </w:r>
            <w:r>
              <w:rPr>
                <w:rFonts w:ascii="Times New Roman" w:hAnsi="Times New Roman"/>
                <w:b/>
                <w:bCs/>
                <w:color w:val="000000" w:themeColor="text1"/>
                <w:sz w:val="28"/>
                <w:szCs w:val="28"/>
                <w14:textFill>
                  <w14:solidFill>
                    <w14:schemeClr w14:val="tx1"/>
                  </w14:solidFill>
                </w14:textFill>
              </w:rPr>
              <w:t>2021</w:t>
            </w:r>
            <w:r>
              <w:rPr>
                <w:rFonts w:hint="eastAsia" w:ascii="Times New Roman" w:hAnsi="Times New Roman"/>
                <w:b/>
                <w:bCs/>
                <w:color w:val="000000" w:themeColor="text1"/>
                <w:sz w:val="28"/>
                <w:szCs w:val="28"/>
                <w14:textFill>
                  <w14:solidFill>
                    <w14:schemeClr w14:val="tx1"/>
                  </w14:solidFill>
                </w14:textFill>
              </w:rPr>
              <w:t>-</w:t>
            </w:r>
            <w:r>
              <w:rPr>
                <w:rFonts w:ascii="Times New Roman" w:hAnsi="Times New Roman"/>
                <w:b/>
                <w:bCs/>
                <w:color w:val="000000" w:themeColor="text1"/>
                <w:sz w:val="28"/>
                <w:szCs w:val="28"/>
                <w14:textFill>
                  <w14:solidFill>
                    <w14:schemeClr w14:val="tx1"/>
                  </w14:solidFill>
                </w14:textFill>
              </w:rPr>
              <w:t>2025</w:t>
            </w:r>
            <w:r>
              <w:rPr>
                <w:rFonts w:hint="eastAsia" w:cs="宋体"/>
                <w:b/>
                <w:bCs/>
                <w:color w:val="000000" w:themeColor="text1"/>
                <w:sz w:val="28"/>
                <w:szCs w:val="28"/>
                <w14:textFill>
                  <w14:solidFill>
                    <w14:schemeClr w14:val="tx1"/>
                  </w14:solidFill>
                </w14:textFill>
              </w:rPr>
              <w:t>年）》及规划环评的符合性分析</w:t>
            </w:r>
          </w:p>
          <w:p w14:paraId="7672584A">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规划》将石油、天然气列为鼓励勘查开采的矿种，以油气、煤、地热、硅质原料、饰面石材等矿产资源勘查开发为主，重点加强准噶尔南缘、准东冲断带等地区石油、天然气、页岩气等常规能源勘查，有序开发准东、准南等地区煤炭、煤层气资源，延伸煤炭产业链，推进煤电煤化工一体化等综合资源开发，助力天山北坡城市群经济高质量发展。拟部署的</w:t>
            </w:r>
            <w:r>
              <w:rPr>
                <w:rFonts w:hint="eastAsia" w:ascii="Times New Roman" w:hAnsi="Times New Roman"/>
                <w:color w:val="000000" w:themeColor="text1"/>
                <w14:textFill>
                  <w14:solidFill>
                    <w14:schemeClr w14:val="tx1"/>
                  </w14:solidFill>
                </w14:textFill>
              </w:rPr>
              <w:t>4</w:t>
            </w:r>
            <w:r>
              <w:rPr>
                <w:rFonts w:hint="eastAsia" w:cs="宋体"/>
                <w:color w:val="000000" w:themeColor="text1"/>
                <w14:textFill>
                  <w14:solidFill>
                    <w14:schemeClr w14:val="tx1"/>
                  </w14:solidFill>
                </w14:textFill>
              </w:rPr>
              <w:t>口勘探井位于准噶尔盆地吉南油田萨探区块，属于陆地石油勘探，符合规划要求。</w:t>
            </w:r>
          </w:p>
          <w:p w14:paraId="1BB21010">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占地范围内不涉及自然保护区、水源保护区、风景名胜区、城市规划区、居民密集区、重要水工设施、高速公路、铁路、永久基本农田等生态环境敏感区。施工期严格落实生态保护和污染防治措施：一是施工期生态保护措施，合理控制临时占地范围，施工结束后及时清理、平整井场及道路，促进植被自然恢复；二是废水防治措施，生活污水经防渗收集池收集后定期拉运至吉木萨尔县污水处理厂处理，井下作业废水（洗井废水、压裂返排液）全部回收，由密闭罐车运输至吉康脱水站处理达标后回注油藏，不外排；三是废气防治措施，伴生气经排气管线充分燃烧后放空，对施工扬尘采取物料遮盖、场区洒水抑尘、运输车辆限速等抑尘措施；四是固体废物处置措施，钻井全过程采用</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泥浆不落地</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工艺，钻井液循环率超过</w:t>
            </w:r>
            <w:r>
              <w:rPr>
                <w:rFonts w:ascii="Times New Roman" w:hAnsi="Times New Roman"/>
                <w:color w:val="000000" w:themeColor="text1"/>
                <w14:textFill>
                  <w14:solidFill>
                    <w14:schemeClr w14:val="tx1"/>
                  </w14:solidFill>
                </w14:textFill>
              </w:rPr>
              <w:t>95%</w:t>
            </w:r>
            <w:r>
              <w:rPr>
                <w:rFonts w:hint="eastAsia" w:cs="宋体"/>
                <w:color w:val="000000" w:themeColor="text1"/>
                <w14:textFill>
                  <w14:solidFill>
                    <w14:schemeClr w14:val="tx1"/>
                  </w14:solidFill>
                </w14:textFill>
              </w:rPr>
              <w:t>，落地油</w:t>
            </w:r>
            <w:r>
              <w:rPr>
                <w:rFonts w:ascii="Times New Roman" w:hAnsi="Times New Roman"/>
                <w:color w:val="000000" w:themeColor="text1"/>
                <w14:textFill>
                  <w14:solidFill>
                    <w14:schemeClr w14:val="tx1"/>
                  </w14:solidFill>
                </w14:textFill>
              </w:rPr>
              <w:t>100%</w:t>
            </w:r>
            <w:r>
              <w:rPr>
                <w:rFonts w:hint="eastAsia" w:cs="宋体"/>
                <w:color w:val="000000" w:themeColor="text1"/>
                <w14:textFill>
                  <w14:solidFill>
                    <w14:schemeClr w14:val="tx1"/>
                  </w14:solidFill>
                </w14:textFill>
              </w:rPr>
              <w:t>回收；水基钻井岩屑由具备资质单位综合利用或处置，油基及沾油岩屑、废防渗材料、废润滑油、废弃防渗膜等危险废物全部委托新疆中建环能北庭环保科技有限公司无害化处置；五是噪声防治措施，对钻机、柴油机等高噪声设备采取减振、隔声措施并合理安排施工时段，确保噪声达标排放。综上所述，本项目在施工期落实了污染防治与生态恢复的具体措施，生态环境保护措施可行，符合《新疆维吾尔自治区昌吉回族自治州矿产资源总体规划（</w:t>
            </w:r>
            <w:r>
              <w:rPr>
                <w:rFonts w:ascii="Times New Roman" w:hAnsi="Times New Roman"/>
                <w:color w:val="000000" w:themeColor="text1"/>
                <w14:textFill>
                  <w14:solidFill>
                    <w14:schemeClr w14:val="tx1"/>
                  </w14:solidFill>
                </w14:textFill>
              </w:rPr>
              <w:t>2021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2025</w:t>
            </w:r>
            <w:r>
              <w:rPr>
                <w:rFonts w:hint="eastAsia" w:cs="宋体"/>
                <w:color w:val="000000" w:themeColor="text1"/>
                <w14:textFill>
                  <w14:solidFill>
                    <w14:schemeClr w14:val="tx1"/>
                  </w14:solidFill>
                </w14:textFill>
              </w:rPr>
              <w:t>年）》及其规划环评的相关要求。</w:t>
            </w:r>
          </w:p>
          <w:p w14:paraId="191EEEFC">
            <w:pPr>
              <w:pStyle w:val="14"/>
              <w:spacing w:before="0" w:beforeAutospacing="0" w:after="0" w:afterAutospacing="0"/>
              <w:ind w:firstLine="0" w:firstLineChars="0"/>
              <w:textAlignment w:val="center"/>
              <w:rPr>
                <w:rFonts w:hint="eastAsia"/>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3</w:t>
            </w:r>
            <w:r>
              <w:rPr>
                <w:rFonts w:hint="eastAsia" w:ascii="Times New Roman" w:hAnsi="Times New Roman"/>
                <w:b/>
                <w:bCs/>
                <w:color w:val="000000" w:themeColor="text1"/>
                <w:sz w:val="28"/>
                <w:szCs w:val="28"/>
                <w14:textFill>
                  <w14:solidFill>
                    <w14:schemeClr w14:val="tx1"/>
                  </w14:solidFill>
                </w14:textFill>
              </w:rPr>
              <w:t xml:space="preserve"> </w:t>
            </w:r>
            <w:r>
              <w:rPr>
                <w:rFonts w:hint="eastAsia" w:cs="宋体"/>
                <w:b/>
                <w:bCs/>
                <w:color w:val="000000" w:themeColor="text1"/>
                <w:sz w:val="28"/>
                <w:szCs w:val="28"/>
                <w14:textFill>
                  <w14:solidFill>
                    <w14:schemeClr w14:val="tx1"/>
                  </w14:solidFill>
                </w14:textFill>
              </w:rPr>
              <w:t>与《吐哈油田公司勘探与生产业务</w:t>
            </w:r>
            <w:r>
              <w:rPr>
                <w:rFonts w:ascii="Times New Roman" w:hAnsi="Times New Roman"/>
                <w:b/>
                <w:bCs/>
                <w:color w:val="000000" w:themeColor="text1"/>
                <w:sz w:val="28"/>
                <w:szCs w:val="28"/>
                <w14:textFill>
                  <w14:solidFill>
                    <w14:schemeClr w14:val="tx1"/>
                  </w14:solidFill>
                </w14:textFill>
              </w:rPr>
              <w:t>“</w:t>
            </w:r>
            <w:r>
              <w:rPr>
                <w:rFonts w:hint="eastAsia" w:cs="宋体"/>
                <w:b/>
                <w:bCs/>
                <w:color w:val="000000" w:themeColor="text1"/>
                <w:sz w:val="28"/>
                <w:szCs w:val="28"/>
                <w14:textFill>
                  <w14:solidFill>
                    <w14:schemeClr w14:val="tx1"/>
                  </w14:solidFill>
                </w14:textFill>
              </w:rPr>
              <w:t>十四五</w:t>
            </w:r>
            <w:r>
              <w:rPr>
                <w:rFonts w:ascii="Times New Roman" w:hAnsi="Times New Roman"/>
                <w:b/>
                <w:bCs/>
                <w:color w:val="000000" w:themeColor="text1"/>
                <w:sz w:val="28"/>
                <w:szCs w:val="28"/>
                <w14:textFill>
                  <w14:solidFill>
                    <w14:schemeClr w14:val="tx1"/>
                  </w14:solidFill>
                </w14:textFill>
              </w:rPr>
              <w:t>”</w:t>
            </w:r>
            <w:r>
              <w:rPr>
                <w:rFonts w:hint="eastAsia" w:cs="宋体"/>
                <w:b/>
                <w:bCs/>
                <w:color w:val="000000" w:themeColor="text1"/>
                <w:sz w:val="28"/>
                <w:szCs w:val="28"/>
                <w14:textFill>
                  <w14:solidFill>
                    <w14:schemeClr w14:val="tx1"/>
                  </w14:solidFill>
                </w14:textFill>
              </w:rPr>
              <w:t>发展规划》的符合性分析</w:t>
            </w:r>
          </w:p>
          <w:p w14:paraId="52C303BA">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根据《吐哈油田公司勘探与生产业务“十四五”发展规划》中“十四五方案规划”中“规划部署内容”：（一）坚持资源战略，大打勘探发现进攻仗，筑牢高质量发展的根基。始终将勘探作为各项工作“龙头”，打好勘探发现进攻仗，发现并落实</w:t>
            </w:r>
            <w:r>
              <w:rPr>
                <w:rFonts w:ascii="Times New Roman" w:hAnsi="Times New Roman"/>
                <w:color w:val="000000" w:themeColor="text1"/>
                <w14:textFill>
                  <w14:solidFill>
                    <w14:schemeClr w14:val="tx1"/>
                  </w14:solidFill>
                </w14:textFill>
              </w:rPr>
              <w:t>2</w:t>
            </w:r>
            <w:r>
              <w:rPr>
                <w:rFonts w:hint="eastAsia" w:cs="宋体"/>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3</w:t>
            </w:r>
            <w:r>
              <w:rPr>
                <w:rFonts w:hint="eastAsia" w:cs="宋体"/>
                <w:color w:val="000000" w:themeColor="text1"/>
                <w14:textFill>
                  <w14:solidFill>
                    <w14:schemeClr w14:val="tx1"/>
                  </w14:solidFill>
                </w14:textFill>
              </w:rPr>
              <w:t>个</w:t>
            </w:r>
            <w:r>
              <w:rPr>
                <w:rFonts w:ascii="Times New Roman" w:hAnsi="Times New Roman"/>
                <w:color w:val="000000" w:themeColor="text1"/>
                <w14:textFill>
                  <w14:solidFill>
                    <w14:schemeClr w14:val="tx1"/>
                  </w14:solidFill>
                </w14:textFill>
              </w:rPr>
              <w:t>5000</w:t>
            </w:r>
            <w:r>
              <w:rPr>
                <w:rFonts w:hint="eastAsia" w:cs="宋体"/>
                <w:color w:val="000000" w:themeColor="text1"/>
                <w14:textFill>
                  <w14:solidFill>
                    <w14:schemeClr w14:val="tx1"/>
                  </w14:solidFill>
                </w14:textFill>
              </w:rPr>
              <w:t>万吨级整装规模储量区，确保探明储量替换率石油</w:t>
            </w:r>
            <w:r>
              <w:rPr>
                <w:rFonts w:ascii="Times New Roman" w:hAnsi="Times New Roman"/>
                <w:color w:val="000000" w:themeColor="text1"/>
                <w14:textFill>
                  <w14:solidFill>
                    <w14:schemeClr w14:val="tx1"/>
                  </w14:solidFill>
                </w14:textFill>
              </w:rPr>
              <w:t>&gt;1.5</w:t>
            </w:r>
            <w:r>
              <w:rPr>
                <w:rFonts w:hint="eastAsia" w:cs="宋体"/>
                <w:color w:val="000000" w:themeColor="text1"/>
                <w14:textFill>
                  <w14:solidFill>
                    <w14:schemeClr w14:val="tx1"/>
                  </w14:solidFill>
                </w14:textFill>
              </w:rPr>
              <w:t>、天然气</w:t>
            </w:r>
            <w:r>
              <w:rPr>
                <w:rFonts w:ascii="Times New Roman" w:hAnsi="Times New Roman"/>
                <w:color w:val="000000" w:themeColor="text1"/>
                <w14:textFill>
                  <w14:solidFill>
                    <w14:schemeClr w14:val="tx1"/>
                  </w14:solidFill>
                </w14:textFill>
              </w:rPr>
              <w:t>&gt;2.5</w:t>
            </w:r>
            <w:r>
              <w:rPr>
                <w:rFonts w:hint="eastAsia" w:cs="宋体"/>
                <w:color w:val="000000" w:themeColor="text1"/>
                <w14:textFill>
                  <w14:solidFill>
                    <w14:schemeClr w14:val="tx1"/>
                  </w14:solidFill>
                </w14:textFill>
              </w:rPr>
              <w:t>。加大四新领域风险勘探和甩开预探，进一步解放思想，强化基础研究与整体研究，优选突破方向，落实有利勘探领域及区带</w:t>
            </w:r>
            <w:r>
              <w:rPr>
                <w:rFonts w:ascii="Times New Roman" w:hAnsi="Times New Roman"/>
                <w:color w:val="000000" w:themeColor="text1"/>
                <w14:textFill>
                  <w14:solidFill>
                    <w14:schemeClr w14:val="tx1"/>
                  </w14:solidFill>
                </w14:textFill>
              </w:rPr>
              <w:t>6</w:t>
            </w:r>
            <w:r>
              <w:rPr>
                <w:rFonts w:hint="eastAsia" w:cs="宋体"/>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8</w:t>
            </w:r>
            <w:r>
              <w:rPr>
                <w:rFonts w:hint="eastAsia" w:cs="宋体"/>
                <w:color w:val="000000" w:themeColor="text1"/>
                <w14:textFill>
                  <w14:solidFill>
                    <w14:schemeClr w14:val="tx1"/>
                  </w14:solidFill>
                </w14:textFill>
              </w:rPr>
              <w:t>个，每年采纳风险井位</w:t>
            </w:r>
            <w:r>
              <w:rPr>
                <w:rFonts w:ascii="Times New Roman" w:hAnsi="Times New Roman"/>
                <w:color w:val="000000" w:themeColor="text1"/>
                <w14:textFill>
                  <w14:solidFill>
                    <w14:schemeClr w14:val="tx1"/>
                  </w14:solidFill>
                </w14:textFill>
              </w:rPr>
              <w:t>3-5</w:t>
            </w:r>
            <w:r>
              <w:rPr>
                <w:rFonts w:hint="eastAsia" w:cs="宋体"/>
                <w:color w:val="000000" w:themeColor="text1"/>
                <w14:textFill>
                  <w14:solidFill>
                    <w14:schemeClr w14:val="tx1"/>
                  </w14:solidFill>
                </w14:textFill>
              </w:rPr>
              <w:t>口，力争实现具有战略意义的重大突破。瞄准吐哈盆地中下侏罗系岩性油气藏、胜北致密气、石钱滩天然气、准东和三塘湖页岩油、阜康断裂带东部等领域和区带，加大集中勘探力度，努力将当前发现的好苗头转化为效益建产的规模储量，力争“十四五 ”新增探明石油储量</w:t>
            </w:r>
            <w:r>
              <w:rPr>
                <w:rFonts w:ascii="Times New Roman" w:hAnsi="Times New Roman"/>
                <w:color w:val="000000" w:themeColor="text1"/>
                <w14:textFill>
                  <w14:solidFill>
                    <w14:schemeClr w14:val="tx1"/>
                  </w14:solidFill>
                </w14:textFill>
              </w:rPr>
              <w:t>1.35</w:t>
            </w:r>
            <w:r>
              <w:rPr>
                <w:rFonts w:hint="eastAsia" w:cs="宋体"/>
                <w:color w:val="000000" w:themeColor="text1"/>
                <w14:textFill>
                  <w14:solidFill>
                    <w14:schemeClr w14:val="tx1"/>
                  </w14:solidFill>
                </w14:textFill>
              </w:rPr>
              <w:t>亿吨、天然气储量</w:t>
            </w:r>
            <w:r>
              <w:rPr>
                <w:rFonts w:ascii="Times New Roman" w:hAnsi="Times New Roman"/>
                <w:color w:val="000000" w:themeColor="text1"/>
                <w14:textFill>
                  <w14:solidFill>
                    <w14:schemeClr w14:val="tx1"/>
                  </w14:solidFill>
                </w14:textFill>
              </w:rPr>
              <w:t>900</w:t>
            </w:r>
            <w:r>
              <w:rPr>
                <w:rFonts w:hint="eastAsia" w:cs="宋体"/>
                <w:color w:val="000000" w:themeColor="text1"/>
                <w14:textFill>
                  <w14:solidFill>
                    <w14:schemeClr w14:val="tx1"/>
                  </w14:solidFill>
                </w14:textFill>
              </w:rPr>
              <w:t>亿方，为新区上产奠定坚实的资源基础。</w:t>
            </w:r>
          </w:p>
          <w:p w14:paraId="1E72C9AB">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本项目位于准噶尔盆地吉南油田萨探区块，属于《吐哈油田公司勘探与生产业务“十四五”发展规划》重点开发的吉南区块，符合此规划要求。</w:t>
            </w:r>
          </w:p>
        </w:tc>
      </w:tr>
      <w:tr w14:paraId="2D72D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97" w:type="dxa"/>
            <w:tcMar>
              <w:top w:w="16" w:type="dxa"/>
              <w:left w:w="16" w:type="dxa"/>
              <w:right w:w="16" w:type="dxa"/>
            </w:tcMar>
            <w:vAlign w:val="center"/>
          </w:tcPr>
          <w:p w14:paraId="486D7A28">
            <w:pPr>
              <w:spacing w:line="240" w:lineRule="auto"/>
              <w:ind w:firstLine="0" w:firstLineChars="0"/>
              <w:jc w:val="center"/>
              <w:rPr>
                <w:color w:val="000000" w:themeColor="text1"/>
                <w:sz w:val="21"/>
                <w:szCs w:val="21"/>
                <w14:textFill>
                  <w14:solidFill>
                    <w14:schemeClr w14:val="tx1"/>
                  </w14:solidFill>
                </w14:textFill>
              </w:rPr>
            </w:pPr>
            <w:bookmarkStart w:id="2" w:name="_Hlk56690880"/>
            <w:r>
              <w:rPr>
                <w:color w:val="000000" w:themeColor="text1"/>
                <w:sz w:val="21"/>
                <w:szCs w:val="21"/>
                <w14:textFill>
                  <w14:solidFill>
                    <w14:schemeClr w14:val="tx1"/>
                  </w14:solidFill>
                </w14:textFill>
              </w:rPr>
              <w:t>其他符合性分析</w:t>
            </w:r>
          </w:p>
        </w:tc>
        <w:tc>
          <w:tcPr>
            <w:tcW w:w="8220" w:type="dxa"/>
            <w:gridSpan w:val="5"/>
            <w:tcMar>
              <w:top w:w="16" w:type="dxa"/>
              <w:left w:w="16" w:type="dxa"/>
              <w:right w:w="16" w:type="dxa"/>
            </w:tcMar>
            <w:vAlign w:val="center"/>
          </w:tcPr>
          <w:p w14:paraId="2AF42367">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产业政策合理性分析</w:t>
            </w:r>
          </w:p>
          <w:p w14:paraId="72FEFC35">
            <w:pPr>
              <w:ind w:firstLine="480"/>
              <w:rPr>
                <w:color w:val="000000" w:themeColor="text1"/>
                <w14:textFill>
                  <w14:solidFill>
                    <w14:schemeClr w14:val="tx1"/>
                  </w14:solidFill>
                </w14:textFill>
              </w:rPr>
            </w:pPr>
            <w:r>
              <w:rPr>
                <w:color w:val="000000" w:themeColor="text1"/>
                <w14:textFill>
                  <w14:solidFill>
                    <w14:schemeClr w14:val="tx1"/>
                  </w14:solidFill>
                </w14:textFill>
              </w:rPr>
              <w:t>根据《产业结构调整指导目录（2024年本）》的有关规定，本工程属于第一类“鼓励类”第七项“石油、天然气”第1条“常规石油、天然气勘探与开采”，符合国家产业政策。</w:t>
            </w:r>
          </w:p>
          <w:p w14:paraId="3B1E7CA2">
            <w:pPr>
              <w:pStyle w:val="22"/>
              <w:ind w:firstLine="480"/>
              <w:jc w:val="left"/>
              <w:rPr>
                <w:rFonts w:ascii="Times New Roman" w:hAnsi="Times New Roman"/>
                <w:b w:val="0"/>
                <w:bCs/>
                <w:color w:val="000000" w:themeColor="text1"/>
                <w14:textFill>
                  <w14:solidFill>
                    <w14:schemeClr w14:val="tx1"/>
                  </w14:solidFill>
                </w14:textFill>
              </w:rPr>
            </w:pPr>
            <w:r>
              <w:rPr>
                <w:rFonts w:ascii="Times New Roman" w:hAnsi="Times New Roman"/>
                <w:b w:val="0"/>
                <w:bCs/>
                <w:color w:val="000000" w:themeColor="text1"/>
                <w14:textFill>
                  <w14:solidFill>
                    <w14:schemeClr w14:val="tx1"/>
                  </w14:solidFill>
                </w14:textFill>
              </w:rPr>
              <w:t>根据《市场准入负面清单》（2025年版）（发改体改规〔2025〕466号）：该清单中分禁止准入类和许可准入类两类。本工程为油气资源勘探，属于《市场准入负面清单》中“许可准入类-采矿业”，不属于禁止准入类；因此，本工程符合清单要求。</w:t>
            </w:r>
          </w:p>
          <w:p w14:paraId="1BA0249A">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与《新疆维吾尔自治区国民经济和社会发展第十四个五年规划和2035年远景目标纲要》符合性分析</w:t>
            </w:r>
          </w:p>
          <w:p w14:paraId="69A8E1F0">
            <w:pPr>
              <w:ind w:firstLine="480"/>
              <w:rPr>
                <w:color w:val="000000" w:themeColor="text1"/>
                <w14:textFill>
                  <w14:solidFill>
                    <w14:schemeClr w14:val="tx1"/>
                  </w14:solidFill>
                </w14:textFill>
              </w:rPr>
            </w:pPr>
            <w:r>
              <w:rPr>
                <w:color w:val="000000" w:themeColor="text1"/>
                <w14:textFill>
                  <w14:solidFill>
                    <w14:schemeClr w14:val="tx1"/>
                  </w14:solidFill>
                </w14:textFill>
              </w:rPr>
              <w:t>根据《新疆维吾尔自治区国民经济和社会发展第十四个五年规划和2035年远景目标纲要》要求：“建设国家大型油气生产加工和储备基地。加大准噶尔、吐哈、塔里木三大盆地油气勘探开发力度，提高新疆在油气资源开发利用转化过程中的参与度。”</w:t>
            </w:r>
          </w:p>
          <w:p w14:paraId="0EF0A4A8">
            <w:pPr>
              <w:ind w:firstLine="480"/>
              <w:rPr>
                <w:color w:val="000000" w:themeColor="text1"/>
                <w14:textFill>
                  <w14:solidFill>
                    <w14:schemeClr w14:val="tx1"/>
                  </w14:solidFill>
                </w14:textFill>
              </w:rPr>
            </w:pPr>
            <w:r>
              <w:rPr>
                <w:color w:val="000000" w:themeColor="text1"/>
                <w14:textFill>
                  <w14:solidFill>
                    <w14:schemeClr w14:val="tx1"/>
                  </w14:solidFill>
                </w14:textFill>
              </w:rPr>
              <w:t>本工程位于准噶尔盆地，属于油气勘探项目，与该规划相符。</w:t>
            </w:r>
          </w:p>
          <w:p w14:paraId="40E98D29">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与生态环境分区管控方案相符性分析</w:t>
            </w:r>
          </w:p>
          <w:p w14:paraId="5AD92659">
            <w:pPr>
              <w:adjustRightInd/>
              <w:snapToGrid/>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3.1 与自治区生态环境分区管控方案符合性分析</w:t>
            </w:r>
          </w:p>
          <w:p w14:paraId="57A116F9">
            <w:pPr>
              <w:adjustRightInd/>
              <w:snapToGrid/>
              <w:ind w:firstLine="48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本项目与《新疆维吾尔自治区生态环境分区管控动态更新成果》（新环环评发〔2024〕157号）的相符性见表1-1。</w:t>
            </w:r>
          </w:p>
          <w:p w14:paraId="59FB24D9">
            <w:pPr>
              <w:pStyle w:val="25"/>
              <w:spacing w:line="360" w:lineRule="auto"/>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表1-1  本项目与新疆维吾尔自治区生态环境分区管控总体要求</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3253"/>
              <w:gridCol w:w="3473"/>
              <w:gridCol w:w="662"/>
            </w:tblGrid>
            <w:tr w14:paraId="49C0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1" w:type="pct"/>
                  <w:vAlign w:val="center"/>
                </w:tcPr>
                <w:p w14:paraId="12C1833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管控</w:t>
                  </w:r>
                  <w:r>
                    <w:rPr>
                      <w:rFonts w:hint="eastAsia"/>
                      <w:b/>
                      <w:bCs/>
                      <w:color w:val="000000" w:themeColor="text1"/>
                      <w14:textFill>
                        <w14:solidFill>
                          <w14:schemeClr w14:val="tx1"/>
                        </w14:solidFill>
                      </w14:textFill>
                    </w:rPr>
                    <w:t>维度</w:t>
                  </w:r>
                </w:p>
              </w:tc>
              <w:tc>
                <w:tcPr>
                  <w:tcW w:w="1989" w:type="pct"/>
                  <w:vAlign w:val="center"/>
                </w:tcPr>
                <w:p w14:paraId="24D4459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管控要求</w:t>
                  </w:r>
                </w:p>
              </w:tc>
              <w:tc>
                <w:tcPr>
                  <w:tcW w:w="2124" w:type="pct"/>
                  <w:vAlign w:val="center"/>
                </w:tcPr>
                <w:p w14:paraId="7E7DFBC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05" w:type="pct"/>
                  <w:vAlign w:val="center"/>
                </w:tcPr>
                <w:p w14:paraId="423015C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1089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481" w:type="pct"/>
                  <w:vAlign w:val="center"/>
                </w:tcPr>
                <w:p w14:paraId="67DC10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空间布局约束</w:t>
                  </w:r>
                </w:p>
              </w:tc>
              <w:tc>
                <w:tcPr>
                  <w:tcW w:w="1989" w:type="pct"/>
                  <w:vAlign w:val="center"/>
                </w:tcPr>
                <w:p w14:paraId="006F47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p w14:paraId="480641B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2、应符合《产业结构调整指导目录（2024年本）》《市场准入负面清单（2022年版）》。</w:t>
                  </w:r>
                </w:p>
                <w:p w14:paraId="33143B4A">
                  <w:pPr>
                    <w:spacing w:line="240" w:lineRule="auto"/>
                    <w:ind w:firstLine="0" w:firstLineChars="0"/>
                    <w:rPr>
                      <w:b/>
                      <w:bCs/>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3</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禁止在水源涵养区、地下水源、饮用水源、自然保护区、风景名胜区、森林公园、重要湿地及人群密集区等生态敏感区域内进行煤炭、石油、天然气开发。</w:t>
                  </w:r>
                </w:p>
              </w:tc>
              <w:tc>
                <w:tcPr>
                  <w:tcW w:w="2124" w:type="pct"/>
                  <w:vAlign w:val="center"/>
                </w:tcPr>
                <w:p w14:paraId="2A33461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1、本项目符合国家、自治区主体功能区规划、自治区和各地颁布实施的生态环境功能区划、国民经济发展规划、产业发展规划、国土空间规划等相关规划要求。</w:t>
                  </w:r>
                </w:p>
                <w:p w14:paraId="0C14FA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2、项目属于《产业结构调整指导目录（2024年本）》中的鼓励类项目，属于《市场准入负面清单》</w:t>
                  </w:r>
                  <w:r>
                    <w:rPr>
                      <w:rFonts w:hint="eastAsia"/>
                      <w:color w:val="000000" w:themeColor="text1"/>
                      <w14:textFill>
                        <w14:solidFill>
                          <w14:schemeClr w14:val="tx1"/>
                        </w14:solidFill>
                      </w14:textFill>
                    </w:rPr>
                    <w:t>许可准入。</w:t>
                  </w:r>
                </w:p>
                <w:p w14:paraId="1BCBD386">
                  <w:pPr>
                    <w:spacing w:line="240" w:lineRule="auto"/>
                    <w:ind w:firstLine="0" w:firstLineChars="0"/>
                    <w:rPr>
                      <w:color w:val="000000" w:themeColor="text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本项目不涉及水源涵养区、地下水源、饮用水源、自然保护区、风景名胜区、森林公园、重要湿地及人群密集区等生态敏感区域。</w:t>
                  </w:r>
                </w:p>
              </w:tc>
              <w:tc>
                <w:tcPr>
                  <w:tcW w:w="405" w:type="pct"/>
                  <w:vAlign w:val="center"/>
                </w:tcPr>
                <w:p w14:paraId="757E7C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2C0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5" w:hRule="atLeast"/>
                <w:jc w:val="center"/>
              </w:trPr>
              <w:tc>
                <w:tcPr>
                  <w:tcW w:w="481" w:type="pct"/>
                  <w:vAlign w:val="center"/>
                </w:tcPr>
                <w:p w14:paraId="79580D5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污染物排放管控</w:t>
                  </w:r>
                </w:p>
              </w:tc>
              <w:tc>
                <w:tcPr>
                  <w:tcW w:w="1989" w:type="pct"/>
                  <w:vAlign w:val="center"/>
                </w:tcPr>
                <w:p w14:paraId="4204DC5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1、新、改、扩建重点行业建设项目应符合“三线一单”、产业政策、区域环评、规划环评和行业环境准入管控要求。重点区域的新、改、扩建重点行业建设项目应遵循重点重金属污染物排放“减量替代”原则。</w:t>
                  </w:r>
                </w:p>
                <w:p w14:paraId="4F8684C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2、严控土壤重金属污染，加强油（气）田开发土壤污染防治，以历史遗留工业企业污染场地为重点，开展土壤污染风险管控与修复工程。</w:t>
                  </w:r>
                </w:p>
              </w:tc>
              <w:tc>
                <w:tcPr>
                  <w:tcW w:w="2124" w:type="pct"/>
                  <w:vAlign w:val="center"/>
                </w:tcPr>
                <w:p w14:paraId="76A061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1、本项目</w:t>
                  </w:r>
                  <w:r>
                    <w:rPr>
                      <w:rFonts w:hint="eastAsia"/>
                      <w:color w:val="000000" w:themeColor="text1"/>
                      <w14:textFill>
                        <w14:solidFill>
                          <w14:schemeClr w14:val="tx1"/>
                        </w14:solidFill>
                      </w14:textFill>
                    </w:rPr>
                    <w:t>属于新建项目，石油勘探项目，属于国家产业政策鼓励类项目，不在重点污染物的建设项目之列。</w:t>
                  </w:r>
                </w:p>
                <w:p w14:paraId="01BA96C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本项目提出了土壤污染</w:t>
                  </w:r>
                  <w:r>
                    <w:rPr>
                      <w:color w:val="000000" w:themeColor="text1"/>
                      <w14:textFill>
                        <w14:solidFill>
                          <w14:schemeClr w14:val="tx1"/>
                        </w14:solidFill>
                      </w14:textFill>
                    </w:rPr>
                    <w:t>防治</w:t>
                  </w:r>
                  <w:r>
                    <w:rPr>
                      <w:rFonts w:hint="eastAsia"/>
                      <w:color w:val="000000" w:themeColor="text1"/>
                      <w14:textFill>
                        <w14:solidFill>
                          <w14:schemeClr w14:val="tx1"/>
                        </w14:solidFill>
                      </w14:textFill>
                    </w:rPr>
                    <w:t>措施。</w:t>
                  </w:r>
                </w:p>
              </w:tc>
              <w:tc>
                <w:tcPr>
                  <w:tcW w:w="405" w:type="pct"/>
                  <w:vAlign w:val="center"/>
                </w:tcPr>
                <w:p w14:paraId="6E37839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4567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481" w:type="pct"/>
                  <w:vAlign w:val="center"/>
                </w:tcPr>
                <w:p w14:paraId="0707B41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环境风险防控</w:t>
                  </w:r>
                </w:p>
              </w:tc>
              <w:tc>
                <w:tcPr>
                  <w:tcW w:w="1989" w:type="pct"/>
                  <w:vAlign w:val="center"/>
                </w:tcPr>
                <w:p w14:paraId="4D95088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建立和完善重污染天气兵地联合应急预案、预报预警应急机制和会商联动机制。“乌一昌一石”区域内可能影响相邻行政区域大气环境的项目，兵地</w:t>
                  </w:r>
                  <w:r>
                    <w:rPr>
                      <w:rFonts w:hint="eastAsia"/>
                      <w:color w:val="000000" w:themeColor="text1"/>
                      <w14:textFill>
                        <w14:solidFill>
                          <w14:schemeClr w14:val="tx1"/>
                        </w14:solidFill>
                      </w14:textFill>
                    </w:rPr>
                    <w:t>间</w:t>
                  </w:r>
                  <w:r>
                    <w:rPr>
                      <w:color w:val="000000" w:themeColor="text1"/>
                      <w14:textFill>
                        <w14:solidFill>
                          <w14:schemeClr w14:val="tx1"/>
                        </w14:solidFill>
                      </w14:textFill>
                    </w:rPr>
                    <w:t>、城市间必须相互征求意见。</w:t>
                  </w:r>
                </w:p>
              </w:tc>
              <w:tc>
                <w:tcPr>
                  <w:tcW w:w="2124" w:type="pct"/>
                  <w:vAlign w:val="center"/>
                </w:tcPr>
                <w:p w14:paraId="6975475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位于昌吉回族自治州奇台县，</w:t>
                  </w:r>
                  <w:r>
                    <w:rPr>
                      <w:color w:val="000000" w:themeColor="text1"/>
                      <w14:textFill>
                        <w14:solidFill>
                          <w14:schemeClr w14:val="tx1"/>
                        </w14:solidFill>
                      </w14:textFill>
                    </w:rPr>
                    <w:t>本项目产生少量无组织挥发性有机物，扬尘执行《大气污染物综合排放标准》（GB16297-1996）表2的颗粒物无组织排放限值；试油期无组织废气执行《陆上石油天然气开采工业大气污染物排放标准》（GB39728-2020）要求。</w:t>
                  </w:r>
                </w:p>
              </w:tc>
              <w:tc>
                <w:tcPr>
                  <w:tcW w:w="405" w:type="pct"/>
                  <w:vAlign w:val="center"/>
                </w:tcPr>
                <w:p w14:paraId="533F7B3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742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481" w:type="pct"/>
                  <w:vAlign w:val="center"/>
                </w:tcPr>
                <w:p w14:paraId="1F9C259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资源利用效率</w:t>
                  </w:r>
                </w:p>
              </w:tc>
              <w:tc>
                <w:tcPr>
                  <w:tcW w:w="1989" w:type="pct"/>
                  <w:vAlign w:val="center"/>
                </w:tcPr>
                <w:p w14:paraId="4459EDF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结合工业领域减污降碳要求，加快探索钢铁、有色、化工、建材等重点行业工业固体废物减量化路径，全面推行清洁生产。</w:t>
                  </w:r>
                </w:p>
                <w:p w14:paraId="490BD33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2124" w:type="pct"/>
                  <w:vAlign w:val="center"/>
                </w:tcPr>
                <w:p w14:paraId="65B373D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采用“钻井泥浆不落地技术”，钻井液循环使用，</w:t>
                  </w:r>
                  <w:r>
                    <w:rPr>
                      <w:rFonts w:hint="eastAsia"/>
                      <w:color w:val="000000" w:themeColor="text1"/>
                      <w:lang w:val="en-US" w:eastAsia="zh-CN"/>
                      <w14:textFill>
                        <w14:solidFill>
                          <w14:schemeClr w14:val="tx1"/>
                        </w14:solidFill>
                      </w14:textFill>
                    </w:rPr>
                    <w:t>剩余水基/油基泥浆由钻井队委托专业公司合规处置，</w:t>
                  </w:r>
                  <w:r>
                    <w:rPr>
                      <w:rFonts w:hint="eastAsia"/>
                      <w:color w:val="000000" w:themeColor="text1"/>
                      <w14:textFill>
                        <w14:solidFill>
                          <w14:schemeClr w14:val="tx1"/>
                        </w14:solidFill>
                      </w14:textFill>
                    </w:rPr>
                    <w:t>减少固废的产生。</w:t>
                  </w:r>
                </w:p>
              </w:tc>
              <w:tc>
                <w:tcPr>
                  <w:tcW w:w="405" w:type="pct"/>
                  <w:vAlign w:val="center"/>
                </w:tcPr>
                <w:p w14:paraId="3070178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3709EF96">
            <w:pPr>
              <w:pStyle w:val="27"/>
              <w:spacing w:line="360" w:lineRule="auto"/>
              <w:jc w:val="left"/>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3.2</w:t>
            </w:r>
            <w:r>
              <w:rPr>
                <w:rFonts w:hint="eastAsia" w:ascii="Times New Roman" w:cs="Times New Roman"/>
                <w:color w:val="000000" w:themeColor="text1"/>
                <w14:textFill>
                  <w14:solidFill>
                    <w14:schemeClr w14:val="tx1"/>
                  </w14:solidFill>
                </w14:textFill>
              </w:rPr>
              <w:t xml:space="preserve"> </w:t>
            </w:r>
            <w:r>
              <w:rPr>
                <w:rFonts w:ascii="Times New Roman" w:cs="Times New Roman"/>
                <w:color w:val="000000" w:themeColor="text1"/>
                <w14:textFill>
                  <w14:solidFill>
                    <w14:schemeClr w14:val="tx1"/>
                  </w14:solidFill>
                </w14:textFill>
              </w:rPr>
              <w:t>与</w:t>
            </w:r>
            <w:r>
              <w:rPr>
                <w:rFonts w:hint="eastAsia" w:ascii="Times New Roman" w:cs="Times New Roman"/>
                <w:color w:val="000000" w:themeColor="text1"/>
                <w14:textFill>
                  <w14:solidFill>
                    <w14:schemeClr w14:val="tx1"/>
                  </w14:solidFill>
                </w14:textFill>
              </w:rPr>
              <w:t>昌吉回族自治州</w:t>
            </w:r>
            <w:r>
              <w:rPr>
                <w:rFonts w:ascii="Times New Roman" w:cs="Times New Roman"/>
                <w:color w:val="000000" w:themeColor="text1"/>
                <w14:textFill>
                  <w14:solidFill>
                    <w14:schemeClr w14:val="tx1"/>
                  </w14:solidFill>
                </w14:textFill>
              </w:rPr>
              <w:t>生态环境分区管控方案符合性分析</w:t>
            </w:r>
          </w:p>
          <w:p w14:paraId="133921A4">
            <w:pPr>
              <w:adjustRightInd/>
              <w:snapToGrid/>
              <w:ind w:firstLine="480" w:firstLineChars="0"/>
              <w:rPr>
                <w:color w:val="000000" w:themeColor="text1"/>
                <w14:textFill>
                  <w14:solidFill>
                    <w14:schemeClr w14:val="tx1"/>
                  </w14:solidFill>
                </w14:textFill>
              </w:rPr>
            </w:pPr>
            <w:r>
              <w:rPr>
                <w:color w:val="000000" w:themeColor="text1"/>
                <w14:textFill>
                  <w14:solidFill>
                    <w14:schemeClr w14:val="tx1"/>
                  </w14:solidFill>
                </w14:textFill>
              </w:rPr>
              <w:t>根据《关于发布昌吉回族自治州生态环境分区管控动态更新成果的公告》，本项目所在区域位于</w:t>
            </w:r>
            <w:r>
              <w:rPr>
                <w:rFonts w:hint="eastAsia"/>
                <w:color w:val="000000" w:themeColor="text1"/>
                <w14:textFill>
                  <w14:solidFill>
                    <w14:schemeClr w14:val="tx1"/>
                  </w14:solidFill>
                </w14:textFill>
              </w:rPr>
              <w:t>昌吉回族自治州奇台县重点</w:t>
            </w:r>
            <w:r>
              <w:rPr>
                <w:color w:val="000000" w:themeColor="text1"/>
                <w14:textFill>
                  <w14:solidFill>
                    <w14:schemeClr w14:val="tx1"/>
                  </w14:solidFill>
                </w14:textFill>
              </w:rPr>
              <w:t>管控单元（管控单元编码：ZH65</w:t>
            </w:r>
            <w:r>
              <w:rPr>
                <w:rFonts w:hint="eastAsia"/>
                <w:color w:val="000000" w:themeColor="text1"/>
                <w14:textFill>
                  <w14:solidFill>
                    <w14:schemeClr w14:val="tx1"/>
                  </w14:solidFill>
                </w14:textFill>
              </w:rPr>
              <w:t>232520007</w:t>
            </w:r>
            <w:r>
              <w:rPr>
                <w:color w:val="000000" w:themeColor="text1"/>
                <w14:textFill>
                  <w14:solidFill>
                    <w14:schemeClr w14:val="tx1"/>
                  </w14:solidFill>
                </w14:textFill>
              </w:rPr>
              <w:t>）。本项目与</w:t>
            </w:r>
            <w:r>
              <w:rPr>
                <w:rFonts w:hint="eastAsia"/>
                <w:color w:val="000000" w:themeColor="text1"/>
                <w14:textFill>
                  <w14:solidFill>
                    <w14:schemeClr w14:val="tx1"/>
                  </w14:solidFill>
                </w14:textFill>
              </w:rPr>
              <w:t>重点</w:t>
            </w:r>
            <w:r>
              <w:rPr>
                <w:color w:val="000000" w:themeColor="text1"/>
                <w14:textFill>
                  <w14:solidFill>
                    <w14:schemeClr w14:val="tx1"/>
                  </w14:solidFill>
                </w14:textFill>
              </w:rPr>
              <w:t>管控单元相符性见表1-</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p>
          <w:p w14:paraId="11CC4362">
            <w:pPr>
              <w:pStyle w:val="25"/>
              <w:spacing w:line="360" w:lineRule="auto"/>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表1-</w:t>
            </w:r>
            <w:r>
              <w:rPr>
                <w:color w:val="000000" w:themeColor="text1"/>
                <w14:textFill>
                  <w14:solidFill>
                    <w14:schemeClr w14:val="tx1"/>
                  </w14:solidFill>
                </w14:textFill>
              </w:rPr>
              <w:t>2</w:t>
            </w:r>
            <w:r>
              <w:rPr>
                <w:rFonts w:hint="default"/>
                <w:color w:val="000000" w:themeColor="text1"/>
                <w14:textFill>
                  <w14:solidFill>
                    <w14:schemeClr w14:val="tx1"/>
                  </w14:solidFill>
                </w14:textFill>
              </w:rPr>
              <w:t xml:space="preserve">  本项目与</w:t>
            </w:r>
            <w:r>
              <w:rPr>
                <w:color w:val="000000" w:themeColor="text1"/>
                <w14:textFill>
                  <w14:solidFill>
                    <w14:schemeClr w14:val="tx1"/>
                  </w14:solidFill>
                </w14:textFill>
              </w:rPr>
              <w:t>一般</w:t>
            </w:r>
            <w:r>
              <w:rPr>
                <w:rFonts w:hint="default"/>
                <w:color w:val="000000" w:themeColor="text1"/>
                <w14:textFill>
                  <w14:solidFill>
                    <w14:schemeClr w14:val="tx1"/>
                  </w14:solidFill>
                </w14:textFill>
              </w:rPr>
              <w:t>管控单元的相符性</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677"/>
              <w:gridCol w:w="650"/>
              <w:gridCol w:w="3056"/>
              <w:gridCol w:w="2485"/>
              <w:gridCol w:w="546"/>
            </w:tblGrid>
            <w:tr w14:paraId="7CEF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vAlign w:val="center"/>
                </w:tcPr>
                <w:p w14:paraId="6441BFE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单元</w:t>
                  </w:r>
                </w:p>
                <w:p w14:paraId="496C98D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编码</w:t>
                  </w:r>
                </w:p>
              </w:tc>
              <w:tc>
                <w:tcPr>
                  <w:tcW w:w="414" w:type="pct"/>
                  <w:vAlign w:val="center"/>
                </w:tcPr>
                <w:p w14:paraId="6630AE0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环境管控单元名称</w:t>
                  </w:r>
                </w:p>
              </w:tc>
              <w:tc>
                <w:tcPr>
                  <w:tcW w:w="397" w:type="pct"/>
                  <w:vAlign w:val="center"/>
                </w:tcPr>
                <w:p w14:paraId="7491EDC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环境</w:t>
                  </w:r>
                </w:p>
                <w:p w14:paraId="1D5CE3C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管控</w:t>
                  </w:r>
                </w:p>
              </w:tc>
              <w:tc>
                <w:tcPr>
                  <w:tcW w:w="1869" w:type="pct"/>
                  <w:vAlign w:val="center"/>
                </w:tcPr>
                <w:p w14:paraId="0F9C4C4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管控要求</w:t>
                  </w:r>
                </w:p>
              </w:tc>
              <w:tc>
                <w:tcPr>
                  <w:tcW w:w="1520" w:type="pct"/>
                  <w:vAlign w:val="center"/>
                </w:tcPr>
                <w:p w14:paraId="7A27E01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334" w:type="pct"/>
                  <w:vAlign w:val="center"/>
                </w:tcPr>
                <w:p w14:paraId="66CDB6F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5927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2" w:type="pct"/>
                  <w:vMerge w:val="restart"/>
                  <w:vAlign w:val="center"/>
                </w:tcPr>
                <w:p w14:paraId="1E2A14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ZH65</w:t>
                  </w:r>
                  <w:r>
                    <w:rPr>
                      <w:rFonts w:hint="eastAsia"/>
                      <w:color w:val="000000" w:themeColor="text1"/>
                      <w14:textFill>
                        <w14:solidFill>
                          <w14:schemeClr w14:val="tx1"/>
                        </w14:solidFill>
                      </w14:textFill>
                    </w:rPr>
                    <w:t>232520007</w:t>
                  </w:r>
                </w:p>
              </w:tc>
              <w:tc>
                <w:tcPr>
                  <w:tcW w:w="414" w:type="pct"/>
                  <w:vMerge w:val="restart"/>
                  <w:vAlign w:val="center"/>
                </w:tcPr>
                <w:p w14:paraId="4F6B647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奇台县限采区</w:t>
                  </w:r>
                </w:p>
              </w:tc>
              <w:tc>
                <w:tcPr>
                  <w:tcW w:w="397" w:type="pct"/>
                  <w:vAlign w:val="center"/>
                </w:tcPr>
                <w:p w14:paraId="65FA0B1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空间布局约束</w:t>
                  </w:r>
                </w:p>
              </w:tc>
              <w:tc>
                <w:tcPr>
                  <w:tcW w:w="1869" w:type="pct"/>
                  <w:vAlign w:val="center"/>
                </w:tcPr>
                <w:p w14:paraId="44882D60">
                  <w:pPr>
                    <w:pStyle w:val="14"/>
                    <w:spacing w:before="0" w:beforeAutospacing="0" w:after="0" w:afterAutospacing="0" w:line="240" w:lineRule="auto"/>
                    <w:ind w:firstLine="0" w:firstLineChars="0"/>
                    <w:textAlignment w:val="center"/>
                    <w:rPr>
                      <w:rFonts w:hint="eastAsia"/>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严格控制缺水地区、水污染严重区域和敏感区域高耗水、高污染行业发展。</w:t>
                  </w:r>
                </w:p>
              </w:tc>
              <w:tc>
                <w:tcPr>
                  <w:tcW w:w="1520" w:type="pct"/>
                  <w:vAlign w:val="center"/>
                </w:tcPr>
                <w:p w14:paraId="3741824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.本项目不属于高耗水、高污染行业</w:t>
                  </w:r>
                  <w:r>
                    <w:rPr>
                      <w:color w:val="000000" w:themeColor="text1"/>
                      <w14:textFill>
                        <w14:solidFill>
                          <w14:schemeClr w14:val="tx1"/>
                        </w14:solidFill>
                      </w14:textFill>
                    </w:rPr>
                    <w:t>。</w:t>
                  </w:r>
                </w:p>
              </w:tc>
              <w:tc>
                <w:tcPr>
                  <w:tcW w:w="334" w:type="pct"/>
                  <w:vAlign w:val="center"/>
                </w:tcPr>
                <w:p w14:paraId="6730E0A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49C9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462" w:type="pct"/>
                  <w:vMerge w:val="continue"/>
                  <w:vAlign w:val="center"/>
                </w:tcPr>
                <w:p w14:paraId="4B0BFBA8">
                  <w:pPr>
                    <w:pStyle w:val="26"/>
                    <w:framePr w:hSpace="0" w:wrap="auto" w:vAnchor="margin" w:hAnchor="text" w:xAlign="left" w:yAlign="inline"/>
                    <w:rPr>
                      <w:color w:val="000000" w:themeColor="text1"/>
                      <w14:textFill>
                        <w14:solidFill>
                          <w14:schemeClr w14:val="tx1"/>
                        </w14:solidFill>
                      </w14:textFill>
                    </w:rPr>
                  </w:pPr>
                </w:p>
              </w:tc>
              <w:tc>
                <w:tcPr>
                  <w:tcW w:w="414" w:type="pct"/>
                  <w:vMerge w:val="continue"/>
                  <w:vAlign w:val="center"/>
                </w:tcPr>
                <w:p w14:paraId="25C24588">
                  <w:pPr>
                    <w:pStyle w:val="26"/>
                    <w:framePr w:hSpace="0" w:wrap="auto" w:vAnchor="margin" w:hAnchor="text" w:xAlign="left" w:yAlign="inline"/>
                    <w:rPr>
                      <w:color w:val="000000" w:themeColor="text1"/>
                      <w14:textFill>
                        <w14:solidFill>
                          <w14:schemeClr w14:val="tx1"/>
                        </w14:solidFill>
                      </w14:textFill>
                    </w:rPr>
                  </w:pPr>
                </w:p>
              </w:tc>
              <w:tc>
                <w:tcPr>
                  <w:tcW w:w="397" w:type="pct"/>
                  <w:vAlign w:val="center"/>
                </w:tcPr>
                <w:p w14:paraId="28F242A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污染物排放管控</w:t>
                  </w:r>
                </w:p>
              </w:tc>
              <w:tc>
                <w:tcPr>
                  <w:tcW w:w="1869" w:type="pct"/>
                  <w:vAlign w:val="center"/>
                </w:tcPr>
                <w:p w14:paraId="70F3EF1C">
                  <w:pPr>
                    <w:pStyle w:val="14"/>
                    <w:spacing w:before="0" w:beforeAutospacing="0" w:after="0" w:afterAutospacing="0" w:line="240" w:lineRule="auto"/>
                    <w:ind w:firstLine="0" w:firstLineChars="0"/>
                    <w:textAlignment w:val="center"/>
                    <w:rPr>
                      <w:rFonts w:hint="eastAsia"/>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tc>
              <w:tc>
                <w:tcPr>
                  <w:tcW w:w="1520" w:type="pct"/>
                  <w:vAlign w:val="center"/>
                </w:tcPr>
                <w:p w14:paraId="5928FB5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井场按照相关要求分区做防渗措施，不涉及污染地表水、地下水，本项目不属于</w:t>
                  </w:r>
                  <w:r>
                    <w:rPr>
                      <w:rFonts w:hint="eastAsia" w:ascii="宋体" w:hAnsi="宋体" w:cs="宋体"/>
                      <w:color w:val="000000" w:themeColor="text1"/>
                      <w14:textFill>
                        <w14:solidFill>
                          <w14:schemeClr w14:val="tx1"/>
                        </w14:solidFill>
                      </w14:textFill>
                    </w:rPr>
                    <w:t>化学品生产企业，不属于重点行业、重点企业，不属于农副食品加工、化工、印染、棉浆粕、粘胶纤维、制糖等企业综合治理和清洁化改造项目，本项目不在工业园区，不涉及工业园区污水集中处理设施的运行管理</w:t>
                  </w:r>
                  <w:r>
                    <w:rPr>
                      <w:color w:val="000000" w:themeColor="text1"/>
                      <w14:textFill>
                        <w14:solidFill>
                          <w14:schemeClr w14:val="tx1"/>
                        </w14:solidFill>
                      </w14:textFill>
                    </w:rPr>
                    <w:t>。</w:t>
                  </w:r>
                </w:p>
              </w:tc>
              <w:tc>
                <w:tcPr>
                  <w:tcW w:w="334" w:type="pct"/>
                  <w:vAlign w:val="center"/>
                </w:tcPr>
                <w:p w14:paraId="143ED6F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08C6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462" w:type="pct"/>
                  <w:vMerge w:val="continue"/>
                  <w:vAlign w:val="center"/>
                </w:tcPr>
                <w:p w14:paraId="42A1C532">
                  <w:pPr>
                    <w:pStyle w:val="26"/>
                    <w:framePr w:hSpace="0" w:wrap="auto" w:vAnchor="margin" w:hAnchor="text" w:xAlign="left" w:yAlign="inline"/>
                    <w:rPr>
                      <w:color w:val="000000" w:themeColor="text1"/>
                      <w14:textFill>
                        <w14:solidFill>
                          <w14:schemeClr w14:val="tx1"/>
                        </w14:solidFill>
                      </w14:textFill>
                    </w:rPr>
                  </w:pPr>
                </w:p>
              </w:tc>
              <w:tc>
                <w:tcPr>
                  <w:tcW w:w="414" w:type="pct"/>
                  <w:vMerge w:val="continue"/>
                  <w:vAlign w:val="center"/>
                </w:tcPr>
                <w:p w14:paraId="5316E6D4">
                  <w:pPr>
                    <w:pStyle w:val="26"/>
                    <w:framePr w:hSpace="0" w:wrap="auto" w:vAnchor="margin" w:hAnchor="text" w:xAlign="left" w:yAlign="inline"/>
                    <w:rPr>
                      <w:color w:val="000000" w:themeColor="text1"/>
                      <w14:textFill>
                        <w14:solidFill>
                          <w14:schemeClr w14:val="tx1"/>
                        </w14:solidFill>
                      </w14:textFill>
                    </w:rPr>
                  </w:pPr>
                </w:p>
              </w:tc>
              <w:tc>
                <w:tcPr>
                  <w:tcW w:w="397" w:type="pct"/>
                  <w:vAlign w:val="center"/>
                </w:tcPr>
                <w:p w14:paraId="30A240C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环境风险防控</w:t>
                  </w:r>
                </w:p>
              </w:tc>
              <w:tc>
                <w:tcPr>
                  <w:tcW w:w="1869" w:type="pct"/>
                  <w:vAlign w:val="center"/>
                </w:tcPr>
                <w:p w14:paraId="5B9C3CD4">
                  <w:pPr>
                    <w:pStyle w:val="14"/>
                    <w:spacing w:before="0" w:beforeAutospacing="0" w:after="0" w:afterAutospacing="0" w:line="240" w:lineRule="auto"/>
                    <w:ind w:firstLine="0" w:firstLineChars="0"/>
                    <w:textAlignment w:val="center"/>
                    <w:rPr>
                      <w:rFonts w:hint="eastAsia"/>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强化重点区域地下水环境风险管控。对化学品生产企业、工业集聚区、尾矿库、矿山开采区、危险废物处置场、垃圾填埋场等地下水污染源及周边区域，逐步开展地下水环境状况调查评估，加强风险管控。</w:t>
                  </w:r>
                </w:p>
              </w:tc>
              <w:tc>
                <w:tcPr>
                  <w:tcW w:w="1520" w:type="pct"/>
                  <w:vAlign w:val="center"/>
                </w:tcPr>
                <w:p w14:paraId="13D67AB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本项目不属于</w:t>
                  </w:r>
                  <w:r>
                    <w:rPr>
                      <w:rFonts w:hint="eastAsia" w:ascii="宋体" w:hAnsi="宋体" w:cs="宋体"/>
                      <w:color w:val="000000" w:themeColor="text1"/>
                      <w14:textFill>
                        <w14:solidFill>
                          <w14:schemeClr w14:val="tx1"/>
                        </w14:solidFill>
                      </w14:textFill>
                    </w:rPr>
                    <w:t>化学品生产企业、工业集聚区、尾矿库、矿山开采区、危险废物处置场、垃圾填埋场等地下水污染源及周边区域</w:t>
                  </w:r>
                  <w:r>
                    <w:rPr>
                      <w:color w:val="000000" w:themeColor="text1"/>
                      <w14:textFill>
                        <w14:solidFill>
                          <w14:schemeClr w14:val="tx1"/>
                        </w14:solidFill>
                      </w14:textFill>
                    </w:rPr>
                    <w:t>。</w:t>
                  </w:r>
                </w:p>
              </w:tc>
              <w:tc>
                <w:tcPr>
                  <w:tcW w:w="334" w:type="pct"/>
                  <w:vAlign w:val="center"/>
                </w:tcPr>
                <w:p w14:paraId="262F89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C90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462" w:type="pct"/>
                  <w:vMerge w:val="continue"/>
                  <w:vAlign w:val="center"/>
                </w:tcPr>
                <w:p w14:paraId="4E8BD4DD">
                  <w:pPr>
                    <w:pStyle w:val="26"/>
                    <w:framePr w:hSpace="0" w:wrap="auto" w:vAnchor="margin" w:hAnchor="text" w:xAlign="left" w:yAlign="inline"/>
                    <w:rPr>
                      <w:color w:val="000000" w:themeColor="text1"/>
                      <w14:textFill>
                        <w14:solidFill>
                          <w14:schemeClr w14:val="tx1"/>
                        </w14:solidFill>
                      </w14:textFill>
                    </w:rPr>
                  </w:pPr>
                </w:p>
              </w:tc>
              <w:tc>
                <w:tcPr>
                  <w:tcW w:w="414" w:type="pct"/>
                  <w:vMerge w:val="continue"/>
                  <w:vAlign w:val="center"/>
                </w:tcPr>
                <w:p w14:paraId="657202B7">
                  <w:pPr>
                    <w:pStyle w:val="26"/>
                    <w:framePr w:hSpace="0" w:wrap="auto" w:vAnchor="margin" w:hAnchor="text" w:xAlign="left" w:yAlign="inline"/>
                    <w:rPr>
                      <w:color w:val="000000" w:themeColor="text1"/>
                      <w14:textFill>
                        <w14:solidFill>
                          <w14:schemeClr w14:val="tx1"/>
                        </w14:solidFill>
                      </w14:textFill>
                    </w:rPr>
                  </w:pPr>
                </w:p>
              </w:tc>
              <w:tc>
                <w:tcPr>
                  <w:tcW w:w="397" w:type="pct"/>
                  <w:vAlign w:val="center"/>
                </w:tcPr>
                <w:p w14:paraId="61DF1DE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资源利用效率</w:t>
                  </w:r>
                </w:p>
              </w:tc>
              <w:tc>
                <w:tcPr>
                  <w:tcW w:w="1869" w:type="pct"/>
                  <w:vAlign w:val="center"/>
                </w:tcPr>
                <w:p w14:paraId="478B8861">
                  <w:pPr>
                    <w:pStyle w:val="14"/>
                    <w:spacing w:before="0" w:beforeAutospacing="0" w:after="0" w:afterAutospacing="0" w:line="240" w:lineRule="auto"/>
                    <w:ind w:firstLine="0" w:firstLineChars="0"/>
                    <w:textAlignment w:val="center"/>
                    <w:rPr>
                      <w:rFonts w:hint="eastAsia" w:cs="宋体"/>
                      <w:color w:val="000000" w:themeColor="text1"/>
                      <w:sz w:val="21"/>
                      <w:szCs w:val="21"/>
                      <w:lang w:bidi="ar"/>
                      <w14:textFill>
                        <w14:solidFill>
                          <w14:schemeClr w14:val="tx1"/>
                        </w14:solidFill>
                      </w14:textFill>
                    </w:rPr>
                  </w:pPr>
                  <w:r>
                    <w:rPr>
                      <w:rFonts w:hint="eastAsia" w:cs="宋体"/>
                      <w:color w:val="000000" w:themeColor="text1"/>
                      <w:sz w:val="21"/>
                      <w:szCs w:val="21"/>
                      <w:lang w:bidi="ar"/>
                      <w14:textFill>
                        <w14:solidFill>
                          <w14:schemeClr w14:val="tx1"/>
                        </w14:solidFill>
                      </w14:textFill>
                    </w:rPr>
                    <w:t>1、县级以上人民政府水行政主管部门应当合理配置地表水、地下水，从严控制地下水取水总量。</w:t>
                  </w:r>
                </w:p>
                <w:p w14:paraId="4EFBBA11">
                  <w:pPr>
                    <w:pStyle w:val="14"/>
                    <w:spacing w:before="0" w:beforeAutospacing="0" w:after="0" w:afterAutospacing="0" w:line="240" w:lineRule="auto"/>
                    <w:ind w:firstLine="0" w:firstLineChars="0"/>
                    <w:textAlignment w:val="center"/>
                    <w:rPr>
                      <w:rFonts w:hint="eastAsia"/>
                      <w:color w:val="000000" w:themeColor="text1"/>
                      <w:sz w:val="21"/>
                      <w:szCs w:val="21"/>
                      <w14:textFill>
                        <w14:solidFill>
                          <w14:schemeClr w14:val="tx1"/>
                        </w14:solidFill>
                      </w14:textFill>
                    </w:rPr>
                  </w:pPr>
                  <w:r>
                    <w:rPr>
                      <w:rFonts w:ascii="Times New Roman" w:hAnsi="Times New Roman"/>
                      <w:color w:val="000000" w:themeColor="text1"/>
                      <w:sz w:val="21"/>
                      <w:szCs w:val="21"/>
                      <w:lang w:bidi="ar"/>
                      <w14:textFill>
                        <w14:solidFill>
                          <w14:schemeClr w14:val="tx1"/>
                        </w14:solidFill>
                      </w14:textFill>
                    </w:rPr>
                    <w:t>2</w:t>
                  </w:r>
                  <w:r>
                    <w:rPr>
                      <w:rFonts w:hint="eastAsia" w:cs="宋体"/>
                      <w:color w:val="000000" w:themeColor="text1"/>
                      <w:sz w:val="21"/>
                      <w:szCs w:val="21"/>
                      <w:lang w:bidi="ar"/>
                      <w14:textFill>
                        <w14:solidFill>
                          <w14:schemeClr w14:val="tx1"/>
                        </w14:solidFill>
                      </w14:textFill>
                    </w:rPr>
                    <w:t>、严守水资源开发利用控制、用水效率控制和水功能区限制纳污</w:t>
                  </w:r>
                  <w:r>
                    <w:rPr>
                      <w:rFonts w:ascii="Times New Roman" w:hAnsi="Times New Roman"/>
                      <w:color w:val="000000" w:themeColor="text1"/>
                      <w:sz w:val="21"/>
                      <w:szCs w:val="21"/>
                      <w:lang w:bidi="ar"/>
                      <w14:textFill>
                        <w14:solidFill>
                          <w14:schemeClr w14:val="tx1"/>
                        </w14:solidFill>
                      </w14:textFill>
                    </w:rPr>
                    <w:t>“</w:t>
                  </w:r>
                  <w:r>
                    <w:rPr>
                      <w:rFonts w:hint="eastAsia" w:cs="宋体"/>
                      <w:color w:val="000000" w:themeColor="text1"/>
                      <w:sz w:val="21"/>
                      <w:szCs w:val="21"/>
                      <w:lang w:bidi="ar"/>
                      <w14:textFill>
                        <w14:solidFill>
                          <w14:schemeClr w14:val="tx1"/>
                        </w14:solidFill>
                      </w14:textFill>
                    </w:rPr>
                    <w:t>三条红线</w:t>
                  </w:r>
                  <w:r>
                    <w:rPr>
                      <w:rFonts w:ascii="Times New Roman" w:hAnsi="Times New Roman"/>
                      <w:color w:val="000000" w:themeColor="text1"/>
                      <w:sz w:val="21"/>
                      <w:szCs w:val="21"/>
                      <w:lang w:bidi="ar"/>
                      <w14:textFill>
                        <w14:solidFill>
                          <w14:schemeClr w14:val="tx1"/>
                        </w14:solidFill>
                      </w14:textFill>
                    </w:rPr>
                    <w:t>”</w:t>
                  </w:r>
                  <w:r>
                    <w:rPr>
                      <w:rFonts w:hint="eastAsia" w:cs="宋体"/>
                      <w:color w:val="000000" w:themeColor="text1"/>
                      <w:sz w:val="21"/>
                      <w:szCs w:val="21"/>
                      <w:lang w:bidi="ar"/>
                      <w14:textFill>
                        <w14:solidFill>
                          <w14:schemeClr w14:val="tx1"/>
                        </w14:solidFill>
                      </w14:textFill>
                    </w:rPr>
                    <w:t>，严格实行区域用水总量和</w:t>
                  </w:r>
                  <w:r>
                    <w:rPr>
                      <w:rFonts w:cs="宋体"/>
                      <w:color w:val="000000" w:themeColor="text1"/>
                      <w:sz w:val="21"/>
                      <w:szCs w:val="21"/>
                      <w:lang w:bidi="ar"/>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强度控制，强化用水定额管理。推进地下水超采综合治理。</w:t>
                  </w:r>
                </w:p>
              </w:tc>
              <w:tc>
                <w:tcPr>
                  <w:tcW w:w="1520" w:type="pct"/>
                  <w:vAlign w:val="center"/>
                </w:tcPr>
                <w:p w14:paraId="2A1E0D4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用水从附近村镇取水，尽量减少新鲜水的使用，不涉及</w:t>
                  </w:r>
                  <w:r>
                    <w:rPr>
                      <w:rFonts w:hint="eastAsia" w:ascii="宋体" w:hAnsi="宋体" w:cs="宋体"/>
                      <w:color w:val="000000" w:themeColor="text1"/>
                      <w14:textFill>
                        <w14:solidFill>
                          <w14:schemeClr w14:val="tx1"/>
                        </w14:solidFill>
                      </w14:textFill>
                    </w:rPr>
                    <w:t>地下水超采综合治理</w:t>
                  </w:r>
                  <w:r>
                    <w:rPr>
                      <w:rFonts w:hint="eastAsia"/>
                      <w:color w:val="000000" w:themeColor="text1"/>
                      <w14:textFill>
                        <w14:solidFill>
                          <w14:schemeClr w14:val="tx1"/>
                        </w14:solidFill>
                      </w14:textFill>
                    </w:rPr>
                    <w:t>。</w:t>
                  </w:r>
                </w:p>
              </w:tc>
              <w:tc>
                <w:tcPr>
                  <w:tcW w:w="334" w:type="pct"/>
                  <w:vAlign w:val="center"/>
                </w:tcPr>
                <w:p w14:paraId="5DF0DE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567B2D43">
            <w:pPr>
              <w:pStyle w:val="14"/>
              <w:spacing w:before="0" w:beforeAutospacing="0" w:after="0" w:afterAutospacing="0"/>
              <w:ind w:firstLine="480"/>
              <w:textAlignment w:val="center"/>
              <w:rPr>
                <w:rFonts w:ascii="Times New Roman" w:hAnsi="Times New Roman"/>
                <w:color w:val="000000" w:themeColor="text1"/>
                <w:kern w:val="2"/>
                <w14:textFill>
                  <w14:solidFill>
                    <w14:schemeClr w14:val="tx1"/>
                  </w14:solidFill>
                </w14:textFill>
              </w:rPr>
            </w:pPr>
            <w:r>
              <w:rPr>
                <w:rFonts w:hint="eastAsia" w:ascii="Times New Roman" w:hAnsi="Times New Roman"/>
                <w:color w:val="000000" w:themeColor="text1"/>
                <w:kern w:val="2"/>
                <w14:textFill>
                  <w14:solidFill>
                    <w14:schemeClr w14:val="tx1"/>
                  </w14:solidFill>
                </w14:textFill>
              </w:rPr>
              <w:t>综上，本项目建设符合生态环境分区管控要求。</w:t>
            </w:r>
          </w:p>
          <w:p w14:paraId="4E8452C2">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与《石油天然气开采业污染防治技术政策》符合性分析</w:t>
            </w:r>
          </w:p>
          <w:p w14:paraId="4567BA23">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本项目与《石油天然气开采业污染防治技术政策》（公告2012年第18号，2012-03-07）的相关要求相符性见表1-</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w:t>
            </w:r>
          </w:p>
          <w:p w14:paraId="375CAC81">
            <w:pPr>
              <w:pStyle w:val="29"/>
              <w:spacing w:line="36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表1-</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 xml:space="preserve">  与《石油天然气开采业污染防治技术政策》相符性分析一览表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3425"/>
              <w:gridCol w:w="3425"/>
              <w:gridCol w:w="783"/>
            </w:tblGrid>
            <w:tr w14:paraId="6E96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3" w:type="pct"/>
                  <w:vAlign w:val="center"/>
                </w:tcPr>
                <w:p w14:paraId="795297E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093" w:type="pct"/>
                  <w:vAlign w:val="center"/>
                </w:tcPr>
                <w:p w14:paraId="709A0D8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2093" w:type="pct"/>
                  <w:vAlign w:val="center"/>
                </w:tcPr>
                <w:p w14:paraId="6105A5B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79" w:type="pct"/>
                  <w:vAlign w:val="center"/>
                </w:tcPr>
                <w:p w14:paraId="30B36E2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1281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13E74E3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093" w:type="pct"/>
                  <w:vAlign w:val="center"/>
                </w:tcPr>
                <w:p w14:paraId="2BB0B4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到2015年末，行业新、改、扩建项目均采用清洁生产工艺和技术，工业废水回用率达到90%以上，工业固体废物资源化及无害化处理处置率达到100%。要遏制重大、杜绝特别重大环境污染和生态破坏事故的发生。要逐步实现对行业排放的石油类污染物进行总量控制。</w:t>
                  </w:r>
                </w:p>
              </w:tc>
              <w:tc>
                <w:tcPr>
                  <w:tcW w:w="2093" w:type="pct"/>
                  <w:vAlign w:val="center"/>
                </w:tcPr>
                <w:p w14:paraId="3511289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项目钻井废水</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试油期井下作业废水拉运至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后回注油藏，工业废水回用率大于90%；钻井泥浆经“钻井泥浆不落地技术”处理后循环使用，正常情况下无落地油。本环评对项目可能产生的环境风险进行了分析，并提出了相应的风险防范措施和应急预案编制要求。本项目无总量控制要求。</w:t>
                  </w:r>
                </w:p>
              </w:tc>
              <w:tc>
                <w:tcPr>
                  <w:tcW w:w="479" w:type="pct"/>
                  <w:vAlign w:val="center"/>
                </w:tcPr>
                <w:p w14:paraId="6E501D5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535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192950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093" w:type="pct"/>
                  <w:vAlign w:val="center"/>
                </w:tcPr>
                <w:p w14:paraId="60FCD5A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油气田开发不得使用含有国际公约禁用化学物质的油气田化学剂，逐步淘汰微毒及以上油气田化学剂，鼓励使用无毒油气田化学剂。</w:t>
                  </w:r>
                </w:p>
              </w:tc>
              <w:tc>
                <w:tcPr>
                  <w:tcW w:w="2093" w:type="pct"/>
                  <w:vAlign w:val="center"/>
                </w:tcPr>
                <w:p w14:paraId="5E9D47A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本项目未使用含有国际公约禁用化学物质的油气田化学剂。</w:t>
                  </w:r>
                </w:p>
              </w:tc>
              <w:tc>
                <w:tcPr>
                  <w:tcW w:w="479" w:type="pct"/>
                  <w:vAlign w:val="center"/>
                </w:tcPr>
                <w:p w14:paraId="52D29F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48AB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2F04C3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2093" w:type="pct"/>
                  <w:vAlign w:val="center"/>
                </w:tcPr>
                <w:p w14:paraId="64D7143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在勘探开发过程中，应防止产生落地原油。其中井下作业过程中应配备泄油器、刮油器等。落地原油应及时回收，落地原油回收率应达到100%。</w:t>
                  </w:r>
                </w:p>
              </w:tc>
              <w:tc>
                <w:tcPr>
                  <w:tcW w:w="2093" w:type="pct"/>
                  <w:vAlign w:val="center"/>
                </w:tcPr>
                <w:p w14:paraId="2A30406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井下作业过程中配备了泄油器、刮油器等设备井下作业时带罐，正常情况下无落地油。</w:t>
                  </w:r>
                </w:p>
              </w:tc>
              <w:tc>
                <w:tcPr>
                  <w:tcW w:w="479" w:type="pct"/>
                  <w:vAlign w:val="center"/>
                </w:tcPr>
                <w:p w14:paraId="18246E6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887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7D6BF15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2093" w:type="pct"/>
                  <w:vAlign w:val="center"/>
                </w:tcPr>
                <w:p w14:paraId="311685F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在钻井过程中，鼓励采用环境友好的钻井液体系；配备完善的固控设备，钻井液循环率达到95%以上；钻井过程产生的废水应回用。</w:t>
                  </w:r>
                </w:p>
              </w:tc>
              <w:tc>
                <w:tcPr>
                  <w:tcW w:w="2093" w:type="pct"/>
                  <w:vAlign w:val="center"/>
                </w:tcPr>
                <w:p w14:paraId="481D921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本项目涉及水基钻井液和油基钻井液，采用“钻井泥浆不落地技术”，钻井液</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w:t>
                  </w:r>
                </w:p>
              </w:tc>
              <w:tc>
                <w:tcPr>
                  <w:tcW w:w="479" w:type="pct"/>
                  <w:vAlign w:val="center"/>
                </w:tcPr>
                <w:p w14:paraId="317B76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07EE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270E0D1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2093" w:type="pct"/>
                  <w:vAlign w:val="center"/>
                </w:tcPr>
                <w:p w14:paraId="611877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在井下作业过程中，酸化液和压裂液宜集中配制，酸化残液、压裂残液和返排液应回收利用或进行无害化处置，压裂放喷返排入罐率应达到100%。</w:t>
                  </w:r>
                </w:p>
              </w:tc>
              <w:tc>
                <w:tcPr>
                  <w:tcW w:w="2093" w:type="pct"/>
                  <w:vAlign w:val="center"/>
                </w:tcPr>
                <w:p w14:paraId="02AA958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项目压裂液集中配制，再拉运至井场；本项目试油作业过程中，严格按照</w:t>
                  </w:r>
                  <w:r>
                    <w:rPr>
                      <w:rFonts w:hint="eastAsia"/>
                      <w:color w:val="000000" w:themeColor="text1"/>
                      <w14:textFill>
                        <w14:solidFill>
                          <w14:schemeClr w14:val="tx1"/>
                        </w14:solidFill>
                      </w14:textFill>
                    </w:rPr>
                    <w:t>中国石油天然气股份有限公司吐哈油田分公司</w:t>
                  </w:r>
                  <w:r>
                    <w:rPr>
                      <w:color w:val="000000" w:themeColor="text1"/>
                      <w14:textFill>
                        <w14:solidFill>
                          <w14:schemeClr w14:val="tx1"/>
                        </w14:solidFill>
                      </w14:textFill>
                    </w:rPr>
                    <w:t>环境保护规定的要求，带罐作业，100%回收。井下作业废水严禁直接外排，作业单位自带回收罐回收作业废水，用专用罐车拉运至</w:t>
                  </w:r>
                  <w:r>
                    <w:rPr>
                      <w:rFonts w:hint="eastAsia"/>
                      <w:color w:val="000000" w:themeColor="text1"/>
                      <w14:textFill>
                        <w14:solidFill>
                          <w14:schemeClr w14:val="tx1"/>
                        </w14:solidFill>
                      </w14:textFill>
                    </w:rPr>
                    <w:t>吉康脱水站污水</w:t>
                  </w:r>
                  <w:r>
                    <w:rPr>
                      <w:color w:val="000000" w:themeColor="text1"/>
                      <w14:textFill>
                        <w14:solidFill>
                          <w14:schemeClr w14:val="tx1"/>
                        </w14:solidFill>
                      </w14:textFill>
                    </w:rPr>
                    <w:t>处理系统处理，处理达标后回注油藏。</w:t>
                  </w:r>
                </w:p>
              </w:tc>
              <w:tc>
                <w:tcPr>
                  <w:tcW w:w="479" w:type="pct"/>
                  <w:vAlign w:val="center"/>
                </w:tcPr>
                <w:p w14:paraId="6536F1F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BDB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69610B6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2093" w:type="pct"/>
                  <w:vAlign w:val="center"/>
                </w:tcPr>
                <w:p w14:paraId="4AFE79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在钻井和井下作业过程中，鼓励污油、污水进入生产流程循环利用。</w:t>
                  </w:r>
                </w:p>
              </w:tc>
              <w:tc>
                <w:tcPr>
                  <w:tcW w:w="2093" w:type="pct"/>
                  <w:vAlign w:val="center"/>
                </w:tcPr>
                <w:p w14:paraId="1F8C025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本项目采用钻井泥浆不落地技术，钻井废水</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试油期井下作业废水经</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污水处理系统处理达标后，全部回注地层。</w:t>
                  </w:r>
                </w:p>
              </w:tc>
              <w:tc>
                <w:tcPr>
                  <w:tcW w:w="479" w:type="pct"/>
                  <w:vAlign w:val="center"/>
                </w:tcPr>
                <w:p w14:paraId="5942343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366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014096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2093" w:type="pct"/>
                  <w:vAlign w:val="center"/>
                </w:tcPr>
                <w:p w14:paraId="25E982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应回收落地原油，以及原油处理、废水处理产生的油泥（砂）等中的油类物质，含油污泥资源化利用率应达到90%以上，残余固体废物应按照《国家危险废物名录》和危险废物鉴别标准识别，根据识别结果资源化利用或无害化处置。</w:t>
                  </w:r>
                </w:p>
              </w:tc>
              <w:tc>
                <w:tcPr>
                  <w:tcW w:w="2093" w:type="pct"/>
                  <w:vAlign w:val="center"/>
                </w:tcPr>
                <w:p w14:paraId="0A328C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井下作业必须带罐（车）操作，正常情况下无落地油，事故状态下的落地油100%回收，交由有相应危废处置资质的单位处置。</w:t>
                  </w:r>
                </w:p>
              </w:tc>
              <w:tc>
                <w:tcPr>
                  <w:tcW w:w="479" w:type="pct"/>
                  <w:vAlign w:val="center"/>
                </w:tcPr>
                <w:p w14:paraId="504C8A6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1450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2B3D63F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2093" w:type="pct"/>
                  <w:vAlign w:val="center"/>
                </w:tcPr>
                <w:p w14:paraId="6D3134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油气田企业应制定环境保护管理规定，建立并运行健康、安全与环境管理体系。</w:t>
                  </w:r>
                </w:p>
              </w:tc>
              <w:tc>
                <w:tcPr>
                  <w:tcW w:w="2093" w:type="pct"/>
                  <w:vAlign w:val="center"/>
                </w:tcPr>
                <w:p w14:paraId="13A5D1F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中国石油天然气股份有限公司吐哈油田分公司</w:t>
                  </w:r>
                  <w:r>
                    <w:rPr>
                      <w:color w:val="000000" w:themeColor="text1"/>
                      <w14:textFill>
                        <w14:solidFill>
                          <w14:schemeClr w14:val="tx1"/>
                        </w14:solidFill>
                      </w14:textFill>
                    </w:rPr>
                    <w:t>目前已建立了完善的健康、安全与环境管理体系（QHSE管理体系）。</w:t>
                  </w:r>
                </w:p>
              </w:tc>
              <w:tc>
                <w:tcPr>
                  <w:tcW w:w="479" w:type="pct"/>
                  <w:vAlign w:val="center"/>
                </w:tcPr>
                <w:p w14:paraId="5B74363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02D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726863F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p>
              </w:tc>
              <w:tc>
                <w:tcPr>
                  <w:tcW w:w="2093" w:type="pct"/>
                  <w:vAlign w:val="center"/>
                </w:tcPr>
                <w:p w14:paraId="29D0EEF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加强油气田建设、勘探开发过程的环境监督管理。油气田建设过程应开展工程环境监理。</w:t>
                  </w:r>
                </w:p>
              </w:tc>
              <w:tc>
                <w:tcPr>
                  <w:tcW w:w="2093" w:type="pct"/>
                  <w:vAlign w:val="center"/>
                </w:tcPr>
                <w:p w14:paraId="4F6CAF4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吐哈油田已建立了完整的生态环境监管体系，项目实施过程中油田公司主管部门、管理区相关业务部持续做好环境监督管理。</w:t>
                  </w:r>
                </w:p>
              </w:tc>
              <w:tc>
                <w:tcPr>
                  <w:tcW w:w="479" w:type="pct"/>
                  <w:vAlign w:val="center"/>
                </w:tcPr>
                <w:p w14:paraId="178D3B6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02CA65A4">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 与《新疆维吾尔自治区石油天然气发展“十四五”规划》相符性分析</w:t>
            </w:r>
          </w:p>
          <w:p w14:paraId="29AA028C">
            <w:pPr>
              <w:ind w:firstLine="480"/>
              <w:rPr>
                <w:color w:val="000000" w:themeColor="text1"/>
                <w14:textFill>
                  <w14:solidFill>
                    <w14:schemeClr w14:val="tx1"/>
                  </w14:solidFill>
                </w14:textFill>
              </w:rPr>
            </w:pPr>
            <w:r>
              <w:rPr>
                <w:color w:val="000000" w:themeColor="text1"/>
                <w14:textFill>
                  <w14:solidFill>
                    <w14:schemeClr w14:val="tx1"/>
                  </w14:solidFill>
                </w14:textFill>
              </w:rPr>
              <w:t>新疆维吾尔自治区石油天然气发展“十四五”规划在规划主要任务中要求：“加快推进油气资源基础地质调查和非常规油气资源勘查，明确勘探主攻方向，以准噶尔、塔里木、吐哈等盆地为重点，加强准噶尔盆地南缘、玛湖凹陷区、沙湾凹陷区、吉木萨尔凹陷，塔里木盆地顺北、碳酸盐岩等低勘探程度区域，以及页岩油气等新领域风险勘探，尽早形成新的油气资源战略接续区。”</w:t>
            </w:r>
          </w:p>
          <w:p w14:paraId="7A3070A7">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本项目属于油气资源勘探项目，位于准噶尔盆地南缘，属于规划重点项目中的油气勘探重点项目，符合规划要求。</w:t>
            </w:r>
          </w:p>
          <w:p w14:paraId="2F5EA590">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 与《关于进一步加强石油天然气行业环境影响评价管理的通知》的符合性分析</w:t>
            </w:r>
          </w:p>
          <w:p w14:paraId="5D02588E">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本项目与《关于进一步加强石油天然气行业环境影响评价管理的通知》（环办环评函〔2019〕910号，2019年12月13日），相符性见表1-</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w:t>
            </w:r>
          </w:p>
          <w:p w14:paraId="3E0C3839">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表1-</w:t>
            </w:r>
            <w:r>
              <w:rPr>
                <w:rFonts w:hint="eastAsia"/>
                <w:bCs/>
                <w:color w:val="000000" w:themeColor="text1"/>
                <w:sz w:val="21"/>
                <w:szCs w:val="21"/>
                <w14:textFill>
                  <w14:solidFill>
                    <w14:schemeClr w14:val="tx1"/>
                  </w14:solidFill>
                </w14:textFill>
              </w:rPr>
              <w:t>4</w:t>
            </w:r>
            <w:r>
              <w:rPr>
                <w:bCs/>
                <w:color w:val="000000" w:themeColor="text1"/>
                <w:sz w:val="21"/>
                <w:szCs w:val="21"/>
                <w14:textFill>
                  <w14:solidFill>
                    <w14:schemeClr w14:val="tx1"/>
                  </w14:solidFill>
                </w14:textFill>
              </w:rPr>
              <w:t xml:space="preserve">  与《关于进一步加强石油天然气行业环境影响评价管理的通知》相符性分析一览表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3463"/>
              <w:gridCol w:w="3195"/>
              <w:gridCol w:w="855"/>
            </w:tblGrid>
            <w:tr w14:paraId="627E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75D5A71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3463" w:type="dxa"/>
                  <w:vAlign w:val="center"/>
                </w:tcPr>
                <w:p w14:paraId="2078FD8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3195" w:type="dxa"/>
                  <w:vAlign w:val="center"/>
                </w:tcPr>
                <w:p w14:paraId="5CA2A61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855" w:type="dxa"/>
                  <w:vAlign w:val="center"/>
                </w:tcPr>
                <w:p w14:paraId="66C9B05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3EE4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3B9B93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3463" w:type="dxa"/>
                  <w:vAlign w:val="center"/>
                </w:tcPr>
                <w:p w14:paraId="5A7185B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未确定产能建设规模的陆地油气开采新区块，建设勘探井应当依法编制环境影响报告表。海洋油气勘探工程应当填报环境影响登记表并进行备案。确定产能建设规模后，原则上不得以勘探名义继续开展单井环评。勘探井转为生产井的，可以纳入区块环评。自2021年1月1日起，原则上不以单井形式开展环评。</w:t>
                  </w:r>
                </w:p>
              </w:tc>
              <w:tc>
                <w:tcPr>
                  <w:tcW w:w="3195" w:type="dxa"/>
                  <w:vAlign w:val="center"/>
                </w:tcPr>
                <w:p w14:paraId="5024A8E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为评价</w:t>
                  </w:r>
                  <w:r>
                    <w:rPr>
                      <w:rFonts w:hint="eastAsia"/>
                      <w:color w:val="000000" w:themeColor="text1"/>
                      <w14:textFill>
                        <w14:solidFill>
                          <w14:schemeClr w14:val="tx1"/>
                        </w14:solidFill>
                      </w14:textFill>
                    </w:rPr>
                    <w:t>萨探1块</w:t>
                  </w:r>
                  <w:r>
                    <w:rPr>
                      <w:color w:val="000000" w:themeColor="text1"/>
                      <w14:textFill>
                        <w14:solidFill>
                          <w14:schemeClr w14:val="tx1"/>
                        </w14:solidFill>
                      </w14:textFill>
                    </w:rPr>
                    <w:t>油藏构造含油气性，验证有利储层发育特征认识，落实油藏规模，拟建本项目，本项目</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口井属于</w:t>
                  </w:r>
                  <w:r>
                    <w:rPr>
                      <w:rFonts w:hint="eastAsia"/>
                      <w:color w:val="000000" w:themeColor="text1"/>
                      <w14:textFill>
                        <w14:solidFill>
                          <w14:schemeClr w14:val="tx1"/>
                        </w14:solidFill>
                      </w14:textFill>
                    </w:rPr>
                    <w:t>预探</w:t>
                  </w:r>
                  <w:r>
                    <w:rPr>
                      <w:color w:val="000000" w:themeColor="text1"/>
                      <w14:textFill>
                        <w14:solidFill>
                          <w14:schemeClr w14:val="tx1"/>
                        </w14:solidFill>
                      </w14:textFill>
                    </w:rPr>
                    <w:t>井，不属于开发井。</w:t>
                  </w:r>
                </w:p>
              </w:tc>
              <w:tc>
                <w:tcPr>
                  <w:tcW w:w="855" w:type="dxa"/>
                  <w:vAlign w:val="center"/>
                </w:tcPr>
                <w:p w14:paraId="296FBE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341D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4F09148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3463" w:type="dxa"/>
                  <w:vAlign w:val="center"/>
                </w:tcPr>
                <w:p w14:paraId="2A645ED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项目环评应当深入评价项目建设、运营带来的环境影响和环境风险，提出有效的生态环境保护和环境风险防范措施。</w:t>
                  </w:r>
                </w:p>
              </w:tc>
              <w:tc>
                <w:tcPr>
                  <w:tcW w:w="3195" w:type="dxa"/>
                  <w:vAlign w:val="center"/>
                </w:tcPr>
                <w:p w14:paraId="6797775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项目施工期的环境影响及风险评价详见后文“环境影响分析”章节。</w:t>
                  </w:r>
                </w:p>
              </w:tc>
              <w:tc>
                <w:tcPr>
                  <w:tcW w:w="855" w:type="dxa"/>
                  <w:vAlign w:val="center"/>
                </w:tcPr>
                <w:p w14:paraId="38C9E3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4C68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665" w:type="dxa"/>
                  <w:vAlign w:val="center"/>
                </w:tcPr>
                <w:p w14:paraId="5A7D6ED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3463" w:type="dxa"/>
                  <w:vAlign w:val="center"/>
                </w:tcPr>
                <w:p w14:paraId="1913137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依托其他防治设施的或者委托第三方处置的，应当论证其可行性和有效性。</w:t>
                  </w:r>
                </w:p>
              </w:tc>
              <w:tc>
                <w:tcPr>
                  <w:tcW w:w="3195" w:type="dxa"/>
                  <w:vAlign w:val="center"/>
                </w:tcPr>
                <w:p w14:paraId="0BDD92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本项目钻井废水</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试油期洗井废水全部回收，采用专用废液收集罐收集后运至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污水处理系统处理达标后回注油藏，依托工程及其可行性分析详见第二节建设内容。</w:t>
                  </w:r>
                </w:p>
              </w:tc>
              <w:tc>
                <w:tcPr>
                  <w:tcW w:w="855" w:type="dxa"/>
                  <w:vAlign w:val="center"/>
                </w:tcPr>
                <w:p w14:paraId="4E5921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39B4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665" w:type="dxa"/>
                  <w:vAlign w:val="center"/>
                </w:tcPr>
                <w:p w14:paraId="6F7A8C9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3463" w:type="dxa"/>
                  <w:vAlign w:val="center"/>
                </w:tcPr>
                <w:p w14:paraId="4B70100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涉及向地表水体排放污染物的陆地油气开采项目，应当符合国家和地方污染物排放标准，满足重点污染物排放总量控制要求。</w:t>
                  </w:r>
                </w:p>
              </w:tc>
              <w:tc>
                <w:tcPr>
                  <w:tcW w:w="3195" w:type="dxa"/>
                  <w:vAlign w:val="center"/>
                </w:tcPr>
                <w:p w14:paraId="252416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本项目无废水外排。</w:t>
                  </w:r>
                </w:p>
              </w:tc>
              <w:tc>
                <w:tcPr>
                  <w:tcW w:w="855" w:type="dxa"/>
                  <w:vAlign w:val="center"/>
                </w:tcPr>
                <w:p w14:paraId="7477F9B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327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5EB35F2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3463" w:type="dxa"/>
                  <w:vAlign w:val="center"/>
                </w:tcPr>
                <w:p w14:paraId="22555A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涉及废水回注的，应当论证回注的环境可行性，采取切实可行的地下水污染防治和监控措施，不得回注与油气开采无关的废水，严禁造成地下水污染。</w:t>
                  </w:r>
                </w:p>
              </w:tc>
              <w:tc>
                <w:tcPr>
                  <w:tcW w:w="3195" w:type="dxa"/>
                  <w:vAlign w:val="center"/>
                </w:tcPr>
                <w:p w14:paraId="3F8CB7D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本项目钻井废水</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试油期洗井废水全部回收，采用专用废液收集罐收集后运至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污水处理系统处理达标后回注油藏，本项目采取了地下水污染防治和监控措施，防止造成地下水污染，详见报告环保措施章节。</w:t>
                  </w:r>
                </w:p>
              </w:tc>
              <w:tc>
                <w:tcPr>
                  <w:tcW w:w="855" w:type="dxa"/>
                  <w:vAlign w:val="center"/>
                </w:tcPr>
                <w:p w14:paraId="14768D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654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4A58682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3463" w:type="dxa"/>
                  <w:vAlign w:val="center"/>
                </w:tcPr>
                <w:p w14:paraId="3CA1B33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油气开采产生的废弃油基泥浆、含油钻屑及其他固体废物，应当遵循减量化、资源化、无害化原则，按照国家和地方有关固体废物的管理规定进行处置。</w:t>
                  </w:r>
                </w:p>
              </w:tc>
              <w:tc>
                <w:tcPr>
                  <w:tcW w:w="3195" w:type="dxa"/>
                  <w:vAlign w:val="center"/>
                </w:tcPr>
                <w:p w14:paraId="2264D3D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本项目钻井岩屑、泥浆经不落地系统处理实现固液分离，分离后的液相回用，水基岩屑交岩屑处置单位处置；油基岩屑由新疆中建环能北庭环保科技有限公司</w:t>
                  </w:r>
                  <w:r>
                    <w:rPr>
                      <w:rFonts w:hint="eastAsia"/>
                      <w:color w:val="000000" w:themeColor="text1"/>
                      <w14:textFill>
                        <w14:solidFill>
                          <w14:schemeClr w14:val="tx1"/>
                        </w14:solidFill>
                      </w14:textFill>
                    </w:rPr>
                    <w:t>处置</w:t>
                  </w:r>
                  <w:r>
                    <w:rPr>
                      <w:color w:val="000000" w:themeColor="text1"/>
                      <w14:textFill>
                        <w14:solidFill>
                          <w14:schemeClr w14:val="tx1"/>
                        </w14:solidFill>
                      </w14:textFill>
                    </w:rPr>
                    <w:t>。</w:t>
                  </w:r>
                </w:p>
              </w:tc>
              <w:tc>
                <w:tcPr>
                  <w:tcW w:w="855" w:type="dxa"/>
                  <w:vAlign w:val="center"/>
                </w:tcPr>
                <w:p w14:paraId="111ED16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B76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5BEB4A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3463" w:type="dxa"/>
                  <w:vAlign w:val="center"/>
                </w:tcPr>
                <w:p w14:paraId="6C9ED5C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施工期应当尽量减少施工占地、缩短施工时间、选择合理施工方式、落实环境敏感区管控要求以及其他生态环境保护措施，降低生态环境影响。</w:t>
                  </w:r>
                </w:p>
              </w:tc>
              <w:tc>
                <w:tcPr>
                  <w:tcW w:w="3195" w:type="dxa"/>
                  <w:vAlign w:val="center"/>
                </w:tcPr>
                <w:p w14:paraId="247C18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施工期严格控制占地面积，施工单位在占地范围内施工，严格控制和管理运输车辆及重型机械施工作业范围。具体详见环境保护措施章节。</w:t>
                  </w:r>
                </w:p>
              </w:tc>
              <w:tc>
                <w:tcPr>
                  <w:tcW w:w="855" w:type="dxa"/>
                  <w:vAlign w:val="center"/>
                </w:tcPr>
                <w:p w14:paraId="47B450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07C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31AE34C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3463" w:type="dxa"/>
                  <w:vAlign w:val="center"/>
                </w:tcPr>
                <w:p w14:paraId="032AD99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气企业应当切实落实生态环境保护主体责任，进一步健全生态环境保护管理体系和制度，充分发挥企业内部生态环境保护部门作用，健全健康、安全与环境（QHSE）管理体系，加强督促检查，推动所属油气田落实规划、建设、运营、退役等环节生态环境保护措施。</w:t>
                  </w:r>
                </w:p>
              </w:tc>
              <w:tc>
                <w:tcPr>
                  <w:tcW w:w="3195" w:type="dxa"/>
                  <w:vAlign w:val="center"/>
                </w:tcPr>
                <w:p w14:paraId="1DEAF51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建设单位设置安全环保科室及人员，建有QHSE管理体系，监督落实建设、运营及退役期各项生态环境保护措施。</w:t>
                  </w:r>
                </w:p>
              </w:tc>
              <w:tc>
                <w:tcPr>
                  <w:tcW w:w="855" w:type="dxa"/>
                  <w:vAlign w:val="center"/>
                </w:tcPr>
                <w:p w14:paraId="59C833E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7413C1E0">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7 与《陆上石油天然气开采业绿色矿山建设规范》（DZ/T 0317-2018）相符性分析</w:t>
            </w:r>
          </w:p>
          <w:p w14:paraId="3501B0FA">
            <w:pPr>
              <w:ind w:firstLine="480"/>
              <w:rPr>
                <w:color w:val="000000" w:themeColor="text1"/>
                <w14:textFill>
                  <w14:solidFill>
                    <w14:schemeClr w14:val="tx1"/>
                  </w14:solidFill>
                </w14:textFill>
              </w:rPr>
            </w:pPr>
            <w:r>
              <w:rPr>
                <w:color w:val="000000" w:themeColor="text1"/>
                <w14:textFill>
                  <w14:solidFill>
                    <w14:schemeClr w14:val="tx1"/>
                  </w14:solidFill>
                </w14:textFill>
              </w:rPr>
              <w:t>该文件要求：“因矿制宜选择开采工艺和装备，符合清洁生产要求。应贯彻‘边开采，边治理，边恢复’的原则，及时治理恢复矿区地质环境，复垦矿区压占和损毁土地；应遵循矿区油气资源赋存状况、生态环境特征等条件，科学合理地确定开发方案，选择与油气藏类型相适应的先进开采技术和工艺，推广使用成熟、先进的技术装备，严禁使用国家明文规定的限制和淘汰的技术工艺及装备；集约节约利用土地资源，土地利用符合用地指标政策。合理确定站址、场址、管网、路网建设占地规模。应实施绿色钻井技术体系，科学选择钻井方式、环境友好型钻井液及井控措施，配备完善的固控系统，及时妥善处置钻井泥浆”。</w:t>
            </w:r>
          </w:p>
          <w:p w14:paraId="1CEF3160">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钻试方案的设计技术先进、实用成熟，符合清洁生产要求；项目钻试完成后，按照要求恢复井场及生活营地、道路临时占地，符合“边开采，边治理，边恢复”的原则；项目钻试方案设计考虑了该区域油气资源赋存状况、生态环境特征等条件，所选用的技术和工艺均属于成熟、先进的技术装备；本项目临时占地规模从土地资源节约方面考虑，尽可能缩小占地面积。项目钻试过程中，配备先进完善的固控设备，设置井控装置。经泥浆经不落地系统处理实现固液分离，分离后的液相回用，水基岩屑交岩屑处置单位处置；油基岩屑由新疆中建环能北庭环保科技有限公司</w:t>
            </w:r>
            <w:r>
              <w:rPr>
                <w:rFonts w:hint="eastAsia"/>
                <w:color w:val="000000" w:themeColor="text1"/>
                <w14:textFill>
                  <w14:solidFill>
                    <w14:schemeClr w14:val="tx1"/>
                  </w14:solidFill>
                </w14:textFill>
              </w:rPr>
              <w:t>处置</w:t>
            </w:r>
            <w:r>
              <w:rPr>
                <w:color w:val="000000" w:themeColor="text1"/>
                <w14:textFill>
                  <w14:solidFill>
                    <w14:schemeClr w14:val="tx1"/>
                  </w14:solidFill>
                </w14:textFill>
              </w:rPr>
              <w:t>，本项目符合该规范要求。</w:t>
            </w:r>
          </w:p>
          <w:p w14:paraId="1F45FF73">
            <w:pPr>
              <w:pStyle w:val="3"/>
              <w:ind w:firstLine="0" w:firstLineChars="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w:t>
            </w:r>
            <w:r>
              <w:rPr>
                <w:color w:val="000000" w:themeColor="text1"/>
                <w:sz w:val="28"/>
                <w:szCs w:val="28"/>
                <w14:textFill>
                  <w14:solidFill>
                    <w14:schemeClr w14:val="tx1"/>
                  </w14:solidFill>
                </w14:textFill>
              </w:rPr>
              <w:t xml:space="preserve"> 本项目与《新疆生态环境保护“十四五”规划》相符性分析</w:t>
            </w:r>
          </w:p>
          <w:p w14:paraId="5B65B4DE">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本项目与《新疆生态环境保护“十四五”规划》符合性分析见表1-</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w:t>
            </w:r>
          </w:p>
          <w:p w14:paraId="67D89D89">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表1-</w:t>
            </w:r>
            <w:r>
              <w:rPr>
                <w:rFonts w:hint="eastAsia"/>
                <w:bCs/>
                <w:color w:val="000000" w:themeColor="text1"/>
                <w:sz w:val="21"/>
                <w:szCs w:val="21"/>
                <w14:textFill>
                  <w14:solidFill>
                    <w14:schemeClr w14:val="tx1"/>
                  </w14:solidFill>
                </w14:textFill>
              </w:rPr>
              <w:t>5</w:t>
            </w:r>
            <w:r>
              <w:rPr>
                <w:bCs/>
                <w:color w:val="000000" w:themeColor="text1"/>
                <w:sz w:val="21"/>
                <w:szCs w:val="21"/>
                <w14:textFill>
                  <w14:solidFill>
                    <w14:schemeClr w14:val="tx1"/>
                  </w14:solidFill>
                </w14:textFill>
              </w:rPr>
              <w:t xml:space="preserve">  与《新疆生态环境保护“十四五”规划》相符性分析一览表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863"/>
              <w:gridCol w:w="3051"/>
              <w:gridCol w:w="716"/>
            </w:tblGrid>
            <w:tr w14:paraId="6357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7C20786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363" w:type="pct"/>
                  <w:vAlign w:val="center"/>
                </w:tcPr>
                <w:p w14:paraId="04B79C8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1866" w:type="pct"/>
                  <w:vAlign w:val="center"/>
                </w:tcPr>
                <w:p w14:paraId="12FD896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38" w:type="pct"/>
                  <w:vAlign w:val="center"/>
                </w:tcPr>
                <w:p w14:paraId="238C95B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2B0D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7C9EE9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363" w:type="pct"/>
                  <w:vAlign w:val="center"/>
                </w:tcPr>
                <w:p w14:paraId="58D3FCA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加强重点行业VOCs治理。实施VOCs排放总量控制，重点推进石油天然气开采、石化、化工、包装印刷、工业涂装、油品储运销等重点行业排放源以及机动车等移动源VOCs污染防治，加强重点行业、重点企业的精细化管控；全面推进使用低VOCs含量涂料、油墨、胶粘剂、清洗剂等；加强汽修行业VOCs综合治理，加大餐饮油烟污染治理力度，持续削减VOCs排放量。</w:t>
                  </w:r>
                </w:p>
              </w:tc>
              <w:tc>
                <w:tcPr>
                  <w:tcW w:w="1866" w:type="pct"/>
                  <w:vAlign w:val="center"/>
                </w:tcPr>
                <w:p w14:paraId="578FDFD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本项目仅在试油期产生少量伴生气经放空燃烧，不随意排放。</w:t>
                  </w:r>
                </w:p>
              </w:tc>
              <w:tc>
                <w:tcPr>
                  <w:tcW w:w="438" w:type="pct"/>
                  <w:vAlign w:val="center"/>
                </w:tcPr>
                <w:p w14:paraId="458C1BA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356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962DD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363" w:type="pct"/>
                  <w:vAlign w:val="center"/>
                </w:tcPr>
                <w:p w14:paraId="20DA1B3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严控土壤重金属污染，加强油（气）田开发土壤污染防治，以历史遗留工业企业污染场地为重点，开展风险管控与修复工程。推广绿色修复理念，强化修复过程二次污染防控。</w:t>
                  </w:r>
                </w:p>
              </w:tc>
              <w:tc>
                <w:tcPr>
                  <w:tcW w:w="1866" w:type="pct"/>
                  <w:vAlign w:val="center"/>
                </w:tcPr>
                <w:p w14:paraId="6A5351F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本项目井场采取防渗措施，防止土壤污染，本项目为新建项目，不涉及历史遗留工业企业污染场地。</w:t>
                  </w:r>
                </w:p>
              </w:tc>
              <w:tc>
                <w:tcPr>
                  <w:tcW w:w="438" w:type="pct"/>
                  <w:vAlign w:val="center"/>
                </w:tcPr>
                <w:p w14:paraId="197C5F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317DCFA9">
            <w:pPr>
              <w:pStyle w:val="15"/>
              <w:ind w:firstLine="0" w:firstLineChars="0"/>
              <w:rPr>
                <w:rFonts w:ascii="Times New Roman" w:hAnsi="Times New Roman" w:eastAsia="宋体"/>
                <w:b/>
                <w:bCs/>
                <w:color w:val="000000" w:themeColor="text1"/>
                <w:sz w:val="28"/>
                <w:szCs w:val="28"/>
                <w14:textFill>
                  <w14:solidFill>
                    <w14:schemeClr w14:val="tx1"/>
                  </w14:solidFill>
                </w14:textFill>
              </w:rPr>
            </w:pPr>
            <w:r>
              <w:rPr>
                <w:rFonts w:ascii="Times New Roman" w:hAnsi="Times New Roman" w:eastAsia="宋体"/>
                <w:b/>
                <w:bCs/>
                <w:color w:val="000000" w:themeColor="text1"/>
                <w:sz w:val="28"/>
                <w:szCs w:val="28"/>
                <w14:textFill>
                  <w14:solidFill>
                    <w14:schemeClr w14:val="tx1"/>
                  </w14:solidFill>
                </w14:textFill>
              </w:rPr>
              <w:t>9 与《昌吉回族自治州生态环境保护与建设“十四五”规划》相符性分析</w:t>
            </w:r>
          </w:p>
          <w:p w14:paraId="429447CF">
            <w:pPr>
              <w:pStyle w:val="15"/>
              <w:ind w:firstLine="480"/>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规划》中指出“强化矿山整治修复。遵循‘谁破坏、谁修复、边开采边治理’的原则，加强矿山生态环境修复治理。坚持源头严控、过程严管、末端修复，将矿产资源开发、地质环境恢复治理与土地复垦利用统一规划、统一设计、同步实施。”</w:t>
            </w:r>
          </w:p>
          <w:p w14:paraId="4D9399A1">
            <w:pPr>
              <w:pStyle w:val="15"/>
              <w:ind w:firstLine="480"/>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本项目占地选址过程中尽量避免对植被的砍伐及避让，对施工结束后对所占区域进行恢复。严格落实防沙治沙措施，项目建设完成后，对施工场地的废渣及一切废弃物资、设备应及时清理，对井场和生活营地进行平整，尽量利用井场及临时道路施工时产生的表层土对临时占地进行覆盖。凡受到施工车辆、机械破坏的地方都给予及时的修整，恢复原貌，被破坏的植被在施工结束后尽快恢复，完井后井场须平整，做到无油污，无地坑，无三废，确保周围环境无污染。本项目建设符合《昌吉回族自治州生态环境保护与建设“十四五”规划》要求。</w:t>
            </w:r>
          </w:p>
          <w:p w14:paraId="32798FA1">
            <w:pPr>
              <w:pStyle w:val="3"/>
              <w:ind w:firstLine="0" w:firstLineChars="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r>
              <w:rPr>
                <w:color w:val="000000" w:themeColor="text1"/>
                <w:sz w:val="28"/>
                <w:szCs w:val="28"/>
                <w14:textFill>
                  <w14:solidFill>
                    <w14:schemeClr w14:val="tx1"/>
                  </w14:solidFill>
                </w14:textFill>
              </w:rPr>
              <w:t xml:space="preserve"> 与《加强沙区建设项目环境影响评价工作的通知》相符性分析</w:t>
            </w:r>
          </w:p>
          <w:p w14:paraId="7C87DAAB">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本项目与《加强沙区建设项目环境影响评价工作的通知》符合性分析见表1-</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w:t>
            </w:r>
          </w:p>
          <w:p w14:paraId="02DCC165">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表1-</w:t>
            </w:r>
            <w:r>
              <w:rPr>
                <w:rFonts w:hint="eastAsia"/>
                <w:bCs/>
                <w:color w:val="000000" w:themeColor="text1"/>
                <w:sz w:val="21"/>
                <w:szCs w:val="21"/>
                <w14:textFill>
                  <w14:solidFill>
                    <w14:schemeClr w14:val="tx1"/>
                  </w14:solidFill>
                </w14:textFill>
              </w:rPr>
              <w:t>6</w:t>
            </w:r>
            <w:r>
              <w:rPr>
                <w:bCs/>
                <w:color w:val="000000" w:themeColor="text1"/>
                <w:sz w:val="21"/>
                <w:szCs w:val="21"/>
                <w14:textFill>
                  <w14:solidFill>
                    <w14:schemeClr w14:val="tx1"/>
                  </w14:solidFill>
                </w14:textFill>
              </w:rPr>
              <w:t xml:space="preserve">  与《加强沙区建设项目环境影响评价工作的通知》相符性分析一览表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3531"/>
              <w:gridCol w:w="3384"/>
              <w:gridCol w:w="716"/>
            </w:tblGrid>
            <w:tr w14:paraId="1074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0" w:type="pct"/>
                  <w:vAlign w:val="center"/>
                </w:tcPr>
                <w:p w14:paraId="69F3E92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160" w:type="pct"/>
                  <w:vAlign w:val="center"/>
                </w:tcPr>
                <w:p w14:paraId="4D435BA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2070" w:type="pct"/>
                  <w:vAlign w:val="center"/>
                </w:tcPr>
                <w:p w14:paraId="2C1EE24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38" w:type="pct"/>
                  <w:vAlign w:val="center"/>
                </w:tcPr>
                <w:p w14:paraId="37DC109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6775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5BFED09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160" w:type="pct"/>
                  <w:vAlign w:val="center"/>
                </w:tcPr>
                <w:p w14:paraId="599569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按照《中华人民共和国防沙治沙法》要求，加强涉及沙区的建设项目环评文件受理审查，对于没有防沙治沙内容的建设项目环评文件不予受理</w:t>
                  </w:r>
                  <w:r>
                    <w:rPr>
                      <w:rFonts w:hint="eastAsia"/>
                      <w:color w:val="000000" w:themeColor="text1"/>
                      <w14:textFill>
                        <w14:solidFill>
                          <w14:schemeClr w14:val="tx1"/>
                        </w14:solidFill>
                      </w14:textFill>
                    </w:rPr>
                    <w:t>。</w:t>
                  </w:r>
                </w:p>
              </w:tc>
              <w:tc>
                <w:tcPr>
                  <w:tcW w:w="2070" w:type="pct"/>
                  <w:vAlign w:val="center"/>
                </w:tcPr>
                <w:p w14:paraId="53EB1D8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本环评分析了项目对周围环境的影响，提出了防沙治沙措施，详见环保措施章节。</w:t>
                  </w:r>
                </w:p>
              </w:tc>
              <w:tc>
                <w:tcPr>
                  <w:tcW w:w="438" w:type="pct"/>
                  <w:vAlign w:val="center"/>
                </w:tcPr>
                <w:p w14:paraId="7DD820F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32D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3292D5A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160" w:type="pct"/>
                  <w:vAlign w:val="center"/>
                </w:tcPr>
                <w:p w14:paraId="461B7EE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对于受理的涉及沙区的建设项目环评文件，严格按照《环境影响评价技术导则 生态影响》（HJ 19-2022）要求，强化建设项目的环境可行性、环境影响分析预测评估的可靠性和防沙治沙生态环境保护措施的可行性、有效性评估。</w:t>
                  </w:r>
                </w:p>
              </w:tc>
              <w:tc>
                <w:tcPr>
                  <w:tcW w:w="2070" w:type="pct"/>
                  <w:vAlign w:val="center"/>
                </w:tcPr>
                <w:p w14:paraId="27DF1F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本项目严格按照《环境影响评价技术导则 生态影响》（HJ19-2022）要求，强化建设项目的环境可行性、环境影响分析预测评估的可靠性和防沙治沙生态环境保护措施的可行性、有效性评估，详见环境影响分析章节、环境保护措施章节。</w:t>
                  </w:r>
                </w:p>
              </w:tc>
              <w:tc>
                <w:tcPr>
                  <w:tcW w:w="438" w:type="pct"/>
                  <w:vAlign w:val="center"/>
                </w:tcPr>
                <w:p w14:paraId="35DABA6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9D9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29C11B0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2160" w:type="pct"/>
                  <w:vAlign w:val="center"/>
                </w:tcPr>
                <w:p w14:paraId="70371E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对于位于沙化土地封禁保护区范围内或者超过生态环境承载能力或对沙区生态环境可能造成重大影响的建设项目，不予批准其环评文件，从源头预防环境污染和生态破坏。</w:t>
                  </w:r>
                </w:p>
              </w:tc>
              <w:tc>
                <w:tcPr>
                  <w:tcW w:w="2070" w:type="pct"/>
                  <w:vAlign w:val="center"/>
                </w:tcPr>
                <w:p w14:paraId="0DA2CC7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本项目属于勘探项目，钻井期钻井液</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各项污染物妥善处置，不会对环境造成较大影响。</w:t>
                  </w:r>
                </w:p>
              </w:tc>
              <w:tc>
                <w:tcPr>
                  <w:tcW w:w="438" w:type="pct"/>
                  <w:vAlign w:val="center"/>
                </w:tcPr>
                <w:p w14:paraId="3989E31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3497AA84">
            <w:pPr>
              <w:pStyle w:val="3"/>
              <w:ind w:firstLine="0" w:firstLineChars="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11</w:t>
            </w:r>
            <w:r>
              <w:rPr>
                <w:color w:val="000000" w:themeColor="text1"/>
                <w:sz w:val="28"/>
                <w:szCs w:val="28"/>
                <w14:textFill>
                  <w14:solidFill>
                    <w14:schemeClr w14:val="tx1"/>
                  </w14:solidFill>
                </w14:textFill>
              </w:rPr>
              <w:t xml:space="preserve"> 与《新疆维吾尔自治区石油勘探开发环境管理办法》相符性分析</w:t>
            </w:r>
          </w:p>
          <w:p w14:paraId="39754F43">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本项目与《新疆维吾尔自治区石油勘探开发环境管理办法》相符性分析见表1-</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w:t>
            </w:r>
          </w:p>
          <w:p w14:paraId="646E97DA">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表1-</w:t>
            </w:r>
            <w:r>
              <w:rPr>
                <w:rFonts w:hint="eastAsia"/>
                <w:bCs/>
                <w:color w:val="000000" w:themeColor="text1"/>
                <w:sz w:val="21"/>
                <w:szCs w:val="21"/>
                <w14:textFill>
                  <w14:solidFill>
                    <w14:schemeClr w14:val="tx1"/>
                  </w14:solidFill>
                </w14:textFill>
              </w:rPr>
              <w:t>7</w:t>
            </w:r>
            <w:r>
              <w:rPr>
                <w:bCs/>
                <w:color w:val="000000" w:themeColor="text1"/>
                <w:sz w:val="21"/>
                <w:szCs w:val="21"/>
                <w14:textFill>
                  <w14:solidFill>
                    <w14:schemeClr w14:val="tx1"/>
                  </w14:solidFill>
                </w14:textFill>
              </w:rPr>
              <w:t xml:space="preserve">  本项目与《新疆维吾尔自治区石油勘探开发环境管理办法》相符性分析一览表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3459"/>
              <w:gridCol w:w="3454"/>
              <w:gridCol w:w="716"/>
            </w:tblGrid>
            <w:tr w14:paraId="0D12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01C4703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116" w:type="pct"/>
                  <w:vAlign w:val="center"/>
                </w:tcPr>
                <w:p w14:paraId="6811EF0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2113" w:type="pct"/>
                  <w:vAlign w:val="center"/>
                </w:tcPr>
                <w:p w14:paraId="130AF15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38" w:type="pct"/>
                  <w:vAlign w:val="center"/>
                </w:tcPr>
                <w:p w14:paraId="25D8E69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2780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1A86E99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116" w:type="pct"/>
                  <w:vAlign w:val="center"/>
                </w:tcPr>
                <w:p w14:paraId="44BB08B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石油勘探开发管理部门应当加强环境保护工作，把防治污染、保护与改善环境纳入石油勘探开发规划和年度计划，建立环境保护责任制，采取有效措施，防治环境污染和生态破坏。</w:t>
                  </w:r>
                </w:p>
              </w:tc>
              <w:tc>
                <w:tcPr>
                  <w:tcW w:w="2113" w:type="pct"/>
                  <w:vAlign w:val="center"/>
                </w:tcPr>
                <w:p w14:paraId="564B02D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中国石油天然气股份有限公司吐哈油田分公司</w:t>
                  </w:r>
                  <w:r>
                    <w:rPr>
                      <w:color w:val="000000" w:themeColor="text1"/>
                      <w14:textFill>
                        <w14:solidFill>
                          <w14:schemeClr w14:val="tx1"/>
                        </w14:solidFill>
                      </w14:textFill>
                    </w:rPr>
                    <w:t>将防治污染、保护与改善环境纳入石油勘探开发规划和年度计划，并采取有效措施防治环境污染和生态破坏。</w:t>
                  </w:r>
                </w:p>
              </w:tc>
              <w:tc>
                <w:tcPr>
                  <w:tcW w:w="438" w:type="pct"/>
                  <w:vAlign w:val="center"/>
                </w:tcPr>
                <w:p w14:paraId="16B7E2B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6FE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08CEB2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116" w:type="pct"/>
                  <w:vAlign w:val="center"/>
                </w:tcPr>
                <w:p w14:paraId="7C9900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石油勘探开发的新建、扩建、改建项目应当采用资源利用率高、污染物排放量少的生产设备和工艺，实行清洁生产。</w:t>
                  </w:r>
                </w:p>
              </w:tc>
              <w:tc>
                <w:tcPr>
                  <w:tcW w:w="2113" w:type="pct"/>
                  <w:vAlign w:val="center"/>
                </w:tcPr>
                <w:p w14:paraId="14A6419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本项目属于新建项目，钻井液采用水基、油基钻井液，经泥浆不落地系统处理实现固液分离，分离后的液相回用，水基岩屑交岩屑处置单位处置；油基岩屑由</w:t>
                  </w:r>
                  <w:r>
                    <w:rPr>
                      <w:rFonts w:ascii="宋体" w:hAnsi="宋体" w:cs="宋体"/>
                      <w:color w:val="000000" w:themeColor="text1"/>
                      <w14:textFill>
                        <w14:solidFill>
                          <w14:schemeClr w14:val="tx1"/>
                        </w14:solidFill>
                      </w14:textFill>
                    </w:rPr>
                    <w:t>新疆中建环能北庭环保科技有限公司</w:t>
                  </w:r>
                  <w:r>
                    <w:rPr>
                      <w:rFonts w:hint="eastAsia" w:ascii="宋体" w:hAnsi="宋体" w:cs="宋体"/>
                      <w:color w:val="000000" w:themeColor="text1"/>
                      <w14:textFill>
                        <w14:solidFill>
                          <w14:schemeClr w14:val="tx1"/>
                        </w14:solidFill>
                      </w14:textFill>
                    </w:rPr>
                    <w:t>处置</w:t>
                  </w:r>
                  <w:r>
                    <w:rPr>
                      <w:color w:val="000000" w:themeColor="text1"/>
                      <w14:textFill>
                        <w14:solidFill>
                          <w14:schemeClr w14:val="tx1"/>
                        </w14:solidFill>
                      </w14:textFill>
                    </w:rPr>
                    <w:t>。</w:t>
                  </w:r>
                </w:p>
              </w:tc>
              <w:tc>
                <w:tcPr>
                  <w:tcW w:w="438" w:type="pct"/>
                  <w:vAlign w:val="center"/>
                </w:tcPr>
                <w:p w14:paraId="492EE47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0B5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13F7A46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2116" w:type="pct"/>
                  <w:vAlign w:val="center"/>
                </w:tcPr>
                <w:p w14:paraId="1E6B77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石油勘探开发单位的新建、扩建、改建、区域开发和引进项目等，必须执行环境影响报告的审批制度，执行防治污染的设施与主体工程同时设计，同时施工，同时投产使用的制度。</w:t>
                  </w:r>
                </w:p>
              </w:tc>
              <w:tc>
                <w:tcPr>
                  <w:tcW w:w="2113" w:type="pct"/>
                  <w:vAlign w:val="center"/>
                </w:tcPr>
                <w:p w14:paraId="1BCFD4A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本项目严格执行“三同时”制度，执行防治污染的设施与主体工程同时设计，同时施工，同时投产使用的制度。</w:t>
                  </w:r>
                </w:p>
              </w:tc>
              <w:tc>
                <w:tcPr>
                  <w:tcW w:w="438" w:type="pct"/>
                  <w:vAlign w:val="center"/>
                </w:tcPr>
                <w:p w14:paraId="0F1CD8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654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03B05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2116" w:type="pct"/>
                  <w:vAlign w:val="center"/>
                </w:tcPr>
                <w:p w14:paraId="6352DDA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石油勘探开发单位应当加强防治污染设施的管理，配备专门管理及操作人员，建立岗位责任制和操作规程，保证设施的正常运行。</w:t>
                  </w:r>
                </w:p>
              </w:tc>
              <w:tc>
                <w:tcPr>
                  <w:tcW w:w="2113" w:type="pct"/>
                  <w:vAlign w:val="center"/>
                </w:tcPr>
                <w:p w14:paraId="7D0E416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中国石油天然气股份有限公司吐哈油田分公司</w:t>
                  </w:r>
                  <w:r>
                    <w:rPr>
                      <w:color w:val="000000" w:themeColor="text1"/>
                      <w14:textFill>
                        <w14:solidFill>
                          <w14:schemeClr w14:val="tx1"/>
                        </w14:solidFill>
                      </w14:textFill>
                    </w:rPr>
                    <w:t>配备专门管理及操作人员，建立岗位责任制和操作规程，保证设施的正常运行。</w:t>
                  </w:r>
                </w:p>
              </w:tc>
              <w:tc>
                <w:tcPr>
                  <w:tcW w:w="438" w:type="pct"/>
                  <w:vAlign w:val="center"/>
                </w:tcPr>
                <w:p w14:paraId="26F028A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ED7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42226BB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2116" w:type="pct"/>
                  <w:vAlign w:val="center"/>
                </w:tcPr>
                <w:p w14:paraId="3D8A48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应当实行用水管理制度，提高水的重复利用率，对含油污水经处理达到注水标准的，可以实行回注，减少废水的排放量，保护地面水和地下水不受污染；排放废水必须符合国家和自治区规定的标准。</w:t>
                  </w:r>
                </w:p>
              </w:tc>
              <w:tc>
                <w:tcPr>
                  <w:tcW w:w="2113" w:type="pct"/>
                  <w:vAlign w:val="center"/>
                </w:tcPr>
                <w:p w14:paraId="7D0989B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本项目钻井废水</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试油期洗井废水全部回收，采用专用废液收集罐收集后运至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污水处理系统处理达标后回注油藏。</w:t>
                  </w:r>
                </w:p>
              </w:tc>
              <w:tc>
                <w:tcPr>
                  <w:tcW w:w="438" w:type="pct"/>
                  <w:vAlign w:val="center"/>
                </w:tcPr>
                <w:p w14:paraId="71F4FE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32D0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0A0488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2116" w:type="pct"/>
                  <w:vAlign w:val="center"/>
                </w:tcPr>
                <w:p w14:paraId="6B008B7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排放的废气、烟尘、粉尘，应当符合国家和自治区有关规定；天然气、油田伴生气及炼化系统中排放的可燃性气体应当回收利用；不具备回收条件而向大气排放的可燃气体，必须经过充分燃烧或者采取其他防治污染的措施。</w:t>
                  </w:r>
                </w:p>
              </w:tc>
              <w:tc>
                <w:tcPr>
                  <w:tcW w:w="2113" w:type="pct"/>
                  <w:vAlign w:val="center"/>
                </w:tcPr>
                <w:p w14:paraId="0EF4400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本项目试油期短，产生的气量不稳定，不具备回收条件，采取放空燃烧措施。</w:t>
                  </w:r>
                </w:p>
              </w:tc>
              <w:tc>
                <w:tcPr>
                  <w:tcW w:w="438" w:type="pct"/>
                  <w:vAlign w:val="center"/>
                </w:tcPr>
                <w:p w14:paraId="4B48617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D0C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75E101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2116" w:type="pct"/>
                  <w:vAlign w:val="center"/>
                </w:tcPr>
                <w:p w14:paraId="53F636A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在钻井和井下作业过程中，应当定点存放泥浆、岩屑或者其他废弃物，并及时做好回收利用和处理；对含有汞、镉、铅、铬、砷、氰化物、黄磷等有毒有害物质的泥浆、岩屑或者其他废弃物，应当采取防水、防渗和防溢等有效措施存放。</w:t>
                  </w:r>
                </w:p>
              </w:tc>
              <w:tc>
                <w:tcPr>
                  <w:tcW w:w="2113" w:type="pct"/>
                  <w:vAlign w:val="center"/>
                </w:tcPr>
                <w:p w14:paraId="279B2CF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钻井岩屑、泥浆经不落地系统处理实现固液分离，分离后的液相回用，水基岩屑交岩屑处置单位处置；油基岩屑由</w:t>
                  </w:r>
                  <w:r>
                    <w:rPr>
                      <w:rFonts w:ascii="宋体" w:hAnsi="宋体" w:cs="宋体"/>
                      <w:color w:val="000000" w:themeColor="text1"/>
                      <w14:textFill>
                        <w14:solidFill>
                          <w14:schemeClr w14:val="tx1"/>
                        </w14:solidFill>
                      </w14:textFill>
                    </w:rPr>
                    <w:t>新疆中建环能北庭环保科技有限公司</w:t>
                  </w:r>
                  <w:r>
                    <w:rPr>
                      <w:rFonts w:hint="eastAsia" w:ascii="宋体" w:hAnsi="宋体" w:cs="宋体"/>
                      <w:color w:val="000000" w:themeColor="text1"/>
                      <w14:textFill>
                        <w14:solidFill>
                          <w14:schemeClr w14:val="tx1"/>
                        </w14:solidFill>
                      </w14:textFill>
                    </w:rPr>
                    <w:t>处置</w:t>
                  </w:r>
                  <w:r>
                    <w:rPr>
                      <w:color w:val="000000" w:themeColor="text1"/>
                      <w14:textFill>
                        <w14:solidFill>
                          <w14:schemeClr w14:val="tx1"/>
                        </w14:solidFill>
                      </w14:textFill>
                    </w:rPr>
                    <w:t>。</w:t>
                  </w:r>
                </w:p>
              </w:tc>
              <w:tc>
                <w:tcPr>
                  <w:tcW w:w="438" w:type="pct"/>
                  <w:vAlign w:val="center"/>
                </w:tcPr>
                <w:p w14:paraId="07199F9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1463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6FDD678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2116" w:type="pct"/>
                  <w:vAlign w:val="center"/>
                </w:tcPr>
                <w:p w14:paraId="1BD993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在自然保护区、水源地、风景游览区、农田和绿洲等特殊区域作业，应当遵守国家和自治区有关法律、法规和规章的规定，对作业中产生的泥浆、岩屑、废油或者其他废弃物，必须配备固定的贮存设施，并采取防水、防渗、防溢等有效措施，防止造成污染与破坏。</w:t>
                  </w:r>
                </w:p>
              </w:tc>
              <w:tc>
                <w:tcPr>
                  <w:tcW w:w="2113" w:type="pct"/>
                  <w:vAlign w:val="center"/>
                </w:tcPr>
                <w:p w14:paraId="04F7313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本项目不在自然保护区、水源地、风景游览区、农田和绿洲等特殊区域。</w:t>
                  </w:r>
                </w:p>
              </w:tc>
              <w:tc>
                <w:tcPr>
                  <w:tcW w:w="438" w:type="pct"/>
                  <w:vAlign w:val="center"/>
                </w:tcPr>
                <w:p w14:paraId="1A283A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2B5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B40B05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p>
              </w:tc>
              <w:tc>
                <w:tcPr>
                  <w:tcW w:w="2116" w:type="pct"/>
                  <w:vAlign w:val="center"/>
                </w:tcPr>
                <w:p w14:paraId="3BBA1C4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石油勘探开发单位必须按照国家和自治区有关规定，严格管理有毒化学品和含有放射性物质的物品。</w:t>
                  </w:r>
                </w:p>
              </w:tc>
              <w:tc>
                <w:tcPr>
                  <w:tcW w:w="2113" w:type="pct"/>
                  <w:vAlign w:val="center"/>
                </w:tcPr>
                <w:p w14:paraId="6DDB906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本项目未使用有毒化学品和含有放射性物质的物品。</w:t>
                  </w:r>
                </w:p>
              </w:tc>
              <w:tc>
                <w:tcPr>
                  <w:tcW w:w="438" w:type="pct"/>
                  <w:vAlign w:val="center"/>
                </w:tcPr>
                <w:p w14:paraId="1B3EC91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211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2911674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w:t>
                  </w:r>
                </w:p>
              </w:tc>
              <w:tc>
                <w:tcPr>
                  <w:tcW w:w="2116" w:type="pct"/>
                  <w:vAlign w:val="center"/>
                </w:tcPr>
                <w:p w14:paraId="1BB4E07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运输原油、酸、碱、泥浆和其他有毒、有害物资的车辆，应当采取防渗漏、防溢流和防散落的措施；物料底脚和洗车水应当定点存放，集中处理。</w:t>
                  </w:r>
                </w:p>
              </w:tc>
              <w:tc>
                <w:tcPr>
                  <w:tcW w:w="2113" w:type="pct"/>
                  <w:vAlign w:val="center"/>
                </w:tcPr>
                <w:p w14:paraId="051534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本项目运输车辆采用密闭运输罐，已采取防渗漏、防溢流和防散落的措施。</w:t>
                  </w:r>
                </w:p>
              </w:tc>
              <w:tc>
                <w:tcPr>
                  <w:tcW w:w="438" w:type="pct"/>
                  <w:vAlign w:val="center"/>
                </w:tcPr>
                <w:p w14:paraId="19941C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537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5C6D619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11</w:t>
                  </w:r>
                </w:p>
              </w:tc>
              <w:tc>
                <w:tcPr>
                  <w:tcW w:w="2116" w:type="pct"/>
                  <w:vAlign w:val="center"/>
                </w:tcPr>
                <w:p w14:paraId="6B45D97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在勘探开发作业完毕后，应当及时清理场地；在农田、绿洲等地带作业，必须采取治理措施，减少占用耕地和破坏植被，对临时性占用的耕地造成破坏的，应当复垦还耕、恢复植被，并赔偿损失。</w:t>
                  </w:r>
                </w:p>
              </w:tc>
              <w:tc>
                <w:tcPr>
                  <w:tcW w:w="2113" w:type="pct"/>
                  <w:vAlign w:val="center"/>
                </w:tcPr>
                <w:p w14:paraId="71B55F0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本环评已要求建设单位勘探完成后及时清理场地；本项目不在农田、绿洲等地带；不占用耕地。</w:t>
                  </w:r>
                </w:p>
              </w:tc>
              <w:tc>
                <w:tcPr>
                  <w:tcW w:w="438" w:type="pct"/>
                  <w:vAlign w:val="center"/>
                </w:tcPr>
                <w:p w14:paraId="560ABE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1E7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5C0C9A3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12</w:t>
                  </w:r>
                </w:p>
              </w:tc>
              <w:tc>
                <w:tcPr>
                  <w:tcW w:w="2116" w:type="pct"/>
                  <w:vAlign w:val="center"/>
                </w:tcPr>
                <w:p w14:paraId="6A8455B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石油勘探开发单位应当严格执行井控技术规定，防止井喷污染，并实行无污染作业，严格控制落地油。</w:t>
                  </w:r>
                </w:p>
              </w:tc>
              <w:tc>
                <w:tcPr>
                  <w:tcW w:w="2113" w:type="pct"/>
                  <w:vAlign w:val="center"/>
                </w:tcPr>
                <w:p w14:paraId="71D845D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建设单位采用“原油不落地”技术，防止井喷污染，并实行无污染作业，严格控制落地油。</w:t>
                  </w:r>
                </w:p>
              </w:tc>
              <w:tc>
                <w:tcPr>
                  <w:tcW w:w="438" w:type="pct"/>
                  <w:vAlign w:val="center"/>
                </w:tcPr>
                <w:p w14:paraId="10FCEB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0409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2C13DF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13</w:t>
                  </w:r>
                </w:p>
              </w:tc>
              <w:tc>
                <w:tcPr>
                  <w:tcW w:w="2116" w:type="pct"/>
                  <w:vAlign w:val="center"/>
                </w:tcPr>
                <w:p w14:paraId="3A72633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石油勘探开发中发生事故或者其他突发性事件，造成或者可能造成环境污染和生态破坏的，必须立即采取措施，通报可能受到污染危害的单位和个人，并按国家有关规定，做好污染事故的调查处理工作。</w:t>
                  </w:r>
                </w:p>
              </w:tc>
              <w:tc>
                <w:tcPr>
                  <w:tcW w:w="2113" w:type="pct"/>
                  <w:vAlign w:val="center"/>
                </w:tcPr>
                <w:p w14:paraId="51557AA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环评已要求建设单位制定突发环境事件应急预案，在石油勘探开发中发生事故或者其他突发性事件，造成或者可能造成环境污染和生态破坏的，必须立即采取措施，通报可能受到污染危害的单位和个人，并按照国家有关规定，做好污染事故的调查处理工作。</w:t>
                  </w:r>
                </w:p>
              </w:tc>
              <w:tc>
                <w:tcPr>
                  <w:tcW w:w="438" w:type="pct"/>
                  <w:vAlign w:val="center"/>
                </w:tcPr>
                <w:p w14:paraId="574EC5D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3AFC96BF">
            <w:pPr>
              <w:pStyle w:val="15"/>
              <w:spacing w:line="360" w:lineRule="auto"/>
              <w:ind w:left="0" w:leftChars="0" w:firstLine="0" w:firstLineChars="0"/>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12 与《石油天然气开采业固体废物污染控制技术规范（试行）》（HJ1461-2026）相符性分析</w:t>
            </w:r>
          </w:p>
          <w:p w14:paraId="74BBFB55">
            <w:pPr>
              <w:pStyle w:val="15"/>
              <w:spacing w:line="360" w:lineRule="auto"/>
              <w:ind w:left="0" w:leftChars="0" w:firstLine="480" w:firstLineChars="200"/>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本项目与</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《石油天然气开采业固体废物污染控制技术规范（试行）》（HJ1461-2026）相符性分析见表1-8</w:t>
            </w:r>
            <w:r>
              <w:rPr>
                <w:rFonts w:ascii="Times New Roman" w:hAnsi="Times New Roman" w:eastAsia="宋体" w:cs="Times New Roman"/>
                <w:color w:val="000000" w:themeColor="text1"/>
                <w:sz w:val="24"/>
                <w14:textFill>
                  <w14:solidFill>
                    <w14:schemeClr w14:val="tx1"/>
                  </w14:solidFill>
                </w14:textFill>
              </w:rPr>
              <w:t>。</w:t>
            </w:r>
          </w:p>
          <w:p w14:paraId="6DF459EA">
            <w:pPr>
              <w:pStyle w:val="15"/>
              <w:spacing w:line="360" w:lineRule="auto"/>
              <w:ind w:left="0" w:leftChars="0" w:firstLine="0" w:firstLineChars="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表1-8 《石油天然气开采业固体废物污染控制技术规范（试行）》（HJ1461-2026）相符性分析</w:t>
            </w:r>
          </w:p>
          <w:tbl>
            <w:tblPr>
              <w:tblStyle w:val="16"/>
              <w:tblW w:w="498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47"/>
              <w:gridCol w:w="3380"/>
              <w:gridCol w:w="2782"/>
              <w:gridCol w:w="754"/>
            </w:tblGrid>
            <w:tr w14:paraId="00DF5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1" w:type="dxa"/>
                  <w:tcBorders>
                    <w:top w:val="single" w:color="000000" w:sz="4" w:space="0"/>
                    <w:left w:val="single" w:color="000000" w:sz="4" w:space="0"/>
                    <w:bottom w:val="single" w:color="000000" w:sz="4" w:space="0"/>
                    <w:right w:val="single" w:color="000000" w:sz="4" w:space="0"/>
                  </w:tcBorders>
                  <w:noWrap/>
                  <w:vAlign w:val="center"/>
                </w:tcPr>
                <w:p w14:paraId="42F0B4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2795" w:type="dxa"/>
                  <w:tcBorders>
                    <w:top w:val="single" w:color="000000" w:sz="4" w:space="0"/>
                    <w:left w:val="single" w:color="000000" w:sz="4" w:space="0"/>
                    <w:bottom w:val="single" w:color="000000" w:sz="4" w:space="0"/>
                    <w:right w:val="single" w:color="000000" w:sz="4" w:space="0"/>
                  </w:tcBorders>
                  <w:noWrap/>
                  <w:vAlign w:val="center"/>
                </w:tcPr>
                <w:p w14:paraId="3A5591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要求</w:t>
                  </w:r>
                </w:p>
              </w:tc>
              <w:tc>
                <w:tcPr>
                  <w:tcW w:w="2301" w:type="dxa"/>
                  <w:tcBorders>
                    <w:top w:val="single" w:color="000000" w:sz="4" w:space="0"/>
                    <w:left w:val="single" w:color="000000" w:sz="4" w:space="0"/>
                    <w:bottom w:val="single" w:color="000000" w:sz="4" w:space="0"/>
                    <w:right w:val="single" w:color="000000" w:sz="4" w:space="0"/>
                  </w:tcBorders>
                  <w:noWrap/>
                  <w:vAlign w:val="center"/>
                </w:tcPr>
                <w:p w14:paraId="3984CE1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本项目</w:t>
                  </w:r>
                </w:p>
              </w:tc>
              <w:tc>
                <w:tcPr>
                  <w:tcW w:w="624" w:type="dxa"/>
                  <w:tcBorders>
                    <w:top w:val="single" w:color="000000" w:sz="4" w:space="0"/>
                    <w:left w:val="single" w:color="000000" w:sz="4" w:space="0"/>
                    <w:bottom w:val="single" w:color="000000" w:sz="4" w:space="0"/>
                    <w:right w:val="single" w:color="000000" w:sz="4" w:space="0"/>
                  </w:tcBorders>
                  <w:noWrap/>
                  <w:vAlign w:val="center"/>
                </w:tcPr>
                <w:p w14:paraId="7F876E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相符性</w:t>
                  </w:r>
                </w:p>
              </w:tc>
            </w:tr>
            <w:tr w14:paraId="72F27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0" w:hRule="atLeast"/>
                <w:jc w:val="center"/>
              </w:trPr>
              <w:tc>
                <w:tcPr>
                  <w:tcW w:w="1031" w:type="dxa"/>
                  <w:tcBorders>
                    <w:top w:val="single" w:color="000000" w:sz="4" w:space="0"/>
                    <w:left w:val="single" w:color="000000" w:sz="4" w:space="0"/>
                    <w:bottom w:val="single" w:color="000000" w:sz="4" w:space="0"/>
                    <w:right w:val="single" w:color="000000" w:sz="4" w:space="0"/>
                  </w:tcBorders>
                  <w:noWrap/>
                  <w:vAlign w:val="center"/>
                </w:tcPr>
                <w:p w14:paraId="24D4E9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总体要求</w:t>
                  </w:r>
                </w:p>
              </w:tc>
              <w:tc>
                <w:tcPr>
                  <w:tcW w:w="2795" w:type="dxa"/>
                  <w:tcBorders>
                    <w:top w:val="single" w:color="000000" w:sz="4" w:space="0"/>
                    <w:left w:val="single" w:color="000000" w:sz="4" w:space="0"/>
                    <w:bottom w:val="single" w:color="000000" w:sz="4" w:space="0"/>
                    <w:right w:val="single" w:color="000000" w:sz="4" w:space="0"/>
                  </w:tcBorders>
                  <w:noWrap w:val="0"/>
                  <w:vAlign w:val="center"/>
                </w:tcPr>
                <w:p w14:paraId="5FAD63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4.1 </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油气开采固体废物污染环境防治坚持减量化、资源化和无害化原则。钻井作业现场配备钻井泥浆回收装置，实现钻井泥浆最大化利用。无法循环利用的钻井泥浆宜采用随钻不落地处理，回收钻井泥浆中的液相，减少钻井岩屑的产生量，回收的液相宜在钻井作业现场循环利用。</w:t>
                  </w:r>
                </w:p>
                <w:p w14:paraId="103445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含油废物综合考虑含油率、剩余固相的利用或处置污染控制要求等因素采取适当的利用处置技术，宜采用回收矿物油的方式利用。</w:t>
                  </w:r>
                </w:p>
                <w:p w14:paraId="6C23B9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水基岩屑、剩余固相根据相关国家生态环境标准或技术文件等要求开展环境风险定量评价，评价结果为可接受时，可用于油气开采区内基础设施建设场地铺垫、管线覆盖土等其他利用方式。</w:t>
                  </w:r>
                </w:p>
                <w:p w14:paraId="0EFD00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油气开采固体废物利用处置过程中废气排放满足</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GB 16297、GB 37822</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等国家或地方大气污染物排放标准要求。</w:t>
                  </w:r>
                </w:p>
                <w:p w14:paraId="342274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油气开采固体废物利用处置过程中废水排放满足</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GB 8978</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等国家或地方水污染物排放标准要求。 </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4.6  </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油气开采固体废物、剩余固相和回收的矿物油收集、贮存、转移、利用、处置过程涉及的国家安全生产、职业健康、交通运输、消防等，应符合国家和地方相关法律法规及标准的规定。</w:t>
                  </w:r>
                </w:p>
              </w:tc>
              <w:tc>
                <w:tcPr>
                  <w:tcW w:w="2301" w:type="dxa"/>
                  <w:tcBorders>
                    <w:top w:val="single" w:color="000000" w:sz="4" w:space="0"/>
                    <w:left w:val="single" w:color="000000" w:sz="4" w:space="0"/>
                    <w:bottom w:val="single" w:color="000000" w:sz="4" w:space="0"/>
                    <w:right w:val="single" w:color="000000" w:sz="4" w:space="0"/>
                  </w:tcBorders>
                  <w:noWrap/>
                  <w:vAlign w:val="center"/>
                </w:tcPr>
                <w:p w14:paraId="271EE43F">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本项目采用泥浆不落地系统，所有钻井液循环使用。</w:t>
                  </w:r>
                </w:p>
                <w:p w14:paraId="590EC5AC">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油基岩屑、含油污泥、废矿物油等危险废物委托新疆中建环能北庭环保科技有限公司处置。</w:t>
                  </w:r>
                </w:p>
                <w:p w14:paraId="66B2BEDA">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井场场界外非甲烷总烃的浓度低于《陆上石油天然气开采工业大气污染物排放标准》</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（GB39728-2020）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周界外无组织排放浓度限值</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4.0mg/m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的要求。</w:t>
                  </w:r>
                </w:p>
                <w:p w14:paraId="62BFC134">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钻井井场设危险废物</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贮存点</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，产生的机械设备废油、废弃防渗膜等均由施工单位委托新疆中建环能北庭环保科技有限公司进行处理。危险废物的收集过程中，应依据《危险废物收集 贮存 运输技术规范》（</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HJ2025-2012</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）的要求进行管理，采用专用车辆到指定地点收集运输危险废物，运输过程中不准设置中转储存点，严禁偷排、洒落、泄漏和随意倾倒等。</w:t>
                  </w:r>
                </w:p>
              </w:tc>
              <w:tc>
                <w:tcPr>
                  <w:tcW w:w="624" w:type="dxa"/>
                  <w:tcBorders>
                    <w:top w:val="single" w:color="000000" w:sz="4" w:space="0"/>
                    <w:left w:val="single" w:color="000000" w:sz="4" w:space="0"/>
                    <w:bottom w:val="single" w:color="000000" w:sz="4" w:space="0"/>
                    <w:right w:val="single" w:color="000000" w:sz="4" w:space="0"/>
                  </w:tcBorders>
                  <w:noWrap/>
                  <w:vAlign w:val="center"/>
                </w:tcPr>
                <w:p w14:paraId="7EA190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5E84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0" w:hRule="atLeast"/>
                <w:jc w:val="center"/>
              </w:trPr>
              <w:tc>
                <w:tcPr>
                  <w:tcW w:w="1031" w:type="dxa"/>
                  <w:tcBorders>
                    <w:top w:val="single" w:color="000000" w:sz="4" w:space="0"/>
                    <w:left w:val="single" w:color="000000" w:sz="4" w:space="0"/>
                    <w:bottom w:val="single" w:color="000000" w:sz="4" w:space="0"/>
                    <w:right w:val="single" w:color="000000" w:sz="4" w:space="0"/>
                  </w:tcBorders>
                  <w:noWrap/>
                  <w:vAlign w:val="center"/>
                </w:tcPr>
                <w:p w14:paraId="1B4FD20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收集、贮存、转移污染控制要求</w:t>
                  </w:r>
                </w:p>
              </w:tc>
              <w:tc>
                <w:tcPr>
                  <w:tcW w:w="2795" w:type="dxa"/>
                  <w:tcBorders>
                    <w:top w:val="single" w:color="000000" w:sz="4" w:space="0"/>
                    <w:left w:val="single" w:color="000000" w:sz="4" w:space="0"/>
                    <w:bottom w:val="single" w:color="000000" w:sz="4" w:space="0"/>
                    <w:right w:val="single" w:color="000000" w:sz="4" w:space="0"/>
                  </w:tcBorders>
                  <w:noWrap w:val="0"/>
                  <w:vAlign w:val="center"/>
                </w:tcPr>
                <w:p w14:paraId="643F2D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含油废物与水基岩屑分开收集。水基岩屑中磺化钻井岩屑单独收集处理，造斜井段和目的层井段等特殊工段及非正常工况下产生的聚合物钻井岩屑单独收集处理。</w:t>
                  </w:r>
                </w:p>
                <w:p w14:paraId="57EF818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水基岩屑随钻固液分离后收集，其中磺化钻井岩屑先破胶脱稳处理，分离后的水基岩屑含水率宜小于</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%，分离后的液相宜在钻井现场循环利用。</w:t>
                  </w:r>
                </w:p>
                <w:p w14:paraId="4DB2DB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水基岩屑需要在作业现场临时贮存的，贮存场地的防渗性能满足GB </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18599</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的要求。综合考虑降雨量、蒸发量等因素，因地制宜采取必要的防雨、防尘措施。转移过程中采取防遗撒、防扬尘、防泄漏的措施。</w:t>
                  </w:r>
                </w:p>
                <w:p w14:paraId="52000E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含油废物的收集、贮存、转移等环节采取防雨、防渗、防泄漏等措施。属于挥发性有机物（VOCs）物料的，采取有效措施减少VOCs的无组织排放。</w:t>
                  </w:r>
                </w:p>
                <w:p w14:paraId="40568C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剩余固相的转移采取防遗撒、防扬尘、防泄漏的措施。剩余固相和回收的矿物油收集、贮存、转移过程的其他要求，根据其管理属性分别执行相关环境保护规定和标准的要求。</w:t>
                  </w:r>
                </w:p>
              </w:tc>
              <w:tc>
                <w:tcPr>
                  <w:tcW w:w="2301" w:type="dxa"/>
                  <w:tcBorders>
                    <w:top w:val="single" w:color="000000" w:sz="4" w:space="0"/>
                    <w:left w:val="single" w:color="000000" w:sz="4" w:space="0"/>
                    <w:bottom w:val="single" w:color="000000" w:sz="4" w:space="0"/>
                    <w:right w:val="single" w:color="000000" w:sz="4" w:space="0"/>
                  </w:tcBorders>
                  <w:noWrap/>
                  <w:vAlign w:val="center"/>
                </w:tcPr>
                <w:p w14:paraId="6CFE0802">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油基岩屑与水基岩屑分开收集储存。使用泥浆不落地系统，分离的液相循环使用。本项目井场中发电机房、不落地设备、岩屑储罐、各类罐体罐基础和危废贮存点采取重点防渗；材料房和移动厕所等采取一般防渗；其他区域采取简单防渗，采取一般地面硬化，防渗材料参照《环境影响评价技术导则 地下水环境》</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（HJ610-2016）</w:t>
                  </w: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中相应防渗要求执行。</w:t>
                  </w:r>
                </w:p>
                <w:p w14:paraId="3E3E6B90">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本项目</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产生的机械设备废油、废弃防渗膜等均由施工单位委托新疆中建环能北庭环保科技有限公司进行处理。危险废物的收集过程中，应依据《危险废物收集 贮存 运输技术规范》（HJ</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2025</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2012</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）的要求进行管理，采用专用车辆到指定地点收集运输危险废物，运输过程中不准设置中转储存点，严禁偷排、洒落、泄漏和随意倾倒等。</w:t>
                  </w:r>
                </w:p>
              </w:tc>
              <w:tc>
                <w:tcPr>
                  <w:tcW w:w="624" w:type="dxa"/>
                  <w:tcBorders>
                    <w:top w:val="single" w:color="000000" w:sz="4" w:space="0"/>
                    <w:left w:val="single" w:color="000000" w:sz="4" w:space="0"/>
                    <w:bottom w:val="single" w:color="000000" w:sz="4" w:space="0"/>
                    <w:right w:val="single" w:color="000000" w:sz="4" w:space="0"/>
                  </w:tcBorders>
                  <w:noWrap/>
                  <w:vAlign w:val="center"/>
                </w:tcPr>
                <w:p w14:paraId="391CC7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2CFBC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31" w:type="dxa"/>
                  <w:tcBorders>
                    <w:top w:val="single" w:color="000000" w:sz="4" w:space="0"/>
                    <w:left w:val="single" w:color="000000" w:sz="4" w:space="0"/>
                    <w:bottom w:val="single" w:color="000000" w:sz="4" w:space="0"/>
                    <w:right w:val="single" w:color="000000" w:sz="4" w:space="0"/>
                  </w:tcBorders>
                  <w:noWrap/>
                  <w:vAlign w:val="center"/>
                </w:tcPr>
                <w:p w14:paraId="33BCA9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一般工业固废利用处置</w:t>
                  </w:r>
                </w:p>
              </w:tc>
              <w:tc>
                <w:tcPr>
                  <w:tcW w:w="2795" w:type="dxa"/>
                  <w:tcBorders>
                    <w:top w:val="single" w:color="000000" w:sz="4" w:space="0"/>
                    <w:left w:val="single" w:color="000000" w:sz="4" w:space="0"/>
                    <w:bottom w:val="single" w:color="000000" w:sz="4" w:space="0"/>
                    <w:right w:val="single" w:color="000000" w:sz="4" w:space="0"/>
                  </w:tcBorders>
                  <w:noWrap w:val="0"/>
                  <w:vAlign w:val="center"/>
                </w:tcPr>
                <w:p w14:paraId="17CF77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水基岩屑浸出毒性达标可综合利用（场地铺垫、建材原料）；超标岩屑送至一般工业固废填埋场；钻前表土分区堆存，完井后用于生态复垦。</w:t>
                  </w:r>
                </w:p>
              </w:tc>
              <w:tc>
                <w:tcPr>
                  <w:tcW w:w="2301" w:type="dxa"/>
                  <w:tcBorders>
                    <w:top w:val="single" w:color="000000" w:sz="4" w:space="0"/>
                    <w:left w:val="single" w:color="000000" w:sz="4" w:space="0"/>
                    <w:bottom w:val="single" w:color="000000" w:sz="4" w:space="0"/>
                    <w:right w:val="single" w:color="000000" w:sz="4" w:space="0"/>
                  </w:tcBorders>
                  <w:noWrap/>
                  <w:vAlign w:val="center"/>
                </w:tcPr>
                <w:p w14:paraId="2361090B">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本项目产生的水基岩屑交由第三方公司处置。</w:t>
                  </w:r>
                </w:p>
              </w:tc>
              <w:tc>
                <w:tcPr>
                  <w:tcW w:w="624" w:type="dxa"/>
                  <w:tcBorders>
                    <w:top w:val="single" w:color="000000" w:sz="4" w:space="0"/>
                    <w:left w:val="single" w:color="000000" w:sz="4" w:space="0"/>
                    <w:bottom w:val="single" w:color="000000" w:sz="4" w:space="0"/>
                    <w:right w:val="single" w:color="000000" w:sz="4" w:space="0"/>
                  </w:tcBorders>
                  <w:noWrap/>
                  <w:vAlign w:val="center"/>
                </w:tcPr>
                <w:p w14:paraId="11A147A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247D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31" w:type="dxa"/>
                  <w:tcBorders>
                    <w:top w:val="single" w:color="000000" w:sz="4" w:space="0"/>
                    <w:left w:val="single" w:color="000000" w:sz="4" w:space="0"/>
                    <w:bottom w:val="single" w:color="000000" w:sz="4" w:space="0"/>
                    <w:right w:val="single" w:color="000000" w:sz="4" w:space="0"/>
                  </w:tcBorders>
                  <w:noWrap/>
                  <w:vAlign w:val="center"/>
                </w:tcPr>
                <w:p w14:paraId="5CAC80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危险废物利用处置</w:t>
                  </w:r>
                </w:p>
              </w:tc>
              <w:tc>
                <w:tcPr>
                  <w:tcW w:w="2795" w:type="dxa"/>
                  <w:tcBorders>
                    <w:top w:val="single" w:color="000000" w:sz="4" w:space="0"/>
                    <w:left w:val="single" w:color="000000" w:sz="4" w:space="0"/>
                    <w:bottom w:val="single" w:color="000000" w:sz="4" w:space="0"/>
                    <w:right w:val="single" w:color="000000" w:sz="4" w:space="0"/>
                  </w:tcBorders>
                  <w:noWrap w:val="0"/>
                  <w:vAlign w:val="center"/>
                </w:tcPr>
                <w:p w14:paraId="5B0F41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油基岩屑、含油污泥、废矿物油等危险废物不得就地处置，须委托资质单位进行资源化回收或无害化安全填埋。</w:t>
                  </w:r>
                </w:p>
              </w:tc>
              <w:tc>
                <w:tcPr>
                  <w:tcW w:w="2301" w:type="dxa"/>
                  <w:tcBorders>
                    <w:top w:val="single" w:color="000000" w:sz="4" w:space="0"/>
                    <w:left w:val="single" w:color="000000" w:sz="4" w:space="0"/>
                    <w:bottom w:val="single" w:color="000000" w:sz="4" w:space="0"/>
                    <w:right w:val="single" w:color="000000" w:sz="4" w:space="0"/>
                  </w:tcBorders>
                  <w:noWrap/>
                  <w:vAlign w:val="center"/>
                </w:tcPr>
                <w:p w14:paraId="33DE518B">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油基岩屑、含油污泥、废矿物油等危险废物委托新疆中建环能北庭环保科技有限公司处置。</w:t>
                  </w:r>
                </w:p>
              </w:tc>
              <w:tc>
                <w:tcPr>
                  <w:tcW w:w="624" w:type="dxa"/>
                  <w:tcBorders>
                    <w:top w:val="single" w:color="000000" w:sz="4" w:space="0"/>
                    <w:left w:val="single" w:color="000000" w:sz="4" w:space="0"/>
                    <w:bottom w:val="single" w:color="000000" w:sz="4" w:space="0"/>
                    <w:right w:val="single" w:color="000000" w:sz="4" w:space="0"/>
                  </w:tcBorders>
                  <w:noWrap/>
                  <w:vAlign w:val="center"/>
                </w:tcPr>
                <w:p w14:paraId="23EF45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bl>
          <w:p w14:paraId="2706B7E7">
            <w:pPr>
              <w:pStyle w:val="3"/>
              <w:ind w:firstLine="0" w:firstLineChars="0"/>
              <w:rPr>
                <w:rFonts w:hint="default"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 xml:space="preserve">13 </w:t>
            </w:r>
            <w:r>
              <w:rPr>
                <w:rFonts w:hint="eastAsia" w:ascii="Times New Roman" w:hAnsi="Times New Roman" w:eastAsia="宋体" w:cs="Times New Roman"/>
                <w:b/>
                <w:bCs/>
                <w:color w:val="000000" w:themeColor="text1"/>
                <w:sz w:val="24"/>
                <w:lang w:val="en-US" w:eastAsia="zh-CN"/>
                <w14:textFill>
                  <w14:solidFill>
                    <w14:schemeClr w14:val="tx1"/>
                  </w14:solidFill>
                </w14:textFill>
              </w:rPr>
              <w:t>与《关于在新一轮找矿突破战略行动中全面实施绿色勘查的通知》（自然资发〔2024〕122号）相符性分析</w:t>
            </w:r>
          </w:p>
          <w:p w14:paraId="2B821D91">
            <w:pPr>
              <w:pStyle w:val="15"/>
              <w:spacing w:line="360" w:lineRule="auto"/>
              <w:ind w:left="0" w:leftChars="0" w:firstLine="480" w:firstLineChars="200"/>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本项目与《关于在新一轮找矿突破战略行动中全面实施绿色勘查的通知》（自然资发〔2024〕122号）相符性分析见表1-9。</w:t>
            </w:r>
          </w:p>
          <w:p w14:paraId="52F11016">
            <w:pPr>
              <w:pStyle w:val="15"/>
              <w:spacing w:line="360" w:lineRule="auto"/>
              <w:ind w:left="0" w:leftChars="0" w:firstLine="0" w:firstLineChars="0"/>
              <w:jc w:val="cente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表1-9 本项目与《自然资源部 国家林草局 关于在新一轮找矿突破战略行动中全面实施绿色勘查的通知》（自然资发〔2024〕122号）相符性分析</w:t>
            </w:r>
          </w:p>
          <w:tbl>
            <w:tblPr>
              <w:tblStyle w:val="16"/>
              <w:tblW w:w="497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7"/>
              <w:gridCol w:w="3917"/>
              <w:gridCol w:w="2743"/>
              <w:gridCol w:w="583"/>
            </w:tblGrid>
            <w:tr w14:paraId="6CAC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14:paraId="0D232F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407049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要求</w:t>
                  </w:r>
                </w:p>
              </w:tc>
              <w:tc>
                <w:tcPr>
                  <w:tcW w:w="2269" w:type="dxa"/>
                  <w:tcBorders>
                    <w:top w:val="single" w:color="000000" w:sz="4" w:space="0"/>
                    <w:left w:val="single" w:color="000000" w:sz="4" w:space="0"/>
                    <w:bottom w:val="single" w:color="000000" w:sz="4" w:space="0"/>
                    <w:right w:val="single" w:color="000000" w:sz="4" w:space="0"/>
                  </w:tcBorders>
                  <w:noWrap/>
                  <w:vAlign w:val="center"/>
                </w:tcPr>
                <w:p w14:paraId="36AF7A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本项目</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120B1C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相符性</w:t>
                  </w:r>
                </w:p>
              </w:tc>
            </w:tr>
            <w:tr w14:paraId="75C5A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14:paraId="2978D3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二、健全绿色勘查标准体系，明确项目实施要求</w:t>
                  </w: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6D408E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（一）加快推进标准规范落实。各地要加快落实《绿色地质勘查工作规范》</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（DZ/T 0374-2021）</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细化形成符合本地实际的绿色勘查地方标准，为地勘单位和矿山企业实施绿色勘查提供明确依据，支持和鼓励地勘单位和矿山企业开展绿色勘查标准建设。要加大绿色勘查标准规范、工作规则宣传培训力度，加强绿色勘查成功经验总结提炼、推广应用。</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二）强化勘查设计管理。财政出资的各类地质勘查项目，勘查实施方案中要明确绿色勘查具体措施。新出让的探矿权，要将矿业权人绿色勘查义务在合同中载明，并在勘查实施方案评审中，对绿色勘查措施进行严格把关，促进矿业权人落实绿色勘查各项规定和要求。</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三）明确项目实施要求。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tc>
              <w:tc>
                <w:tcPr>
                  <w:tcW w:w="2269" w:type="dxa"/>
                  <w:tcBorders>
                    <w:top w:val="single" w:color="000000" w:sz="4" w:space="0"/>
                    <w:left w:val="single" w:color="000000" w:sz="4" w:space="0"/>
                    <w:bottom w:val="single" w:color="000000" w:sz="4" w:space="0"/>
                    <w:right w:val="single" w:color="000000" w:sz="4" w:space="0"/>
                  </w:tcBorders>
                  <w:noWrap/>
                  <w:vAlign w:val="center"/>
                </w:tcPr>
                <w:p w14:paraId="55D74AE1">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本项目新建</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w:t>
                  </w: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口预探井，属于鼓励类勘探手段。本项目采用泥浆不落地系统，所有钻井液循环使用。</w:t>
                  </w:r>
                </w:p>
                <w:p w14:paraId="001F4062">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油基岩屑、含油污泥、废矿物油等危险废物委托新疆中建环能北庭环保科技有限公司处置。</w:t>
                  </w:r>
                </w:p>
                <w:p w14:paraId="1192CC46">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井场场界外非甲烷总烃的浓度低于《陆上石油天然气开采工业大气污染物排放标准》</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（GB39728-2020）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周界外无组织排放浓度限值</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4.0mg/m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的要求。环保方面符合绿色勘查要求。</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7EE643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13C6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14:paraId="539BAA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四、在生态保护红线内实行更加严格的绿色勘查要求</w:t>
                  </w: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4E697C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生态保护红线内自然保护地核心保护区外依法开展的地质勘查工作，执行更加严格的绿色勘查标准和要求。要根据森林、草原、湿地、荒漠等不同场景采取针对性的绿色勘查方法和装备（具体要求见附件），在勘查实施方案中进行明确。涉及自然保护区、风景名胜区、饮用水水源保护区等区域，依照相关法律法规执行。</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对于地质勘查需要临时使用或占用林地、草原、湿地、海域等的，要按照《土地管理法》《森林法》《草原法》《湿地保护法》《海域使用管理法》等法律法规及自然资源部关于规范临时用地管理有关规定，及时办理申请审批手续，涉及自然保护地的应按规定征求林草主管部门或自然保护地管理机构意见。各级自然资源、林草主管部门要加强对申请地质勘查临时使用或占用林地、草原、湿地等的审核审批和复垦监管，按照《自然资源部 国家林业和草原局关于以第三次全国国土调查成果为基础明确林地管理边界 规范林地管理的通知》（自然资发〔</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2023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号），加强部门间审批协作联动，提升政务服务效能，加快审批进度，更好推动生态保护红线内地质勘查项目落地。</w:t>
                  </w:r>
                </w:p>
              </w:tc>
              <w:tc>
                <w:tcPr>
                  <w:tcW w:w="2269" w:type="dxa"/>
                  <w:tcBorders>
                    <w:top w:val="single" w:color="000000" w:sz="4" w:space="0"/>
                    <w:left w:val="single" w:color="000000" w:sz="4" w:space="0"/>
                    <w:bottom w:val="single" w:color="000000" w:sz="4" w:space="0"/>
                    <w:right w:val="single" w:color="000000" w:sz="4" w:space="0"/>
                  </w:tcBorders>
                  <w:noWrap/>
                  <w:vAlign w:val="center"/>
                </w:tcPr>
                <w:p w14:paraId="1E829388">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本项目不涉及生态保护红线，项目正在办理征地手续中，已针对提出施工结束后生态修复措施。</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0A64C3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0E01E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14:paraId="36B4F1C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五、加强项目场地生态环境保护和恢复</w:t>
                  </w: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558FCC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新建道路、施工产生的坑、沟等，严格按照森林、草原、湿地、防沙治沙有关法律法规和标准规范在规定时间内做好复绿、复植等。各地要将绿色勘查措施落实和项目场地生态环境恢复情况作为地质勘查项目验收重要内容，不符合规定的项目（野外）验收不予通过。</w:t>
                  </w:r>
                </w:p>
              </w:tc>
              <w:tc>
                <w:tcPr>
                  <w:tcW w:w="2269" w:type="dxa"/>
                  <w:tcBorders>
                    <w:top w:val="single" w:color="000000" w:sz="4" w:space="0"/>
                    <w:left w:val="single" w:color="000000" w:sz="4" w:space="0"/>
                    <w:bottom w:val="single" w:color="000000" w:sz="4" w:space="0"/>
                    <w:right w:val="single" w:color="000000" w:sz="4" w:space="0"/>
                  </w:tcBorders>
                  <w:noWrap/>
                  <w:vAlign w:val="center"/>
                </w:tcPr>
                <w:p w14:paraId="6213C461">
                  <w:pPr>
                    <w:keepNext w:val="0"/>
                    <w:keepLines w:val="0"/>
                    <w:pageBreakBefore w:val="0"/>
                    <w:kinsoku/>
                    <w:wordWrap/>
                    <w:overflowPunct/>
                    <w:topLinePunct w:val="0"/>
                    <w:autoSpaceDE/>
                    <w:autoSpaceDN/>
                    <w:bidi w:val="0"/>
                    <w:adjustRightInd w:val="0"/>
                    <w:snapToGrid w:val="0"/>
                    <w:spacing w:line="240" w:lineRule="auto"/>
                    <w:ind w:firstLine="0" w:firstLineChars="0"/>
                    <w:jc w:val="left"/>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本项目已</w:t>
                  </w:r>
                  <w:r>
                    <w:rPr>
                      <w:rFonts w:hint="eastAsia" w:ascii="Times New Roman" w:hAnsi="Times New Roman" w:eastAsia="宋体" w:cs="Times New Roman"/>
                      <w:color w:val="000000" w:themeColor="text1"/>
                      <w:sz w:val="21"/>
                      <w:szCs w:val="21"/>
                      <w14:textFill>
                        <w14:solidFill>
                          <w14:schemeClr w14:val="tx1"/>
                        </w14:solidFill>
                      </w14:textFill>
                    </w:rPr>
                    <w:t>根据</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绿色勘查</w:t>
                  </w:r>
                  <w:r>
                    <w:rPr>
                      <w:rFonts w:hint="eastAsia" w:ascii="Times New Roman" w:hAnsi="Times New Roman" w:eastAsia="宋体" w:cs="Times New Roman"/>
                      <w:color w:val="000000" w:themeColor="text1"/>
                      <w:sz w:val="21"/>
                      <w:szCs w:val="21"/>
                      <w14:textFill>
                        <w14:solidFill>
                          <w14:schemeClr w14:val="tx1"/>
                        </w14:solidFill>
                      </w14:textFill>
                    </w:rPr>
                    <w:t>中的要求，所有施工范围需进行生态环境保护与恢复治理，</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已</w:t>
                  </w:r>
                  <w:r>
                    <w:rPr>
                      <w:rFonts w:hint="eastAsia" w:ascii="Times New Roman" w:hAnsi="Times New Roman" w:eastAsia="宋体" w:cs="Times New Roman"/>
                      <w:color w:val="000000" w:themeColor="text1"/>
                      <w:sz w:val="21"/>
                      <w:szCs w:val="21"/>
                      <w14:textFill>
                        <w14:solidFill>
                          <w14:schemeClr w14:val="tx1"/>
                        </w14:solidFill>
                      </w14:textFill>
                    </w:rPr>
                    <w:t>提出生态恢复措施。</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要求施工单位严格执行。针对临时占用的草地和林地进行生态恢复。</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651EC9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3691E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14:paraId="33EEE2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六、强化监督管理</w:t>
                  </w: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36CE788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各级自然资源、林草主管部门要加强绿色勘查执行情况、环境保护落实情况监督，督促勘查项目承担单位落实绿色勘查主体责任，将绿色勘查各项要求和义务落实在地质勘查信息实地核查、勘查实施方案审查、项目实施过程管理等日常工作中，以高质量监督管理促进绿色勘查工作走深走实。</w:t>
                  </w:r>
                </w:p>
              </w:tc>
              <w:tc>
                <w:tcPr>
                  <w:tcW w:w="2269" w:type="dxa"/>
                  <w:tcBorders>
                    <w:top w:val="single" w:color="000000" w:sz="4" w:space="0"/>
                    <w:left w:val="single" w:color="000000" w:sz="4" w:space="0"/>
                    <w:bottom w:val="single" w:color="000000" w:sz="4" w:space="0"/>
                    <w:right w:val="single" w:color="000000" w:sz="4" w:space="0"/>
                  </w:tcBorders>
                  <w:noWrap/>
                  <w:vAlign w:val="center"/>
                </w:tcPr>
                <w:p w14:paraId="1C1A7AEC">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本项目要求建设单位承担</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绿色勘查主体责任，督促施工单位进行环保日常检查并做好记录。</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28615F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bl>
          <w:p w14:paraId="7977697B">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r>
              <w:rPr>
                <w:rFonts w:hint="eastAsia"/>
                <w:color w:val="000000" w:themeColor="text1"/>
                <w:sz w:val="28"/>
                <w:szCs w:val="28"/>
                <w:lang w:val="en-US" w:eastAsia="zh-CN"/>
                <w14:textFill>
                  <w14:solidFill>
                    <w14:schemeClr w14:val="tx1"/>
                  </w14:solidFill>
                </w14:textFill>
              </w:rPr>
              <w:t>4</w:t>
            </w:r>
            <w:r>
              <w:rPr>
                <w:color w:val="000000" w:themeColor="text1"/>
                <w:sz w:val="28"/>
                <w:szCs w:val="28"/>
                <w14:textFill>
                  <w14:solidFill>
                    <w14:schemeClr w14:val="tx1"/>
                  </w14:solidFill>
                </w14:textFill>
              </w:rPr>
              <w:t xml:space="preserve"> 与《新疆维吾尔自治区重点行业环境准入条件（2024年）》（新环环评发〔2024〕93号）相符性分析</w:t>
            </w:r>
          </w:p>
          <w:p w14:paraId="75168220">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本项目与《新疆维吾尔自治区重点行业环境准入条件（2024年）》（新环环评发〔2024〕93号）相符性见表1-</w:t>
            </w:r>
            <w:r>
              <w:rPr>
                <w:rFonts w:hint="eastAsia"/>
                <w:color w:val="000000" w:themeColor="text1"/>
                <w:lang w:val="en-US" w:eastAsia="zh-CN"/>
                <w14:textFill>
                  <w14:solidFill>
                    <w14:schemeClr w14:val="tx1"/>
                  </w14:solidFill>
                </w14:textFill>
              </w:rPr>
              <w:t>10</w:t>
            </w:r>
            <w:r>
              <w:rPr>
                <w:color w:val="000000" w:themeColor="text1"/>
                <w14:textFill>
                  <w14:solidFill>
                    <w14:schemeClr w14:val="tx1"/>
                  </w14:solidFill>
                </w14:textFill>
              </w:rPr>
              <w:t>。</w:t>
            </w:r>
          </w:p>
          <w:p w14:paraId="7B8AFBEF">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表1-</w:t>
            </w:r>
            <w:r>
              <w:rPr>
                <w:rFonts w:hint="eastAsia"/>
                <w:bCs/>
                <w:color w:val="000000" w:themeColor="text1"/>
                <w:sz w:val="21"/>
                <w:szCs w:val="21"/>
                <w:lang w:val="en-US" w:eastAsia="zh-CN"/>
                <w14:textFill>
                  <w14:solidFill>
                    <w14:schemeClr w14:val="tx1"/>
                  </w14:solidFill>
                </w14:textFill>
              </w:rPr>
              <w:t>10</w:t>
            </w:r>
            <w:r>
              <w:rPr>
                <w:bCs/>
                <w:color w:val="000000" w:themeColor="text1"/>
                <w:sz w:val="21"/>
                <w:szCs w:val="21"/>
                <w14:textFill>
                  <w14:solidFill>
                    <w14:schemeClr w14:val="tx1"/>
                  </w14:solidFill>
                </w14:textFill>
              </w:rPr>
              <w:t xml:space="preserve">  与《新疆维吾尔自治区重点行业环境准入条件（2024年）》（新环环评发〔2024〕93号）符合性分析一览表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661"/>
              <w:gridCol w:w="3332"/>
              <w:gridCol w:w="2819"/>
              <w:gridCol w:w="852"/>
            </w:tblGrid>
            <w:tr w14:paraId="54A2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1DEFF8D6">
                  <w:pPr>
                    <w:pStyle w:val="22"/>
                    <w:spacing w:line="240" w:lineRule="auto"/>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序号</w:t>
                  </w:r>
                </w:p>
              </w:tc>
              <w:tc>
                <w:tcPr>
                  <w:tcW w:w="2441" w:type="pct"/>
                  <w:gridSpan w:val="2"/>
                  <w:vAlign w:val="center"/>
                </w:tcPr>
                <w:p w14:paraId="1A29EAB5">
                  <w:pPr>
                    <w:pStyle w:val="22"/>
                    <w:spacing w:line="240" w:lineRule="auto"/>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要求</w:t>
                  </w:r>
                </w:p>
              </w:tc>
              <w:tc>
                <w:tcPr>
                  <w:tcW w:w="1723" w:type="pct"/>
                  <w:vAlign w:val="center"/>
                </w:tcPr>
                <w:p w14:paraId="551DE7BC">
                  <w:pPr>
                    <w:pStyle w:val="22"/>
                    <w:spacing w:line="240" w:lineRule="auto"/>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本项目</w:t>
                  </w:r>
                </w:p>
              </w:tc>
              <w:tc>
                <w:tcPr>
                  <w:tcW w:w="521" w:type="pct"/>
                  <w:vAlign w:val="center"/>
                </w:tcPr>
                <w:p w14:paraId="77500A29">
                  <w:pPr>
                    <w:pStyle w:val="22"/>
                    <w:spacing w:line="240" w:lineRule="auto"/>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相符性</w:t>
                  </w:r>
                </w:p>
              </w:tc>
            </w:tr>
            <w:tr w14:paraId="51F1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009ADFD7">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1</w:t>
                  </w:r>
                </w:p>
              </w:tc>
              <w:tc>
                <w:tcPr>
                  <w:tcW w:w="404" w:type="pct"/>
                  <w:vAlign w:val="center"/>
                </w:tcPr>
                <w:p w14:paraId="5089ED02">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适用范围</w:t>
                  </w:r>
                </w:p>
              </w:tc>
              <w:tc>
                <w:tcPr>
                  <w:tcW w:w="2037" w:type="pct"/>
                  <w:vAlign w:val="center"/>
                </w:tcPr>
                <w:p w14:paraId="56563E84">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适用于自治区行政区域内新、改、扩建陆地石油天然气开发项目相关环境管理活动。包括石油、天然气、页岩油、页岩气的勘探、开采、油气集输与处理等作业或过程。</w:t>
                  </w:r>
                </w:p>
              </w:tc>
              <w:tc>
                <w:tcPr>
                  <w:tcW w:w="1723" w:type="pct"/>
                  <w:vAlign w:val="center"/>
                </w:tcPr>
                <w:p w14:paraId="45A93C9F">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本项目为石油勘探项目。</w:t>
                  </w:r>
                </w:p>
              </w:tc>
              <w:tc>
                <w:tcPr>
                  <w:tcW w:w="521" w:type="pct"/>
                  <w:vAlign w:val="center"/>
                </w:tcPr>
                <w:p w14:paraId="08878478">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5674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3EC1B2EF">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2</w:t>
                  </w:r>
                </w:p>
              </w:tc>
              <w:tc>
                <w:tcPr>
                  <w:tcW w:w="404" w:type="pct"/>
                  <w:vAlign w:val="center"/>
                </w:tcPr>
                <w:p w14:paraId="27FA5903">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选址与空间布局</w:t>
                  </w:r>
                </w:p>
              </w:tc>
              <w:tc>
                <w:tcPr>
                  <w:tcW w:w="2037" w:type="pct"/>
                  <w:vAlign w:val="center"/>
                </w:tcPr>
                <w:p w14:paraId="4A3587EE">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涉及自然保护地的石油天然气勘探、开发项目按照国家和自治区有关油气安全保障政策要求执行。</w:t>
                  </w:r>
                </w:p>
              </w:tc>
              <w:tc>
                <w:tcPr>
                  <w:tcW w:w="1723" w:type="pct"/>
                  <w:vAlign w:val="center"/>
                </w:tcPr>
                <w:p w14:paraId="02AC8603">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本项目不涉及自然保护地。</w:t>
                  </w:r>
                </w:p>
              </w:tc>
              <w:tc>
                <w:tcPr>
                  <w:tcW w:w="521" w:type="pct"/>
                  <w:vAlign w:val="center"/>
                </w:tcPr>
                <w:p w14:paraId="2F9DDEAF">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5FE1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53006DF7">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3</w:t>
                  </w:r>
                </w:p>
              </w:tc>
              <w:tc>
                <w:tcPr>
                  <w:tcW w:w="404" w:type="pct"/>
                  <w:vMerge w:val="restart"/>
                  <w:vAlign w:val="center"/>
                </w:tcPr>
                <w:p w14:paraId="52876E1A">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污染防治与环境影响</w:t>
                  </w:r>
                </w:p>
              </w:tc>
              <w:tc>
                <w:tcPr>
                  <w:tcW w:w="2037" w:type="pct"/>
                  <w:vAlign w:val="center"/>
                </w:tcPr>
                <w:p w14:paraId="3097BF53">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施工期应当尽量减少施工占地、严格控制施工作业面积、缩短施工时间、选择合理施工方式、落实环境敏感区管控要求以及其他生态环境保护措施，有效降低生态环境影响。</w:t>
                  </w:r>
                </w:p>
              </w:tc>
              <w:tc>
                <w:tcPr>
                  <w:tcW w:w="1723" w:type="pct"/>
                  <w:vAlign w:val="center"/>
                </w:tcPr>
                <w:p w14:paraId="4893B1DD">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施工期严格控制占地面积，施工单位在占地范围内施工，严格控制和管理运输车辆及重型机械施工作业范围。具体详见环境保护措施章节。</w:t>
                  </w:r>
                </w:p>
              </w:tc>
              <w:tc>
                <w:tcPr>
                  <w:tcW w:w="521" w:type="pct"/>
                  <w:vAlign w:val="center"/>
                </w:tcPr>
                <w:p w14:paraId="651B358A">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42CA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73F069BD">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4</w:t>
                  </w:r>
                </w:p>
              </w:tc>
              <w:tc>
                <w:tcPr>
                  <w:tcW w:w="404" w:type="pct"/>
                  <w:vMerge w:val="continue"/>
                  <w:vAlign w:val="center"/>
                </w:tcPr>
                <w:p w14:paraId="69156B0C">
                  <w:pPr>
                    <w:pStyle w:val="22"/>
                    <w:spacing w:line="240" w:lineRule="auto"/>
                    <w:rPr>
                      <w:rFonts w:ascii="Times New Roman" w:hAnsi="Times New Roman"/>
                      <w:b w:val="0"/>
                      <w:color w:val="000000" w:themeColor="text1"/>
                      <w:sz w:val="21"/>
                      <w:szCs w:val="21"/>
                      <w14:textFill>
                        <w14:solidFill>
                          <w14:schemeClr w14:val="tx1"/>
                        </w14:solidFill>
                      </w14:textFill>
                    </w:rPr>
                  </w:pPr>
                </w:p>
              </w:tc>
              <w:tc>
                <w:tcPr>
                  <w:tcW w:w="2037" w:type="pct"/>
                  <w:vAlign w:val="center"/>
                </w:tcPr>
                <w:p w14:paraId="75B8A112">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钻井及储层改造应采用环境友好的油田化学助剂、酸化液、压裂液、钻井液，配备完善的固控设备，钻井液循环率应达到95%以上，压裂废液、酸化废液等井下作业废水应100%返排入罐。</w:t>
                  </w:r>
                </w:p>
              </w:tc>
              <w:tc>
                <w:tcPr>
                  <w:tcW w:w="1723" w:type="pct"/>
                  <w:vAlign w:val="center"/>
                </w:tcPr>
                <w:p w14:paraId="47081717">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本项目钻井使用水基、油基钻井液，采用“钻井泥浆不落地技术”，钻井液</w:t>
                  </w:r>
                  <w:r>
                    <w:rPr>
                      <w:rFonts w:hint="eastAsia" w:ascii="Times New Roman" w:hAnsi="Times New Roman"/>
                      <w:b w:val="0"/>
                      <w:color w:val="000000" w:themeColor="text1"/>
                      <w:sz w:val="21"/>
                      <w:szCs w:val="21"/>
                      <w14:textFill>
                        <w14:solidFill>
                          <w14:schemeClr w14:val="tx1"/>
                        </w14:solidFill>
                      </w14:textFill>
                    </w:rPr>
                    <w:t>循环使用，</w:t>
                  </w:r>
                  <w:r>
                    <w:rPr>
                      <w:rFonts w:hint="eastAsia" w:ascii="Times New Roman" w:hAnsi="Times New Roman"/>
                      <w:b w:val="0"/>
                      <w:color w:val="000000" w:themeColor="text1"/>
                      <w:sz w:val="21"/>
                      <w:szCs w:val="21"/>
                      <w:lang w:val="en-US" w:eastAsia="zh-CN"/>
                      <w14:textFill>
                        <w14:solidFill>
                          <w14:schemeClr w14:val="tx1"/>
                        </w14:solidFill>
                      </w14:textFill>
                    </w:rPr>
                    <w:t>剩余水基/油基泥浆由钻井队委托专业公司合规处置</w:t>
                  </w:r>
                  <w:r>
                    <w:rPr>
                      <w:rFonts w:ascii="Times New Roman" w:hAnsi="Times New Roman"/>
                      <w:b w:val="0"/>
                      <w:color w:val="000000" w:themeColor="text1"/>
                      <w:sz w:val="21"/>
                      <w:szCs w:val="21"/>
                      <w14:textFill>
                        <w14:solidFill>
                          <w14:schemeClr w14:val="tx1"/>
                        </w14:solidFill>
                      </w14:textFill>
                    </w:rPr>
                    <w:t>。</w:t>
                  </w:r>
                </w:p>
              </w:tc>
              <w:tc>
                <w:tcPr>
                  <w:tcW w:w="521" w:type="pct"/>
                  <w:vAlign w:val="center"/>
                </w:tcPr>
                <w:p w14:paraId="1C6AA865">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6443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7FB65B61">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5</w:t>
                  </w:r>
                </w:p>
              </w:tc>
              <w:tc>
                <w:tcPr>
                  <w:tcW w:w="404" w:type="pct"/>
                  <w:vMerge w:val="continue"/>
                  <w:vAlign w:val="center"/>
                </w:tcPr>
                <w:p w14:paraId="11DC92D3">
                  <w:pPr>
                    <w:pStyle w:val="22"/>
                    <w:spacing w:line="240" w:lineRule="auto"/>
                    <w:rPr>
                      <w:rFonts w:ascii="Times New Roman" w:hAnsi="Times New Roman"/>
                      <w:b w:val="0"/>
                      <w:color w:val="000000" w:themeColor="text1"/>
                      <w:sz w:val="21"/>
                      <w:szCs w:val="21"/>
                      <w14:textFill>
                        <w14:solidFill>
                          <w14:schemeClr w14:val="tx1"/>
                        </w14:solidFill>
                      </w14:textFill>
                    </w:rPr>
                  </w:pPr>
                </w:p>
              </w:tc>
              <w:tc>
                <w:tcPr>
                  <w:tcW w:w="2037" w:type="pct"/>
                  <w:vAlign w:val="center"/>
                </w:tcPr>
                <w:p w14:paraId="55F9626C">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涉及废水回注的，应采取切实可行的地下水污染防治和监控措施，不得回注与油气开采无关的废水，严禁造成地下水污染；在相关行业污染控制标准发布前，回注水应满足《碎屑岩油藏注水水质指标技术要求及分析方法》（SY/T5329）《气田水注入技术要求》（SY/T6596）等相关标准要求。对于页岩油、稠油注汽开采，鼓励废水处理后回用于注汽锅炉。</w:t>
                  </w:r>
                </w:p>
              </w:tc>
              <w:tc>
                <w:tcPr>
                  <w:tcW w:w="1723" w:type="pct"/>
                  <w:vAlign w:val="center"/>
                </w:tcPr>
                <w:p w14:paraId="5B41A4CC">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本项目钻井废水</w:t>
                  </w:r>
                  <w:r>
                    <w:rPr>
                      <w:rFonts w:hint="eastAsia" w:ascii="Times New Roman" w:hAnsi="Times New Roman"/>
                      <w:b w:val="0"/>
                      <w:color w:val="000000" w:themeColor="text1"/>
                      <w:sz w:val="21"/>
                      <w:szCs w:val="21"/>
                      <w14:textFill>
                        <w14:solidFill>
                          <w14:schemeClr w14:val="tx1"/>
                        </w14:solidFill>
                      </w14:textFill>
                    </w:rPr>
                    <w:t>循环使用，</w:t>
                  </w:r>
                  <w:r>
                    <w:rPr>
                      <w:rFonts w:hint="eastAsia" w:ascii="Times New Roman" w:hAnsi="Times New Roman"/>
                      <w:b w:val="0"/>
                      <w:color w:val="000000" w:themeColor="text1"/>
                      <w:sz w:val="21"/>
                      <w:szCs w:val="21"/>
                      <w:lang w:val="en-US" w:eastAsia="zh-CN"/>
                      <w14:textFill>
                        <w14:solidFill>
                          <w14:schemeClr w14:val="tx1"/>
                        </w14:solidFill>
                      </w14:textFill>
                    </w:rPr>
                    <w:t>剩余水基/油基泥浆由钻井队委托专业公司合规处置，</w:t>
                  </w:r>
                  <w:r>
                    <w:rPr>
                      <w:rFonts w:ascii="Times New Roman" w:hAnsi="Times New Roman"/>
                      <w:b w:val="0"/>
                      <w:color w:val="000000" w:themeColor="text1"/>
                      <w:sz w:val="21"/>
                      <w:szCs w:val="21"/>
                      <w14:textFill>
                        <w14:solidFill>
                          <w14:schemeClr w14:val="tx1"/>
                        </w14:solidFill>
                      </w14:textFill>
                    </w:rPr>
                    <w:t>试油期洗井废水全部回收，采用专用废液收集罐收集后运至</w:t>
                  </w:r>
                  <w:r>
                    <w:rPr>
                      <w:rFonts w:hint="eastAsia" w:ascii="Times New Roman" w:hAnsi="Times New Roman"/>
                      <w:b w:val="0"/>
                      <w:color w:val="000000" w:themeColor="text1"/>
                      <w:sz w:val="21"/>
                      <w:szCs w:val="21"/>
                      <w14:textFill>
                        <w14:solidFill>
                          <w14:schemeClr w14:val="tx1"/>
                        </w14:solidFill>
                      </w14:textFill>
                    </w:rPr>
                    <w:t>吉康脱水站</w:t>
                  </w:r>
                  <w:r>
                    <w:rPr>
                      <w:rFonts w:ascii="Times New Roman" w:hAnsi="Times New Roman"/>
                      <w:b w:val="0"/>
                      <w:color w:val="000000" w:themeColor="text1"/>
                      <w:sz w:val="21"/>
                      <w:szCs w:val="21"/>
                      <w14:textFill>
                        <w14:solidFill>
                          <w14:schemeClr w14:val="tx1"/>
                        </w14:solidFill>
                      </w14:textFill>
                    </w:rPr>
                    <w:t>污水处理系统处理达到《碎屑岩油藏注水水质指标技术要求及分析方法》（SY/T5329-2022）</w:t>
                  </w:r>
                  <w:r>
                    <w:rPr>
                      <w:rFonts w:hint="default" w:ascii="Times New Roman" w:hAnsi="Times New Roman"/>
                      <w:b w:val="0"/>
                      <w:color w:val="000000" w:themeColor="text1"/>
                      <w:sz w:val="21"/>
                      <w:szCs w:val="21"/>
                      <w14:textFill>
                        <w14:solidFill>
                          <w14:schemeClr w14:val="tx1"/>
                        </w14:solidFill>
                      </w14:textFill>
                    </w:rPr>
                    <w:t>Ⅱ</w:t>
                  </w:r>
                  <w:r>
                    <w:rPr>
                      <w:rFonts w:hint="default" w:ascii="Times New Roman" w:hAnsi="Times New Roman"/>
                      <w:b w:val="0"/>
                      <w:color w:val="000000" w:themeColor="text1"/>
                      <w:sz w:val="21"/>
                      <w:szCs w:val="21"/>
                      <w:lang w:val="en-US" w:eastAsia="zh-CN"/>
                      <w14:textFill>
                        <w14:solidFill>
                          <w14:schemeClr w14:val="tx1"/>
                        </w14:solidFill>
                      </w14:textFill>
                    </w:rPr>
                    <w:t>级</w:t>
                  </w:r>
                  <w:r>
                    <w:rPr>
                      <w:rFonts w:ascii="Times New Roman" w:hAnsi="Times New Roman"/>
                      <w:b w:val="0"/>
                      <w:color w:val="000000" w:themeColor="text1"/>
                      <w:sz w:val="21"/>
                      <w:szCs w:val="21"/>
                      <w14:textFill>
                        <w14:solidFill>
                          <w14:schemeClr w14:val="tx1"/>
                        </w14:solidFill>
                      </w14:textFill>
                    </w:rPr>
                    <w:t>标准后回注油藏，本项目采取了地下水污染防治和监控措施，防止造成地下水污染，详见报告环保措施章节。</w:t>
                  </w:r>
                </w:p>
              </w:tc>
              <w:tc>
                <w:tcPr>
                  <w:tcW w:w="521" w:type="pct"/>
                  <w:vAlign w:val="center"/>
                </w:tcPr>
                <w:p w14:paraId="005BFE9B">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6218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313" w:type="pct"/>
                  <w:vAlign w:val="center"/>
                </w:tcPr>
                <w:p w14:paraId="7E6077A2">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6</w:t>
                  </w:r>
                </w:p>
              </w:tc>
              <w:tc>
                <w:tcPr>
                  <w:tcW w:w="404" w:type="pct"/>
                  <w:vMerge w:val="continue"/>
                  <w:vAlign w:val="center"/>
                </w:tcPr>
                <w:p w14:paraId="55DA7E15">
                  <w:pPr>
                    <w:pStyle w:val="22"/>
                    <w:spacing w:line="240" w:lineRule="auto"/>
                    <w:rPr>
                      <w:rFonts w:ascii="Times New Roman" w:hAnsi="Times New Roman"/>
                      <w:b w:val="0"/>
                      <w:color w:val="000000" w:themeColor="text1"/>
                      <w:sz w:val="21"/>
                      <w:szCs w:val="21"/>
                      <w14:textFill>
                        <w14:solidFill>
                          <w14:schemeClr w14:val="tx1"/>
                        </w14:solidFill>
                      </w14:textFill>
                    </w:rPr>
                  </w:pPr>
                </w:p>
              </w:tc>
              <w:tc>
                <w:tcPr>
                  <w:tcW w:w="2037" w:type="pct"/>
                  <w:vAlign w:val="center"/>
                </w:tcPr>
                <w:p w14:paraId="3A23CBC3">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废弃钻井泥浆及岩屑应采取“泥浆不落地”工艺，勘探、开发过程产生的落地原油回收率应达到100%。废弃水基钻井泥浆及岩屑经“泥浆不落地”设备处理后，固相优先综合利用，暂时不利用或者不能利用的，应按照《一般工业固体废物贮存和填埋污染控制标准》（GB18599）处置；废弃油基钻井泥浆及岩屑、落地油、清罐底泥、含油污泥、含油清管废渣、油气处理厂过滤吸附介质、废脱汞剂等危险废物，应按照国家有关规定制定危险废物管理计划，建立危险废物管理台账，依法依规自行处置或委托有相应资质的单位无害化处置。固体废物无害化处置率应达到100%。</w:t>
                  </w:r>
                </w:p>
              </w:tc>
              <w:tc>
                <w:tcPr>
                  <w:tcW w:w="1723" w:type="pct"/>
                  <w:vAlign w:val="center"/>
                </w:tcPr>
                <w:p w14:paraId="0A4CD368">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本项目钻井使用水基、油基钻井液，采用“钻井泥浆不落地技术”，钻井液</w:t>
                  </w:r>
                  <w:r>
                    <w:rPr>
                      <w:rFonts w:hint="eastAsia" w:ascii="Times New Roman" w:hAnsi="Times New Roman"/>
                      <w:b w:val="0"/>
                      <w:color w:val="000000" w:themeColor="text1"/>
                      <w:sz w:val="21"/>
                      <w:szCs w:val="21"/>
                      <w14:textFill>
                        <w14:solidFill>
                          <w14:schemeClr w14:val="tx1"/>
                        </w14:solidFill>
                      </w14:textFill>
                    </w:rPr>
                    <w:t>循环使用，</w:t>
                  </w:r>
                  <w:r>
                    <w:rPr>
                      <w:rFonts w:hint="eastAsia" w:ascii="Times New Roman" w:hAnsi="Times New Roman"/>
                      <w:b w:val="0"/>
                      <w:color w:val="000000" w:themeColor="text1"/>
                      <w:sz w:val="21"/>
                      <w:szCs w:val="21"/>
                      <w:lang w:val="en-US" w:eastAsia="zh-CN"/>
                      <w14:textFill>
                        <w14:solidFill>
                          <w14:schemeClr w14:val="tx1"/>
                        </w14:solidFill>
                      </w14:textFill>
                    </w:rPr>
                    <w:t>剩余水基/油基泥浆由钻井队委托专业公司合规处置，</w:t>
                  </w:r>
                  <w:r>
                    <w:rPr>
                      <w:rFonts w:ascii="Times New Roman" w:hAnsi="Times New Roman"/>
                      <w:b w:val="0"/>
                      <w:color w:val="000000" w:themeColor="text1"/>
                      <w:sz w:val="21"/>
                      <w:szCs w:val="21"/>
                      <w14:textFill>
                        <w14:solidFill>
                          <w14:schemeClr w14:val="tx1"/>
                        </w14:solidFill>
                      </w14:textFill>
                    </w:rPr>
                    <w:t>井下作业过程中配备了泄油器、刮油器等设备井下作业时带罐，正常情况下无落地油；本环评对项目可能产生的环境风险进行了分析，并提出了相应的风险防范措施和应急预案编制要求。</w:t>
                  </w:r>
                </w:p>
              </w:tc>
              <w:tc>
                <w:tcPr>
                  <w:tcW w:w="521" w:type="pct"/>
                  <w:vAlign w:val="center"/>
                </w:tcPr>
                <w:p w14:paraId="4056EEE9">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611C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53C278A9">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7</w:t>
                  </w:r>
                </w:p>
              </w:tc>
              <w:tc>
                <w:tcPr>
                  <w:tcW w:w="404" w:type="pct"/>
                  <w:vMerge w:val="continue"/>
                  <w:vAlign w:val="center"/>
                </w:tcPr>
                <w:p w14:paraId="669BD93D">
                  <w:pPr>
                    <w:pStyle w:val="22"/>
                    <w:spacing w:line="240" w:lineRule="auto"/>
                    <w:rPr>
                      <w:rFonts w:ascii="Times New Roman" w:hAnsi="Times New Roman"/>
                      <w:b w:val="0"/>
                      <w:color w:val="000000" w:themeColor="text1"/>
                      <w:sz w:val="21"/>
                      <w:szCs w:val="21"/>
                      <w14:textFill>
                        <w14:solidFill>
                          <w14:schemeClr w14:val="tx1"/>
                        </w14:solidFill>
                      </w14:textFill>
                    </w:rPr>
                  </w:pPr>
                </w:p>
              </w:tc>
              <w:tc>
                <w:tcPr>
                  <w:tcW w:w="2037" w:type="pct"/>
                  <w:vAlign w:val="center"/>
                </w:tcPr>
                <w:p w14:paraId="03E9DDF1">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对拟退役的废弃井（站）场、管道、道路等工程设施应进行生态修复，生态修复前应对废弃油（气）井、管道进行封堵或设施拆除，确保无土壤及地下水环境污染遗留问题、废弃物得到妥善处置。生态修复应满足《矿山生态环境保护与恢复治理技术规范（试行）》（HJ651）、《废弃井封井回填技术指南（试行）》、《废弃井及长停井处置指南》（SY/T6646）、《陆上石油天然气开采业绿色矿山建设规范》（DZ/T0317）等相关</w:t>
                  </w:r>
                  <w:bookmarkStart w:id="3" w:name="_Toc163555379"/>
                  <w:r>
                    <w:rPr>
                      <w:rFonts w:ascii="Times New Roman" w:hAnsi="Times New Roman"/>
                      <w:b w:val="0"/>
                      <w:color w:val="000000" w:themeColor="text1"/>
                      <w:sz w:val="21"/>
                      <w:szCs w:val="21"/>
                      <w14:textFill>
                        <w14:solidFill>
                          <w14:schemeClr w14:val="tx1"/>
                        </w14:solidFill>
                      </w14:textFill>
                    </w:rPr>
                    <w:t>要</w:t>
                  </w:r>
                  <w:bookmarkEnd w:id="3"/>
                  <w:r>
                    <w:rPr>
                      <w:rFonts w:ascii="Times New Roman" w:hAnsi="Times New Roman"/>
                      <w:b w:val="0"/>
                      <w:color w:val="000000" w:themeColor="text1"/>
                      <w:sz w:val="21"/>
                      <w:szCs w:val="21"/>
                      <w14:textFill>
                        <w14:solidFill>
                          <w14:schemeClr w14:val="tx1"/>
                        </w14:solidFill>
                      </w14:textFill>
                    </w:rPr>
                    <w:t>求</w:t>
                  </w:r>
                  <w:r>
                    <w:rPr>
                      <w:rFonts w:hint="eastAsia" w:ascii="Times New Roman" w:hAnsi="Times New Roman"/>
                      <w:b w:val="0"/>
                      <w:color w:val="000000" w:themeColor="text1"/>
                      <w:sz w:val="21"/>
                      <w:szCs w:val="21"/>
                      <w14:textFill>
                        <w14:solidFill>
                          <w14:schemeClr w14:val="tx1"/>
                        </w14:solidFill>
                      </w14:textFill>
                    </w:rPr>
                    <w:t>。</w:t>
                  </w:r>
                </w:p>
              </w:tc>
              <w:tc>
                <w:tcPr>
                  <w:tcW w:w="1723" w:type="pct"/>
                  <w:vAlign w:val="center"/>
                </w:tcPr>
                <w:p w14:paraId="3DF425CA">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无营运期，试油结束后视试油结果决定是否转为生产井，若可转为生产井，则应当在产能开发建设前开展环境影响评价工作。如发现该井不具开发价值或目的层不含油，则进行封井。生态修复按照《矿山生态环境保护与恢复治理技术规范（试行）》（HJ651-2013）、《废弃井封井回填技术指南（试行）》《废弃井及长停井处置指南》（SY/T6646）和《陆上石油天然气开采业绿色矿山建设规范》（DZ/T0317-2018）中的要求。</w:t>
                  </w:r>
                </w:p>
              </w:tc>
              <w:tc>
                <w:tcPr>
                  <w:tcW w:w="521" w:type="pct"/>
                  <w:vAlign w:val="center"/>
                </w:tcPr>
                <w:p w14:paraId="5A5A9BE9">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bl>
          <w:p w14:paraId="0DD96593">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r>
              <w:rPr>
                <w:rFonts w:hint="eastAsia"/>
                <w:color w:val="000000" w:themeColor="text1"/>
                <w:sz w:val="28"/>
                <w:szCs w:val="28"/>
                <w:lang w:val="en-US" w:eastAsia="zh-CN"/>
                <w14:textFill>
                  <w14:solidFill>
                    <w14:schemeClr w14:val="tx1"/>
                  </w14:solidFill>
                </w14:textFill>
              </w:rPr>
              <w:t>5</w:t>
            </w:r>
            <w:r>
              <w:rPr>
                <w:rFonts w:hint="eastAsia"/>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与《钻前工程及井场布置技术要求》</w:t>
            </w:r>
            <w:r>
              <w:rPr>
                <w:rFonts w:hint="eastAsia"/>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SY/T 5466-2013</w:t>
            </w:r>
            <w:r>
              <w:rPr>
                <w:rFonts w:hint="eastAsia"/>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相符性分析</w:t>
            </w:r>
          </w:p>
          <w:p w14:paraId="681A7458">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本项目与《钻前工程及井场布置技术要求》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SY/T 5466-2013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相符性分析见表1-</w:t>
            </w:r>
            <w:r>
              <w:rPr>
                <w:rFonts w:hint="eastAsia"/>
                <w:color w:val="000000" w:themeColor="text1"/>
                <w:lang w:val="en-US" w:eastAsia="zh-CN"/>
                <w14:textFill>
                  <w14:solidFill>
                    <w14:schemeClr w14:val="tx1"/>
                  </w14:solidFill>
                </w14:textFill>
              </w:rPr>
              <w:t>11</w:t>
            </w:r>
            <w:r>
              <w:rPr>
                <w:color w:val="000000" w:themeColor="text1"/>
                <w14:textFill>
                  <w14:solidFill>
                    <w14:schemeClr w14:val="tx1"/>
                  </w14:solidFill>
                </w14:textFill>
              </w:rPr>
              <w:t>。</w:t>
            </w:r>
          </w:p>
          <w:p w14:paraId="59EE39CC">
            <w:pPr>
              <w:pStyle w:val="27"/>
              <w:spacing w:line="360" w:lineRule="auto"/>
              <w:rPr>
                <w:rFonts w:ascii="Times New Roman" w:cs="Times New Roman"/>
                <w:color w:val="000000" w:themeColor="text1"/>
                <w:sz w:val="21"/>
                <w14:textFill>
                  <w14:solidFill>
                    <w14:schemeClr w14:val="tx1"/>
                  </w14:solidFill>
                </w14:textFill>
              </w:rPr>
            </w:pPr>
            <w:r>
              <w:rPr>
                <w:rFonts w:ascii="Times New Roman" w:cs="Times New Roman"/>
                <w:color w:val="000000" w:themeColor="text1"/>
                <w:sz w:val="21"/>
                <w14:textFill>
                  <w14:solidFill>
                    <w14:schemeClr w14:val="tx1"/>
                  </w14:solidFill>
                </w14:textFill>
              </w:rPr>
              <w:t>表1-</w:t>
            </w:r>
            <w:r>
              <w:rPr>
                <w:rFonts w:hint="eastAsia" w:ascii="Times New Roman" w:cs="Times New Roman"/>
                <w:color w:val="000000" w:themeColor="text1"/>
                <w:sz w:val="21"/>
                <w:lang w:val="en-US" w:eastAsia="zh-CN"/>
                <w14:textFill>
                  <w14:solidFill>
                    <w14:schemeClr w14:val="tx1"/>
                  </w14:solidFill>
                </w14:textFill>
              </w:rPr>
              <w:t>11</w:t>
            </w:r>
            <w:r>
              <w:rPr>
                <w:rFonts w:ascii="Times New Roman" w:cs="Times New Roman"/>
                <w:color w:val="000000" w:themeColor="text1"/>
                <w:sz w:val="21"/>
                <w14:textFill>
                  <w14:solidFill>
                    <w14:schemeClr w14:val="tx1"/>
                  </w14:solidFill>
                </w14:textFill>
              </w:rPr>
              <w:t xml:space="preserve">  本项目与《钻前工程及井场布置技术要求》</w:t>
            </w:r>
            <w:r>
              <w:rPr>
                <w:rFonts w:hint="eastAsia" w:ascii="Times New Roman" w:cs="Times New Roman"/>
                <w:color w:val="000000" w:themeColor="text1"/>
                <w:sz w:val="21"/>
                <w14:textFill>
                  <w14:solidFill>
                    <w14:schemeClr w14:val="tx1"/>
                  </w14:solidFill>
                </w14:textFill>
              </w:rPr>
              <w:t>（</w:t>
            </w:r>
            <w:r>
              <w:rPr>
                <w:rFonts w:ascii="Times New Roman" w:cs="Times New Roman"/>
                <w:color w:val="000000" w:themeColor="text1"/>
                <w:sz w:val="21"/>
                <w14:textFill>
                  <w14:solidFill>
                    <w14:schemeClr w14:val="tx1"/>
                  </w14:solidFill>
                </w14:textFill>
              </w:rPr>
              <w:t>SY/T 5466-2013</w:t>
            </w:r>
            <w:r>
              <w:rPr>
                <w:rFonts w:hint="eastAsia" w:ascii="Times New Roman" w:cs="Times New Roman"/>
                <w:color w:val="000000" w:themeColor="text1"/>
                <w:sz w:val="21"/>
                <w14:textFill>
                  <w14:solidFill>
                    <w14:schemeClr w14:val="tx1"/>
                  </w14:solidFill>
                </w14:textFill>
              </w:rPr>
              <w:t>）</w:t>
            </w:r>
            <w:r>
              <w:rPr>
                <w:rFonts w:ascii="Times New Roman" w:cs="Times New Roman"/>
                <w:color w:val="000000" w:themeColor="text1"/>
                <w:sz w:val="21"/>
                <w14:textFill>
                  <w14:solidFill>
                    <w14:schemeClr w14:val="tx1"/>
                  </w14:solidFill>
                </w14:textFill>
              </w:rPr>
              <w:t>相符性分析</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3917"/>
              <w:gridCol w:w="2995"/>
              <w:gridCol w:w="716"/>
            </w:tblGrid>
            <w:tr w14:paraId="7A1C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232C1B2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397" w:type="pct"/>
                  <w:vAlign w:val="center"/>
                </w:tcPr>
                <w:p w14:paraId="6E1B85E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1833" w:type="pct"/>
                  <w:vAlign w:val="center"/>
                </w:tcPr>
                <w:p w14:paraId="30ECF91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38" w:type="pct"/>
                  <w:vAlign w:val="center"/>
                </w:tcPr>
                <w:p w14:paraId="0E1C98B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041B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26D0CA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397" w:type="pct"/>
                  <w:vAlign w:val="center"/>
                </w:tcPr>
                <w:p w14:paraId="32E8E42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并应避开滑坡、泥石流等不良地质地段。在河滩、海滩地区应避开汛、潮期进行钻前施工</w:t>
                  </w:r>
                  <w:r>
                    <w:rPr>
                      <w:rFonts w:hint="eastAsia"/>
                      <w:color w:val="000000" w:themeColor="text1"/>
                      <w14:textFill>
                        <w14:solidFill>
                          <w14:schemeClr w14:val="tx1"/>
                        </w14:solidFill>
                      </w14:textFill>
                    </w:rPr>
                    <w:t>。</w:t>
                  </w:r>
                </w:p>
              </w:tc>
              <w:tc>
                <w:tcPr>
                  <w:tcW w:w="1833" w:type="pct"/>
                  <w:vAlign w:val="center"/>
                </w:tcPr>
                <w:p w14:paraId="2B85BB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本项目不属于滑坡、泥石流等不良地质地段，不属于河滩、海滩地区。</w:t>
                  </w:r>
                </w:p>
              </w:tc>
              <w:tc>
                <w:tcPr>
                  <w:tcW w:w="438" w:type="pct"/>
                  <w:vAlign w:val="center"/>
                </w:tcPr>
                <w:p w14:paraId="4468D0B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5A8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2E7A896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397" w:type="pct"/>
                  <w:vAlign w:val="center"/>
                </w:tcPr>
                <w:p w14:paraId="2DF5FCF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气井井口距高压线及其他永久性设施不小于75m，距民宅不小于100m，距铁路、高速公路不小于200m。距学校、医院和大型油库等人口密集型、高危型场所不小于500m在地下矿产采掘区钻井。井筒与采掘坑道、矿井坑道之间的距离不小于1000m</w:t>
                  </w:r>
                  <w:r>
                    <w:rPr>
                      <w:rFonts w:hint="eastAsia"/>
                      <w:color w:val="000000" w:themeColor="text1"/>
                      <w14:textFill>
                        <w14:solidFill>
                          <w14:schemeClr w14:val="tx1"/>
                        </w14:solidFill>
                      </w14:textFill>
                    </w:rPr>
                    <w:t>。</w:t>
                  </w:r>
                </w:p>
              </w:tc>
              <w:tc>
                <w:tcPr>
                  <w:tcW w:w="1833" w:type="pct"/>
                  <w:vAlign w:val="center"/>
                </w:tcPr>
                <w:p w14:paraId="50F5C98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本项目油井井口周围500m范围内无建筑物或设施。</w:t>
                  </w:r>
                </w:p>
              </w:tc>
              <w:tc>
                <w:tcPr>
                  <w:tcW w:w="438" w:type="pct"/>
                  <w:vAlign w:val="center"/>
                </w:tcPr>
                <w:p w14:paraId="0040EBF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44102A58">
            <w:pPr>
              <w:keepNext/>
              <w:keepLines/>
              <w:ind w:firstLine="0" w:firstLineChars="0"/>
              <w:jc w:val="left"/>
              <w:outlineLvl w:val="1"/>
              <w:rPr>
                <w:b/>
                <w:bCs/>
                <w:color w:val="000000" w:themeColor="text1"/>
                <w:spacing w:val="4"/>
                <w:sz w:val="28"/>
                <w:szCs w:val="28"/>
                <w14:textFill>
                  <w14:solidFill>
                    <w14:schemeClr w14:val="tx1"/>
                  </w14:solidFill>
                </w14:textFill>
              </w:rPr>
            </w:pPr>
            <w:r>
              <w:rPr>
                <w:b/>
                <w:bCs/>
                <w:color w:val="000000" w:themeColor="text1"/>
                <w:spacing w:val="4"/>
                <w:sz w:val="28"/>
                <w:szCs w:val="28"/>
                <w14:textFill>
                  <w14:solidFill>
                    <w14:schemeClr w14:val="tx1"/>
                  </w14:solidFill>
                </w14:textFill>
              </w:rPr>
              <w:t>1</w:t>
            </w:r>
            <w:r>
              <w:rPr>
                <w:rFonts w:hint="eastAsia"/>
                <w:b/>
                <w:bCs/>
                <w:color w:val="000000" w:themeColor="text1"/>
                <w:spacing w:val="4"/>
                <w:sz w:val="28"/>
                <w:szCs w:val="28"/>
                <w:lang w:val="en-US" w:eastAsia="zh-CN"/>
                <w14:textFill>
                  <w14:solidFill>
                    <w14:schemeClr w14:val="tx1"/>
                  </w14:solidFill>
                </w14:textFill>
              </w:rPr>
              <w:t>6</w:t>
            </w:r>
            <w:r>
              <w:rPr>
                <w:b/>
                <w:bCs/>
                <w:color w:val="000000" w:themeColor="text1"/>
                <w:spacing w:val="4"/>
                <w:sz w:val="28"/>
                <w:szCs w:val="28"/>
                <w14:textFill>
                  <w14:solidFill>
                    <w14:schemeClr w14:val="tx1"/>
                  </w14:solidFill>
                </w14:textFill>
              </w:rPr>
              <w:t xml:space="preserve"> 《关于规范临时用地管理的通知》（自然资规〔2021〕2号）</w:t>
            </w:r>
          </w:p>
          <w:p w14:paraId="3B354F1B">
            <w:pPr>
              <w:pStyle w:val="7"/>
              <w:ind w:firstLine="480"/>
              <w:rPr>
                <w:color w:val="000000" w:themeColor="text1"/>
                <w14:textFill>
                  <w14:solidFill>
                    <w14:schemeClr w14:val="tx1"/>
                  </w14:solidFill>
                </w14:textFill>
              </w:rPr>
            </w:pPr>
            <w:r>
              <w:rPr>
                <w:color w:val="000000" w:themeColor="text1"/>
                <w14:textFill>
                  <w14:solidFill>
                    <w14:schemeClr w14:val="tx1"/>
                  </w14:solidFill>
                </w14:textFill>
              </w:rPr>
              <w:t>本项目与《关于规范临时用地管理的通知》（自然资规〔2021〕2号）相符性分析，见表1-</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w:t>
            </w:r>
          </w:p>
          <w:p w14:paraId="0728902F">
            <w:pPr>
              <w:pStyle w:val="23"/>
              <w:rPr>
                <w:color w:val="000000" w:themeColor="text1"/>
                <w:sz w:val="21"/>
                <w14:textFill>
                  <w14:solidFill>
                    <w14:schemeClr w14:val="tx1"/>
                  </w14:solidFill>
                </w14:textFill>
              </w:rPr>
            </w:pPr>
            <w:r>
              <w:rPr>
                <w:color w:val="000000" w:themeColor="text1"/>
                <w:sz w:val="21"/>
                <w14:textFill>
                  <w14:solidFill>
                    <w14:schemeClr w14:val="tx1"/>
                  </w14:solidFill>
                </w14:textFill>
              </w:rPr>
              <w:t>表1-</w:t>
            </w:r>
            <w:r>
              <w:rPr>
                <w:rFonts w:hint="eastAsia"/>
                <w:color w:val="000000" w:themeColor="text1"/>
                <w:sz w:val="21"/>
                <w14:textFill>
                  <w14:solidFill>
                    <w14:schemeClr w14:val="tx1"/>
                  </w14:solidFill>
                </w14:textFill>
              </w:rPr>
              <w:t>1</w:t>
            </w:r>
            <w:r>
              <w:rPr>
                <w:rFonts w:hint="eastAsia"/>
                <w:color w:val="000000" w:themeColor="text1"/>
                <w:sz w:val="21"/>
                <w:lang w:val="en-US" w:eastAsia="zh-CN"/>
                <w14:textFill>
                  <w14:solidFill>
                    <w14:schemeClr w14:val="tx1"/>
                  </w14:solidFill>
                </w14:textFill>
              </w:rPr>
              <w:t>2</w:t>
            </w:r>
            <w:r>
              <w:rPr>
                <w:color w:val="000000" w:themeColor="text1"/>
                <w:sz w:val="21"/>
                <w14:textFill>
                  <w14:solidFill>
                    <w14:schemeClr w14:val="tx1"/>
                  </w14:solidFill>
                </w14:textFill>
              </w:rPr>
              <w:t xml:space="preserve">  与《关于规范临时用地管理的通知》相符性分析一览表</w:t>
            </w:r>
          </w:p>
          <w:tbl>
            <w:tblPr>
              <w:tblStyle w:val="16"/>
              <w:tblW w:w="49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4407"/>
              <w:gridCol w:w="1929"/>
              <w:gridCol w:w="662"/>
            </w:tblGrid>
            <w:tr w14:paraId="3FBB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pct"/>
                  <w:vAlign w:val="center"/>
                </w:tcPr>
                <w:p w14:paraId="3A30189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732" w:type="pct"/>
                  <w:vAlign w:val="center"/>
                </w:tcPr>
                <w:p w14:paraId="622C379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1196" w:type="pct"/>
                  <w:vAlign w:val="center"/>
                </w:tcPr>
                <w:p w14:paraId="555C7FE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11" w:type="pct"/>
                  <w:vAlign w:val="center"/>
                </w:tcPr>
                <w:p w14:paraId="58A4A78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4BC1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658" w:type="pct"/>
                  <w:vAlign w:val="center"/>
                </w:tcPr>
                <w:p w14:paraId="1CE5FF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二、临时用地选址要求和使用期限</w:t>
                  </w:r>
                </w:p>
              </w:tc>
              <w:tc>
                <w:tcPr>
                  <w:tcW w:w="2732" w:type="pct"/>
                  <w:vAlign w:val="center"/>
                </w:tcPr>
                <w:p w14:paraId="3E7498B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建设项目施工、地质勘查使用临时用地时应坚持“用多少、批多少、占多少、恢复多少”，尽量不占或者少占耕地。使用后土地复垦难度较大的临时用地，要严格控制占用耕地。铁路、公路等单独选址建设项目，应科学组织施工，节约集约使用临时用地。制梁场、拌合站等难以恢复原种植条件的不得以临时用地方式占用耕地和永久基本农田，可以建设用地方式或者临时占用未利用地方式使用土地。临时用地确需占用永久基本农田的，必须能够恢复原种植条件，并符合《自然资源部 农业农村部关于加强和改进永久基本农田保护工作的通知》（自然资规〔2019〕1号）中申请条件、土壤剥离、复垦验收等有关规定。</w:t>
                  </w:r>
                </w:p>
                <w:p w14:paraId="1A1365A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用地使用期限一般不超过两年。建设周期较长的能源、交通、水利等基础设施建设项目施工使用的临时用地，期限不超过四年。城镇开发边界内临时建设用地规划许可、临时建设工程规划许可的期限应当与临时用地期限相衔接。临时用地使用期限，从批准之日起算。</w:t>
                  </w:r>
                </w:p>
              </w:tc>
              <w:tc>
                <w:tcPr>
                  <w:tcW w:w="1196" w:type="pct"/>
                  <w:vAlign w:val="center"/>
                </w:tcPr>
                <w:p w14:paraId="75302C0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勘探井临时占地严格控制占地面积，尽量减少占地；本项目不占农田和基本农田，占用土地类型</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。施工前应向当地相关主管部门办理征地手续，按照相关法律法规进行经济补偿。本项目临时用地使用期限根据征地协议期限要求执行。</w:t>
                  </w:r>
                </w:p>
              </w:tc>
              <w:tc>
                <w:tcPr>
                  <w:tcW w:w="411" w:type="pct"/>
                  <w:vAlign w:val="center"/>
                </w:tcPr>
                <w:p w14:paraId="54152F3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001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658" w:type="pct"/>
                  <w:vAlign w:val="center"/>
                </w:tcPr>
                <w:p w14:paraId="609CA53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三、规范临时用地审批</w:t>
                  </w:r>
                </w:p>
              </w:tc>
              <w:tc>
                <w:tcPr>
                  <w:tcW w:w="2732" w:type="pct"/>
                  <w:vAlign w:val="center"/>
                </w:tcPr>
                <w:p w14:paraId="747C22B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县（市）自然资源主管部门负责临时用地审批，其中涉及占用耕地和永久基本农田的，由市级或者市级以上自然资源主管部门负责审批。不得下放临时用地审批权或者委托相关部门行使审批权。城镇开发边界内使用临时用地的，可以一并申请临时建设用地规划许可和临时用地审批，具备条件的还可以同时申请临时建设工程规划许可，一并出具相关批准文件。油气资源探采合一开发涉及的钻井及配套设施建设用地，可先以临时用地方式批准使用，勘探结束转入生产使用的，办理建设用地审批手续；不转入生产的，油气企业应当完成土地复垦，按期归还。</w:t>
                  </w:r>
                </w:p>
              </w:tc>
              <w:tc>
                <w:tcPr>
                  <w:tcW w:w="1196" w:type="pct"/>
                  <w:vAlign w:val="center"/>
                </w:tcPr>
                <w:p w14:paraId="594C0B7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不占用基本草原和基本农田。施工前按要求办理征地手续；本项目属于油气资源勘探项目，涉及的钻井及配套设施建设用地，本次属于临时用地，若转生产井后重新开展环境影响评价，同时办理建设用地审批手续，若后期不转入生产井，则完成土地恢复，按期归还。</w:t>
                  </w:r>
                </w:p>
              </w:tc>
              <w:tc>
                <w:tcPr>
                  <w:tcW w:w="411" w:type="pct"/>
                  <w:vAlign w:val="center"/>
                </w:tcPr>
                <w:p w14:paraId="555F9C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7BE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658" w:type="pct"/>
                  <w:vAlign w:val="center"/>
                </w:tcPr>
                <w:p w14:paraId="542FEA4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四、落实临时用地恢复责任</w:t>
                  </w:r>
                </w:p>
              </w:tc>
              <w:tc>
                <w:tcPr>
                  <w:tcW w:w="2732" w:type="pct"/>
                  <w:vAlign w:val="center"/>
                </w:tcPr>
                <w:p w14:paraId="4D3C8D7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用地使用人应当按照批准的用途使用土地，不得转让、出租、抵押临时用地。临时用地使用人应当自临时用地期满之日起一年内完成土地复垦，因气候、灾害等不可抗力因素影响复垦的，经批准可以适当延长复垦期限。</w:t>
                  </w:r>
                </w:p>
                <w:p w14:paraId="270B49D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严格落实临时用地恢复责任，临时用地期满后应当拆除临时建（构）筑物，使用耕地的应当复垦为耕地，确保耕地面积不减少、质量不降低；使用耕地以外的其他农用地的应当恢复为农用地；使用未利用地的，对于符合条件的鼓励复垦为耕地。</w:t>
                  </w:r>
                </w:p>
                <w:p w14:paraId="771BDD5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县（市）自然资源主管部门依法监督临时用地使用人履行复垦义务情况，对逾期不恢复种植条件、违反土地复垦规定的行为，责令限期改正，并依照法律法规的规定进行处罚。按年度统计，县（市）范围内的临时用地，超期一年以上未完成土地复垦规模达到应复垦规模20%以上的，省级自然资源主管部门应当要求所在县（市）暂停审批新的临时用地，根据县（市）整改情况恢复审批。</w:t>
                  </w:r>
                </w:p>
              </w:tc>
              <w:tc>
                <w:tcPr>
                  <w:tcW w:w="1196" w:type="pct"/>
                  <w:vAlign w:val="center"/>
                </w:tcPr>
                <w:p w14:paraId="030773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本项目试油结束后视试油结果决定是否转为生产井，若转为生产井，则应当在产能开发建设前开展其环境影响评价工作，临时道路保留；若不具开发价值，井口进行封井，临时道路进行平整，自然恢复。</w:t>
                  </w:r>
                </w:p>
              </w:tc>
              <w:tc>
                <w:tcPr>
                  <w:tcW w:w="411" w:type="pct"/>
                  <w:vAlign w:val="center"/>
                </w:tcPr>
                <w:p w14:paraId="4FF727C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32A98C29">
            <w:pPr>
              <w:ind w:firstLine="480"/>
              <w:rPr>
                <w:color w:val="000000" w:themeColor="text1"/>
                <w14:textFill>
                  <w14:solidFill>
                    <w14:schemeClr w14:val="tx1"/>
                  </w14:solidFill>
                </w14:textFill>
              </w:rPr>
            </w:pPr>
          </w:p>
        </w:tc>
      </w:tr>
      <w:bookmarkEnd w:id="2"/>
    </w:tbl>
    <w:p w14:paraId="2946FB18">
      <w:pPr>
        <w:ind w:firstLine="600"/>
        <w:outlineLvl w:val="0"/>
        <w:rPr>
          <w:rFonts w:eastAsia="黑体"/>
          <w:color w:val="000000" w:themeColor="text1"/>
          <w:sz w:val="30"/>
          <w14:textFill>
            <w14:solidFill>
              <w14:schemeClr w14:val="tx1"/>
            </w14:solidFill>
          </w14:textFill>
        </w:rPr>
        <w:sectPr>
          <w:footerReference r:id="rId11" w:type="default"/>
          <w:pgSz w:w="11906" w:h="16838"/>
          <w:pgMar w:top="1701" w:right="1531" w:bottom="1701" w:left="1531" w:header="851" w:footer="1077" w:gutter="0"/>
          <w:pgNumType w:start="1"/>
          <w:cols w:space="720" w:num="1"/>
          <w:docGrid w:linePitch="312" w:charSpace="0"/>
        </w:sectPr>
      </w:pPr>
    </w:p>
    <w:tbl>
      <w:tblPr>
        <w:tblStyle w:val="16"/>
        <w:tblpPr w:leftFromText="180" w:rightFromText="180" w:vertAnchor="text" w:horzAnchor="page" w:tblpX="1542" w:tblpY="647"/>
        <w:tblOverlap w:val="never"/>
        <w:tblW w:w="903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9"/>
        <w:gridCol w:w="8418"/>
      </w:tblGrid>
      <w:tr w14:paraId="388337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7" w:hRule="atLeast"/>
        </w:trPr>
        <w:tc>
          <w:tcPr>
            <w:tcW w:w="619" w:type="dxa"/>
            <w:vAlign w:val="center"/>
          </w:tcPr>
          <w:p w14:paraId="231B83E3">
            <w:pPr>
              <w:spacing w:line="240" w:lineRule="auto"/>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地理位置</w:t>
            </w:r>
          </w:p>
        </w:tc>
        <w:tc>
          <w:tcPr>
            <w:tcW w:w="8418" w:type="dxa"/>
            <w:vAlign w:val="center"/>
          </w:tcPr>
          <w:p w14:paraId="719F6FD5">
            <w:pPr>
              <w:ind w:firstLine="480"/>
              <w:rPr>
                <w:color w:val="000000" w:themeColor="text1"/>
                <w:kern w:val="0"/>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342265</wp:posOffset>
                      </wp:positionH>
                      <wp:positionV relativeFrom="paragraph">
                        <wp:posOffset>-443230</wp:posOffset>
                      </wp:positionV>
                      <wp:extent cx="4210050" cy="409575"/>
                      <wp:effectExtent l="0" t="0" r="0" b="0"/>
                      <wp:wrapNone/>
                      <wp:docPr id="27" name="文本框 64"/>
                      <wp:cNvGraphicFramePr/>
                      <a:graphic xmlns:a="http://schemas.openxmlformats.org/drawingml/2006/main">
                        <a:graphicData uri="http://schemas.microsoft.com/office/word/2010/wordprocessingShape">
                          <wps:wsp>
                            <wps:cNvSpPr txBox="1"/>
                            <wps:spPr>
                              <a:xfrm>
                                <a:off x="0" y="0"/>
                                <a:ext cx="4210050" cy="409575"/>
                              </a:xfrm>
                              <a:prstGeom prst="rect">
                                <a:avLst/>
                              </a:prstGeom>
                              <a:noFill/>
                              <a:ln>
                                <a:noFill/>
                              </a:ln>
                            </wps:spPr>
                            <wps:txbx>
                              <w:txbxContent>
                                <w:p w14:paraId="507C4EDB">
                                  <w:pPr>
                                    <w:pStyle w:val="14"/>
                                    <w:ind w:firstLine="600"/>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二、建设内容</w:t>
                                  </w:r>
                                </w:p>
                                <w:p w14:paraId="4BEA0AD7">
                                  <w:pPr>
                                    <w:ind w:firstLine="480"/>
                                  </w:pPr>
                                </w:p>
                              </w:txbxContent>
                            </wps:txbx>
                            <wps:bodyPr wrap="square" upright="1"/>
                          </wps:wsp>
                        </a:graphicData>
                      </a:graphic>
                    </wp:anchor>
                  </w:drawing>
                </mc:Choice>
                <mc:Fallback>
                  <w:pict>
                    <v:shape id="文本框 64" o:spid="_x0000_s1026" o:spt="202" type="#_x0000_t202" style="position:absolute;left:0pt;margin-left:26.95pt;margin-top:-34.9pt;height:32.25pt;width:331.5pt;z-index:251659264;mso-width-relative:page;mso-height-relative:page;" filled="f" stroked="f" coordsize="21600,21600" o:gfxdata="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QmGqLWAAAACQEAAA8AAAAAAAAAAQAgAAAAIgAAAGRycy9kb3ducmV2LnhtbFBLAQIUABQA&#10;AAAIAIdO4kAkqqusuQEAAF4DAAAOAAAAAAAAAAEAIAAAACUBAABkcnMvZTJvRG9jLnhtbFBLBQYA&#10;AAAABgAGAFkBAABQBQAAAAA=&#10;">
                      <v:fill on="f" focussize="0,0"/>
                      <v:stroke on="f"/>
                      <v:imagedata o:title=""/>
                      <o:lock v:ext="edit" aspectratio="f"/>
                      <v:textbox>
                        <w:txbxContent>
                          <w:p w14:paraId="507C4EDB">
                            <w:pPr>
                              <w:pStyle w:val="14"/>
                              <w:ind w:firstLine="600"/>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二、建设内容</w:t>
                            </w:r>
                          </w:p>
                          <w:p w14:paraId="4BEA0AD7">
                            <w:pPr>
                              <w:ind w:firstLine="480"/>
                            </w:pPr>
                          </w:p>
                        </w:txbxContent>
                      </v:textbox>
                    </v:shape>
                  </w:pict>
                </mc:Fallback>
              </mc:AlternateContent>
            </w:r>
            <w:r>
              <w:rPr>
                <w:color w:val="000000" w:themeColor="text1"/>
                <w14:textFill>
                  <w14:solidFill>
                    <w14:schemeClr w14:val="tx1"/>
                  </w14:solidFill>
                </w14:textFill>
              </w:rPr>
              <w:t>本项目位于</w:t>
            </w:r>
            <w:r>
              <w:rPr>
                <w:rFonts w:hint="eastAsia"/>
                <w:color w:val="000000" w:themeColor="text1"/>
                <w14:textFill>
                  <w14:solidFill>
                    <w14:schemeClr w14:val="tx1"/>
                  </w14:solidFill>
                </w14:textFill>
              </w:rPr>
              <w:t>准噶尔盆地吉南油田萨探1区块，行政隶属于</w:t>
            </w:r>
            <w:r>
              <w:rPr>
                <w:color w:val="000000" w:themeColor="text1"/>
                <w14:textFill>
                  <w14:solidFill>
                    <w14:schemeClr w14:val="tx1"/>
                  </w14:solidFill>
                </w14:textFill>
              </w:rPr>
              <w:t>新疆维吾尔自治区</w:t>
            </w:r>
            <w:r>
              <w:rPr>
                <w:rFonts w:hint="eastAsia"/>
                <w:color w:val="000000" w:themeColor="text1"/>
                <w14:textFill>
                  <w14:solidFill>
                    <w14:schemeClr w14:val="tx1"/>
                  </w14:solidFill>
                </w14:textFill>
              </w:rPr>
              <w:t>昌吉回族自治州奇台县</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东北</w:t>
            </w:r>
            <w:r>
              <w:rPr>
                <w:color w:val="000000" w:themeColor="text1"/>
                <w14:textFill>
                  <w14:solidFill>
                    <w14:schemeClr w14:val="tx1"/>
                  </w14:solidFill>
                </w14:textFill>
              </w:rPr>
              <w:t>距</w:t>
            </w:r>
            <w:r>
              <w:rPr>
                <w:rFonts w:hint="eastAsia"/>
                <w:color w:val="000000" w:themeColor="text1"/>
                <w14:textFill>
                  <w14:solidFill>
                    <w14:schemeClr w14:val="tx1"/>
                  </w14:solidFill>
                </w14:textFill>
              </w:rPr>
              <w:t>奇台县直线距离</w:t>
            </w:r>
            <w:r>
              <w:rPr>
                <w:color w:val="000000" w:themeColor="text1"/>
                <w14:textFill>
                  <w14:solidFill>
                    <w14:schemeClr w14:val="tx1"/>
                  </w14:solidFill>
                </w14:textFill>
              </w:rPr>
              <w:t>约</w:t>
            </w:r>
            <w:r>
              <w:rPr>
                <w:rFonts w:hint="eastAsia"/>
                <w:color w:val="000000" w:themeColor="text1"/>
                <w14:textFill>
                  <w14:solidFill>
                    <w14:schemeClr w14:val="tx1"/>
                  </w14:solidFill>
                </w14:textFill>
              </w:rPr>
              <w:t>22.5</w:t>
            </w:r>
            <w:r>
              <w:rPr>
                <w:color w:val="000000" w:themeColor="text1"/>
                <w14:textFill>
                  <w14:solidFill>
                    <w14:schemeClr w14:val="tx1"/>
                  </w14:solidFill>
                </w14:textFill>
              </w:rPr>
              <w:t>km。</w:t>
            </w:r>
            <w:r>
              <w:rPr>
                <w:color w:val="000000" w:themeColor="text1"/>
                <w:kern w:val="0"/>
                <w14:textFill>
                  <w14:solidFill>
                    <w14:schemeClr w14:val="tx1"/>
                  </w14:solidFill>
                </w14:textFill>
              </w:rPr>
              <w:t>本次拟钻井为</w:t>
            </w:r>
            <w:r>
              <w:rPr>
                <w:rFonts w:hint="eastAsia"/>
                <w:color w:val="000000" w:themeColor="text1"/>
                <w:kern w:val="0"/>
                <w14:textFill>
                  <w14:solidFill>
                    <w14:schemeClr w14:val="tx1"/>
                  </w14:solidFill>
                </w14:textFill>
              </w:rPr>
              <w:t>水平</w:t>
            </w:r>
            <w:r>
              <w:rPr>
                <w:color w:val="000000" w:themeColor="text1"/>
                <w:kern w:val="0"/>
                <w14:textFill>
                  <w14:solidFill>
                    <w14:schemeClr w14:val="tx1"/>
                  </w14:solidFill>
                </w14:textFill>
              </w:rPr>
              <w:t>井，井口坐标详见表2-1。</w:t>
            </w:r>
            <w:r>
              <w:rPr>
                <w:color w:val="000000" w:themeColor="text1"/>
                <w14:textFill>
                  <w14:solidFill>
                    <w14:schemeClr w14:val="tx1"/>
                  </w14:solidFill>
                </w14:textFill>
              </w:rPr>
              <w:t>项目占地类型为</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w:t>
            </w:r>
          </w:p>
          <w:p w14:paraId="0C922C74">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 xml:space="preserve">表2-1  </w:t>
            </w:r>
            <w:r>
              <w:rPr>
                <w:rFonts w:hint="eastAsia"/>
                <w:bCs/>
                <w:color w:val="000000" w:themeColor="text1"/>
                <w:sz w:val="21"/>
                <w:szCs w:val="21"/>
                <w14:textFill>
                  <w14:solidFill>
                    <w14:schemeClr w14:val="tx1"/>
                  </w14:solidFill>
                </w14:textFill>
              </w:rPr>
              <w:t>本项目井位</w:t>
            </w:r>
            <w:r>
              <w:rPr>
                <w:bCs/>
                <w:color w:val="000000" w:themeColor="text1"/>
                <w:sz w:val="21"/>
                <w:szCs w:val="21"/>
                <w14:textFill>
                  <w14:solidFill>
                    <w14:schemeClr w14:val="tx1"/>
                  </w14:solidFill>
                </w14:textFill>
              </w:rPr>
              <w:t>坐标一览表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337"/>
              <w:gridCol w:w="1355"/>
              <w:gridCol w:w="1402"/>
              <w:gridCol w:w="1639"/>
              <w:gridCol w:w="1849"/>
            </w:tblGrid>
            <w:tr w14:paraId="0F48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Merge w:val="restart"/>
                  <w:vAlign w:val="center"/>
                </w:tcPr>
                <w:p w14:paraId="5EC00B2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816" w:type="pct"/>
                  <w:vMerge w:val="restart"/>
                  <w:vAlign w:val="center"/>
                </w:tcPr>
                <w:p w14:paraId="08797732">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井号</w:t>
                  </w:r>
                </w:p>
              </w:tc>
              <w:tc>
                <w:tcPr>
                  <w:tcW w:w="3813" w:type="pct"/>
                  <w:gridSpan w:val="4"/>
                  <w:vAlign w:val="center"/>
                </w:tcPr>
                <w:p w14:paraId="36DE755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坐标</w:t>
                  </w:r>
                </w:p>
              </w:tc>
            </w:tr>
            <w:tr w14:paraId="46B3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Merge w:val="continue"/>
                  <w:vAlign w:val="center"/>
                </w:tcPr>
                <w:p w14:paraId="5AF0E8F4">
                  <w:pPr>
                    <w:pStyle w:val="26"/>
                    <w:framePr w:hSpace="0" w:wrap="auto" w:vAnchor="margin" w:hAnchor="text" w:xAlign="left" w:yAlign="inline"/>
                    <w:rPr>
                      <w:b/>
                      <w:bCs/>
                      <w:color w:val="000000" w:themeColor="text1"/>
                      <w14:textFill>
                        <w14:solidFill>
                          <w14:schemeClr w14:val="tx1"/>
                        </w14:solidFill>
                      </w14:textFill>
                    </w:rPr>
                  </w:pPr>
                </w:p>
              </w:tc>
              <w:tc>
                <w:tcPr>
                  <w:tcW w:w="816" w:type="pct"/>
                  <w:vMerge w:val="continue"/>
                  <w:vAlign w:val="center"/>
                </w:tcPr>
                <w:p w14:paraId="6725D252">
                  <w:pPr>
                    <w:pStyle w:val="26"/>
                    <w:framePr w:hSpace="0" w:wrap="auto" w:vAnchor="margin" w:hAnchor="text" w:xAlign="left" w:yAlign="inline"/>
                    <w:rPr>
                      <w:b/>
                      <w:bCs/>
                      <w:color w:val="000000" w:themeColor="text1"/>
                      <w14:textFill>
                        <w14:solidFill>
                          <w14:schemeClr w14:val="tx1"/>
                        </w14:solidFill>
                      </w14:textFill>
                    </w:rPr>
                  </w:pPr>
                </w:p>
              </w:tc>
              <w:tc>
                <w:tcPr>
                  <w:tcW w:w="827" w:type="pct"/>
                  <w:vAlign w:val="center"/>
                </w:tcPr>
                <w:p w14:paraId="3102936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X</w:t>
                  </w:r>
                </w:p>
              </w:tc>
              <w:tc>
                <w:tcPr>
                  <w:tcW w:w="856" w:type="pct"/>
                  <w:vAlign w:val="center"/>
                </w:tcPr>
                <w:p w14:paraId="4ADD49F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Y</w:t>
                  </w:r>
                </w:p>
              </w:tc>
              <w:tc>
                <w:tcPr>
                  <w:tcW w:w="1001" w:type="pct"/>
                  <w:vAlign w:val="center"/>
                </w:tcPr>
                <w:p w14:paraId="266BF62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东经</w:t>
                  </w:r>
                </w:p>
              </w:tc>
              <w:tc>
                <w:tcPr>
                  <w:tcW w:w="1127" w:type="pct"/>
                  <w:vAlign w:val="center"/>
                </w:tcPr>
                <w:p w14:paraId="16D00DF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北纬</w:t>
                  </w:r>
                </w:p>
              </w:tc>
            </w:tr>
            <w:tr w14:paraId="4879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72DF67E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816" w:type="pct"/>
                  <w:vAlign w:val="center"/>
                </w:tcPr>
                <w:p w14:paraId="7FA1DAD0">
                  <w:pPr>
                    <w:widowControl/>
                    <w:spacing w:line="240" w:lineRule="auto"/>
                    <w:ind w:firstLine="0" w:firstLineChars="0"/>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102-124</w:t>
                  </w:r>
                </w:p>
              </w:tc>
              <w:tc>
                <w:tcPr>
                  <w:tcW w:w="827" w:type="pct"/>
                  <w:vAlign w:val="center"/>
                </w:tcPr>
                <w:p w14:paraId="7F544BEE">
                  <w:pPr>
                    <w:widowControl/>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856" w:type="pct"/>
                  <w:vAlign w:val="center"/>
                </w:tcPr>
                <w:p w14:paraId="5FF1D8BA">
                  <w:pPr>
                    <w:widowControl/>
                    <w:spacing w:line="240" w:lineRule="auto"/>
                    <w:ind w:firstLine="420" w:firstLineChars="20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001" w:type="pct"/>
                  <w:vAlign w:val="center"/>
                </w:tcPr>
                <w:p w14:paraId="5C144DBB">
                  <w:pPr>
                    <w:widowControl/>
                    <w:spacing w:line="240" w:lineRule="auto"/>
                    <w:ind w:firstLine="420" w:firstLineChars="20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127" w:type="pct"/>
                  <w:vAlign w:val="center"/>
                </w:tcPr>
                <w:p w14:paraId="11F6E9EF">
                  <w:pPr>
                    <w:widowControl/>
                    <w:spacing w:line="240" w:lineRule="auto"/>
                    <w:ind w:firstLine="420" w:firstLineChars="20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r>
            <w:tr w14:paraId="2D0C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D65A7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816" w:type="pct"/>
                  <w:vAlign w:val="center"/>
                </w:tcPr>
                <w:p w14:paraId="6FCFE5E6">
                  <w:pPr>
                    <w:widowControl/>
                    <w:spacing w:line="240" w:lineRule="auto"/>
                    <w:ind w:firstLine="0" w:firstLineChars="0"/>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102-224</w:t>
                  </w:r>
                </w:p>
              </w:tc>
              <w:tc>
                <w:tcPr>
                  <w:tcW w:w="827" w:type="pct"/>
                  <w:vAlign w:val="center"/>
                </w:tcPr>
                <w:p w14:paraId="15B399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856" w:type="pct"/>
                  <w:vAlign w:val="center"/>
                </w:tcPr>
                <w:p w14:paraId="2624C5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001" w:type="pct"/>
                  <w:vAlign w:val="center"/>
                </w:tcPr>
                <w:p w14:paraId="6BC640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127" w:type="pct"/>
                  <w:vAlign w:val="center"/>
                </w:tcPr>
                <w:p w14:paraId="2FAD79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r>
            <w:tr w14:paraId="6D7B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205A0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816" w:type="pct"/>
                  <w:vAlign w:val="center"/>
                </w:tcPr>
                <w:p w14:paraId="0CE63169">
                  <w:pPr>
                    <w:widowControl/>
                    <w:spacing w:line="240" w:lineRule="auto"/>
                    <w:ind w:firstLine="0" w:firstLineChars="0"/>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102-115</w:t>
                  </w:r>
                </w:p>
              </w:tc>
              <w:tc>
                <w:tcPr>
                  <w:tcW w:w="827" w:type="pct"/>
                  <w:vAlign w:val="center"/>
                </w:tcPr>
                <w:p w14:paraId="760234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856" w:type="pct"/>
                  <w:vAlign w:val="center"/>
                </w:tcPr>
                <w:p w14:paraId="4DB45E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001" w:type="pct"/>
                  <w:vAlign w:val="center"/>
                </w:tcPr>
                <w:p w14:paraId="1BA3EE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127" w:type="pct"/>
                  <w:vAlign w:val="center"/>
                </w:tcPr>
                <w:p w14:paraId="7AF03D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r>
            <w:tr w14:paraId="22B8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372C3D1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816" w:type="pct"/>
                  <w:vAlign w:val="center"/>
                </w:tcPr>
                <w:p w14:paraId="37318B2E">
                  <w:pPr>
                    <w:widowControl/>
                    <w:spacing w:line="240" w:lineRule="auto"/>
                    <w:ind w:firstLine="0" w:firstLineChars="0"/>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102-215</w:t>
                  </w:r>
                </w:p>
              </w:tc>
              <w:tc>
                <w:tcPr>
                  <w:tcW w:w="827" w:type="pct"/>
                  <w:vAlign w:val="center"/>
                </w:tcPr>
                <w:p w14:paraId="02B531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856" w:type="pct"/>
                  <w:vAlign w:val="center"/>
                </w:tcPr>
                <w:p w14:paraId="7C2711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001" w:type="pct"/>
                  <w:vAlign w:val="center"/>
                </w:tcPr>
                <w:p w14:paraId="01D6E5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127" w:type="pct"/>
                  <w:vAlign w:val="center"/>
                </w:tcPr>
                <w:p w14:paraId="2C3C5C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r>
          </w:tbl>
          <w:p w14:paraId="0D31547F">
            <w:pPr>
              <w:ind w:firstLine="0" w:firstLineChars="0"/>
              <w:rPr>
                <w:color w:val="000000" w:themeColor="text1"/>
                <w14:textFill>
                  <w14:solidFill>
                    <w14:schemeClr w14:val="tx1"/>
                  </w14:solidFill>
                </w14:textFill>
              </w:rPr>
            </w:pPr>
          </w:p>
        </w:tc>
      </w:tr>
      <w:tr w14:paraId="3BB6C2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619" w:type="dxa"/>
            <w:vAlign w:val="center"/>
          </w:tcPr>
          <w:p w14:paraId="1D0708E7">
            <w:pPr>
              <w:spacing w:line="240" w:lineRule="auto"/>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项目组成及规模</w:t>
            </w:r>
          </w:p>
        </w:tc>
        <w:tc>
          <w:tcPr>
            <w:tcW w:w="8418" w:type="dxa"/>
            <w:vAlign w:val="center"/>
          </w:tcPr>
          <w:p w14:paraId="31ED374C">
            <w:pPr>
              <w:pStyle w:val="3"/>
              <w:ind w:firstLine="0" w:firstLineChars="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 xml:space="preserve"> 项目建设内容</w:t>
            </w:r>
          </w:p>
          <w:p w14:paraId="746F2CFB">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本项目建设内容为：新钻</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口</w:t>
            </w:r>
            <w:r>
              <w:rPr>
                <w:rFonts w:hint="eastAsia"/>
                <w:color w:val="000000" w:themeColor="text1"/>
                <w14:textFill>
                  <w14:solidFill>
                    <w14:schemeClr w14:val="tx1"/>
                  </w14:solidFill>
                </w14:textFill>
              </w:rPr>
              <w:t>预探井</w:t>
            </w:r>
            <w:r>
              <w:rPr>
                <w:color w:val="000000" w:themeColor="text1"/>
                <w14:textFill>
                  <w14:solidFill>
                    <w14:schemeClr w14:val="tx1"/>
                  </w14:solidFill>
                </w14:textFill>
              </w:rPr>
              <w:t>，完井后进行试油，获取有关技术参数。本项目临时占地</w:t>
            </w:r>
            <w:r>
              <w:rPr>
                <w:rFonts w:hint="eastAsia"/>
                <w:color w:val="000000" w:themeColor="text1"/>
                <w14:textFill>
                  <w14:solidFill>
                    <w14:schemeClr w14:val="tx1"/>
                  </w14:solidFill>
                </w14:textFill>
              </w:rPr>
              <w:t>29072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，占地类型为</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。本项目工程组成详见表2-2。</w:t>
            </w:r>
          </w:p>
          <w:p w14:paraId="681D993C">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表2-</w:t>
            </w:r>
            <w:r>
              <w:rPr>
                <w:rFonts w:hint="eastAsia"/>
                <w:bCs/>
                <w:color w:val="000000" w:themeColor="text1"/>
                <w:sz w:val="21"/>
                <w:szCs w:val="21"/>
                <w14:textFill>
                  <w14:solidFill>
                    <w14:schemeClr w14:val="tx1"/>
                  </w14:solidFill>
                </w14:textFill>
              </w:rPr>
              <w:t>2</w:t>
            </w:r>
            <w:r>
              <w:rPr>
                <w:bCs/>
                <w:color w:val="000000" w:themeColor="text1"/>
                <w:sz w:val="21"/>
                <w:szCs w:val="21"/>
                <w14:textFill>
                  <w14:solidFill>
                    <w14:schemeClr w14:val="tx1"/>
                  </w14:solidFill>
                </w14:textFill>
              </w:rPr>
              <w:t xml:space="preserve">  </w:t>
            </w:r>
            <w:r>
              <w:rPr>
                <w:rFonts w:hint="eastAsia"/>
                <w:bCs/>
                <w:color w:val="000000" w:themeColor="text1"/>
                <w:sz w:val="21"/>
                <w:szCs w:val="21"/>
                <w14:textFill>
                  <w14:solidFill>
                    <w14:schemeClr w14:val="tx1"/>
                  </w14:solidFill>
                </w14:textFill>
              </w:rPr>
              <w:t>项目</w:t>
            </w:r>
            <w:r>
              <w:rPr>
                <w:bCs/>
                <w:color w:val="000000" w:themeColor="text1"/>
                <w:sz w:val="21"/>
                <w:szCs w:val="21"/>
                <w14:textFill>
                  <w14:solidFill>
                    <w14:schemeClr w14:val="tx1"/>
                  </w14:solidFill>
                </w14:textFill>
              </w:rPr>
              <w:t>建设内容对比一览表</w:t>
            </w:r>
          </w:p>
          <w:tbl>
            <w:tblPr>
              <w:tblStyle w:val="16"/>
              <w:tblW w:w="498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88"/>
              <w:gridCol w:w="488"/>
              <w:gridCol w:w="1279"/>
              <w:gridCol w:w="5184"/>
              <w:gridCol w:w="737"/>
            </w:tblGrid>
            <w:tr w14:paraId="5788D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Align w:val="center"/>
                </w:tcPr>
                <w:p w14:paraId="528C7CF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1080" w:type="pct"/>
                  <w:gridSpan w:val="2"/>
                  <w:vAlign w:val="center"/>
                </w:tcPr>
                <w:p w14:paraId="72A31EB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建设内容</w:t>
                  </w:r>
                </w:p>
              </w:tc>
              <w:tc>
                <w:tcPr>
                  <w:tcW w:w="3169" w:type="pct"/>
                  <w:vAlign w:val="center"/>
                </w:tcPr>
                <w:p w14:paraId="76DD5C0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项目建设规模及建设内容</w:t>
                  </w:r>
                </w:p>
              </w:tc>
              <w:tc>
                <w:tcPr>
                  <w:tcW w:w="451" w:type="pct"/>
                  <w:vAlign w:val="center"/>
                </w:tcPr>
                <w:p w14:paraId="251FFF10">
                  <w:pPr>
                    <w:pStyle w:val="26"/>
                    <w:framePr w:hSpace="0" w:wrap="auto" w:vAnchor="margin" w:hAnchor="text" w:xAlign="left" w:yAlign="inline"/>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14:paraId="1A184A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6" w:hRule="atLeast"/>
                <w:jc w:val="center"/>
              </w:trPr>
              <w:tc>
                <w:tcPr>
                  <w:tcW w:w="298" w:type="pct"/>
                  <w:vMerge w:val="restart"/>
                  <w:vAlign w:val="center"/>
                </w:tcPr>
                <w:p w14:paraId="384C7F4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主体工程</w:t>
                  </w:r>
                </w:p>
              </w:tc>
              <w:tc>
                <w:tcPr>
                  <w:tcW w:w="1080" w:type="pct"/>
                  <w:gridSpan w:val="2"/>
                  <w:vAlign w:val="center"/>
                </w:tcPr>
                <w:p w14:paraId="69BB6FE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钻前工程</w:t>
                  </w:r>
                </w:p>
              </w:tc>
              <w:tc>
                <w:tcPr>
                  <w:tcW w:w="3169" w:type="pct"/>
                  <w:tcBorders>
                    <w:bottom w:val="single" w:color="auto" w:sz="4" w:space="0"/>
                  </w:tcBorders>
                  <w:vAlign w:val="center"/>
                </w:tcPr>
                <w:p w14:paraId="56C1CC9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钻井前准备工作，包括进场道路建设、井场平整、设备基础修建等。</w:t>
                  </w:r>
                </w:p>
              </w:tc>
              <w:tc>
                <w:tcPr>
                  <w:tcW w:w="451" w:type="pct"/>
                  <w:tcBorders>
                    <w:bottom w:val="single" w:color="auto" w:sz="4" w:space="0"/>
                  </w:tcBorders>
                  <w:vAlign w:val="center"/>
                </w:tcPr>
                <w:p w14:paraId="63D2692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新建</w:t>
                  </w:r>
                </w:p>
              </w:tc>
            </w:tr>
            <w:tr w14:paraId="570601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1" w:hRule="atLeast"/>
                <w:jc w:val="center"/>
              </w:trPr>
              <w:tc>
                <w:tcPr>
                  <w:tcW w:w="298" w:type="pct"/>
                  <w:vMerge w:val="continue"/>
                  <w:vAlign w:val="center"/>
                </w:tcPr>
                <w:p w14:paraId="3100CB1C">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067CC1C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钻井工程</w:t>
                  </w:r>
                </w:p>
              </w:tc>
              <w:tc>
                <w:tcPr>
                  <w:tcW w:w="3169" w:type="pct"/>
                  <w:tcBorders>
                    <w:top w:val="single" w:color="auto" w:sz="4" w:space="0"/>
                    <w:bottom w:val="single" w:color="auto" w:sz="4" w:space="0"/>
                  </w:tcBorders>
                  <w:vAlign w:val="center"/>
                </w:tcPr>
                <w:p w14:paraId="7B2373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新钻</w:t>
                  </w:r>
                  <w:r>
                    <w:rPr>
                      <w:rFonts w:hint="eastAsia"/>
                      <w:color w:val="000000" w:themeColor="text1"/>
                      <w14:textFill>
                        <w14:solidFill>
                          <w14:schemeClr w14:val="tx1"/>
                        </w14:solidFill>
                      </w14:textFill>
                    </w:rPr>
                    <w:t>预探井4</w:t>
                  </w:r>
                  <w:r>
                    <w:rPr>
                      <w:color w:val="000000" w:themeColor="text1"/>
                      <w14:textFill>
                        <w14:solidFill>
                          <w14:schemeClr w14:val="tx1"/>
                        </w14:solidFill>
                      </w14:textFill>
                    </w:rPr>
                    <w:t>口，</w:t>
                  </w:r>
                  <w:r>
                    <w:rPr>
                      <w:rFonts w:hint="eastAsia"/>
                      <w:color w:val="000000" w:themeColor="text1"/>
                      <w14:textFill>
                        <w14:solidFill>
                          <w14:schemeClr w14:val="tx1"/>
                        </w14:solidFill>
                      </w14:textFill>
                    </w:rPr>
                    <w:t>井型均</w:t>
                  </w:r>
                  <w:r>
                    <w:rPr>
                      <w:color w:val="000000" w:themeColor="text1"/>
                      <w14:textFill>
                        <w14:solidFill>
                          <w14:schemeClr w14:val="tx1"/>
                        </w14:solidFill>
                      </w14:textFill>
                    </w:rPr>
                    <w:t>为</w:t>
                  </w:r>
                  <w:r>
                    <w:rPr>
                      <w:rFonts w:hint="eastAsia"/>
                      <w:color w:val="000000" w:themeColor="text1"/>
                      <w14:textFill>
                        <w14:solidFill>
                          <w14:schemeClr w14:val="tx1"/>
                        </w14:solidFill>
                      </w14:textFill>
                    </w:rPr>
                    <w:t>水平</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采用三开井身结构，一开采用水基钻井液，二开</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三开采用油基钻井液，</w:t>
                  </w:r>
                  <w:r>
                    <w:rPr>
                      <w:color w:val="000000" w:themeColor="text1"/>
                      <w14:textFill>
                        <w14:solidFill>
                          <w14:schemeClr w14:val="tx1"/>
                        </w14:solidFill>
                      </w14:textFill>
                    </w:rPr>
                    <w:t>总进尺为</w:t>
                  </w:r>
                  <w:r>
                    <w:rPr>
                      <w:rFonts w:hint="eastAsia"/>
                      <w:color w:val="000000" w:themeColor="text1"/>
                      <w14:textFill>
                        <w14:solidFill>
                          <w14:schemeClr w14:val="tx1"/>
                        </w14:solidFill>
                      </w14:textFill>
                    </w:rPr>
                    <w:t>10992</w:t>
                  </w:r>
                  <w:r>
                    <w:rPr>
                      <w:color w:val="000000" w:themeColor="text1"/>
                      <w14:textFill>
                        <w14:solidFill>
                          <w14:schemeClr w14:val="tx1"/>
                        </w14:solidFill>
                      </w14:textFill>
                    </w:rPr>
                    <w:t>m。</w:t>
                  </w:r>
                </w:p>
              </w:tc>
              <w:tc>
                <w:tcPr>
                  <w:tcW w:w="451" w:type="pct"/>
                  <w:tcBorders>
                    <w:top w:val="single" w:color="auto" w:sz="4" w:space="0"/>
                    <w:bottom w:val="single" w:color="auto" w:sz="4" w:space="0"/>
                  </w:tcBorders>
                  <w:vAlign w:val="center"/>
                </w:tcPr>
                <w:p w14:paraId="1A1948A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新建</w:t>
                  </w:r>
                </w:p>
              </w:tc>
            </w:tr>
            <w:tr w14:paraId="1B0616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298" w:type="pct"/>
                  <w:vMerge w:val="continue"/>
                  <w:vAlign w:val="center"/>
                </w:tcPr>
                <w:p w14:paraId="1C828681">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566EC91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试油工程</w:t>
                  </w:r>
                </w:p>
              </w:tc>
              <w:tc>
                <w:tcPr>
                  <w:tcW w:w="3169" w:type="pct"/>
                  <w:tcBorders>
                    <w:top w:val="single" w:color="auto" w:sz="4" w:space="0"/>
                    <w:bottom w:val="single" w:color="auto" w:sz="4" w:space="0"/>
                  </w:tcBorders>
                  <w:vAlign w:val="center"/>
                </w:tcPr>
                <w:p w14:paraId="732498F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对完成的钻井开展通井、洗井、试压、射孔、诱喷、试产等工序，并配套洗井液注入泵等试油设备。单井试油期180天。</w:t>
                  </w:r>
                </w:p>
              </w:tc>
              <w:tc>
                <w:tcPr>
                  <w:tcW w:w="451" w:type="pct"/>
                  <w:tcBorders>
                    <w:top w:val="single" w:color="auto" w:sz="4" w:space="0"/>
                    <w:bottom w:val="single" w:color="auto" w:sz="4" w:space="0"/>
                  </w:tcBorders>
                  <w:vAlign w:val="center"/>
                </w:tcPr>
                <w:p w14:paraId="5E0C5AD9">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新建</w:t>
                  </w:r>
                </w:p>
              </w:tc>
            </w:tr>
            <w:tr w14:paraId="33E285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298" w:type="pct"/>
                  <w:vMerge w:val="continue"/>
                  <w:vAlign w:val="center"/>
                </w:tcPr>
                <w:p w14:paraId="53895ED8">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5808680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钻后工程</w:t>
                  </w:r>
                </w:p>
              </w:tc>
              <w:tc>
                <w:tcPr>
                  <w:tcW w:w="3169" w:type="pct"/>
                  <w:tcBorders>
                    <w:top w:val="single" w:color="auto" w:sz="4" w:space="0"/>
                    <w:bottom w:val="single" w:color="auto" w:sz="4" w:space="0"/>
                  </w:tcBorders>
                  <w:vAlign w:val="center"/>
                </w:tcPr>
                <w:p w14:paraId="558C7D8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测试完井后，若该井无开采价值，则将井口用水泥封固，并对临时占地进行恢复，如有开采价值则进行产能建设工程的环境影响评价。</w:t>
                  </w:r>
                </w:p>
              </w:tc>
              <w:tc>
                <w:tcPr>
                  <w:tcW w:w="451" w:type="pct"/>
                  <w:tcBorders>
                    <w:top w:val="single" w:color="auto" w:sz="4" w:space="0"/>
                    <w:bottom w:val="single" w:color="auto" w:sz="4" w:space="0"/>
                  </w:tcBorders>
                  <w:vAlign w:val="center"/>
                </w:tcPr>
                <w:p w14:paraId="09B9B1B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5BC88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restart"/>
                  <w:vAlign w:val="center"/>
                </w:tcPr>
                <w:p w14:paraId="1428742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辅助</w:t>
                  </w:r>
                </w:p>
                <w:p w14:paraId="6EFD41F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工程</w:t>
                  </w:r>
                </w:p>
              </w:tc>
              <w:tc>
                <w:tcPr>
                  <w:tcW w:w="1080" w:type="pct"/>
                  <w:gridSpan w:val="2"/>
                  <w:vAlign w:val="center"/>
                </w:tcPr>
                <w:p w14:paraId="04D9020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井口基础</w:t>
                  </w:r>
                </w:p>
              </w:tc>
              <w:tc>
                <w:tcPr>
                  <w:tcW w:w="3169" w:type="pct"/>
                  <w:vAlign w:val="center"/>
                </w:tcPr>
                <w:p w14:paraId="14301AF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加固井口，方便其他配套设施安装。</w:t>
                  </w:r>
                </w:p>
              </w:tc>
              <w:tc>
                <w:tcPr>
                  <w:tcW w:w="451" w:type="pct"/>
                  <w:vAlign w:val="center"/>
                </w:tcPr>
                <w:p w14:paraId="14874DB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4783A9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298" w:type="pct"/>
                  <w:vMerge w:val="continue"/>
                  <w:vAlign w:val="center"/>
                </w:tcPr>
                <w:p w14:paraId="4CDE793D">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bottom w:val="single" w:color="auto" w:sz="4" w:space="0"/>
                  </w:tcBorders>
                  <w:vAlign w:val="center"/>
                </w:tcPr>
                <w:p w14:paraId="0DDE04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生活营地</w:t>
                  </w:r>
                </w:p>
              </w:tc>
              <w:tc>
                <w:tcPr>
                  <w:tcW w:w="3169" w:type="pct"/>
                  <w:tcBorders>
                    <w:bottom w:val="single" w:color="auto" w:sz="4" w:space="0"/>
                  </w:tcBorders>
                  <w:vAlign w:val="center"/>
                </w:tcPr>
                <w:p w14:paraId="195AFAA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本项目设生活营地</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座</w:t>
                  </w:r>
                  <w:r>
                    <w:rPr>
                      <w:rFonts w:hint="eastAsia"/>
                      <w:color w:val="000000" w:themeColor="text1"/>
                      <w14:textFill>
                        <w14:solidFill>
                          <w14:schemeClr w14:val="tx1"/>
                        </w14:solidFill>
                      </w14:textFill>
                    </w:rPr>
                    <w:t>（包含H2平台井14口井（现状无井），本次实施其中的4口井，生活营地设在一起，本次一起办理征地手续）</w:t>
                  </w:r>
                  <w:r>
                    <w:rPr>
                      <w:color w:val="000000" w:themeColor="text1"/>
                      <w14:textFill>
                        <w14:solidFill>
                          <w14:schemeClr w14:val="tx1"/>
                        </w14:solidFill>
                      </w14:textFill>
                    </w:rPr>
                    <w:t>，占地面积</w:t>
                  </w:r>
                  <w:r>
                    <w:rPr>
                      <w:rFonts w:hint="eastAsia"/>
                      <w:color w:val="000000" w:themeColor="text1"/>
                      <w14:textFill>
                        <w14:solidFill>
                          <w14:schemeClr w14:val="tx1"/>
                        </w14:solidFill>
                      </w14:textFill>
                    </w:rPr>
                    <w:t>150</w:t>
                  </w:r>
                  <w:r>
                    <w:rPr>
                      <w:color w:val="000000" w:themeColor="text1"/>
                      <w14:textFill>
                        <w14:solidFill>
                          <w14:schemeClr w14:val="tx1"/>
                        </w14:solidFill>
                      </w14:textFill>
                    </w:rPr>
                    <w:t>00m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w:t>
                  </w:r>
                </w:p>
              </w:tc>
              <w:tc>
                <w:tcPr>
                  <w:tcW w:w="451" w:type="pct"/>
                  <w:tcBorders>
                    <w:bottom w:val="single" w:color="auto" w:sz="4" w:space="0"/>
                  </w:tcBorders>
                  <w:vAlign w:val="center"/>
                </w:tcPr>
                <w:p w14:paraId="524F4E8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7ADBB8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298" w:type="pct"/>
                  <w:vMerge w:val="continue"/>
                  <w:vAlign w:val="center"/>
                </w:tcPr>
                <w:p w14:paraId="210FDF4F">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bottom w:val="single" w:color="auto" w:sz="4" w:space="0"/>
                  </w:tcBorders>
                  <w:vAlign w:val="center"/>
                </w:tcPr>
                <w:p w14:paraId="78F68E4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临时道路</w:t>
                  </w:r>
                </w:p>
              </w:tc>
              <w:tc>
                <w:tcPr>
                  <w:tcW w:w="3169" w:type="pct"/>
                  <w:tcBorders>
                    <w:bottom w:val="single" w:color="auto" w:sz="4" w:space="0"/>
                  </w:tcBorders>
                  <w:vAlign w:val="center"/>
                </w:tcPr>
                <w:p w14:paraId="25BDE71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临时道路总长</w:t>
                  </w:r>
                  <w:r>
                    <w:rPr>
                      <w:rFonts w:hint="eastAsia"/>
                      <w:color w:val="000000" w:themeColor="text1"/>
                      <w14:textFill>
                        <w14:solidFill>
                          <w14:schemeClr w14:val="tx1"/>
                        </w14:solidFill>
                      </w14:textFill>
                    </w:rPr>
                    <w:t>244</w:t>
                  </w:r>
                  <w:r>
                    <w:rPr>
                      <w:color w:val="000000" w:themeColor="text1"/>
                      <w14:textFill>
                        <w14:solidFill>
                          <w14:schemeClr w14:val="tx1"/>
                        </w14:solidFill>
                      </w14:textFill>
                    </w:rPr>
                    <w:t>m，宽</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总占地面积1708m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，新建临时道路采用压实整平后铺垫砂砾石结构形式，满足钻机设备、罐车及物料运输车辆通行要求。</w:t>
                  </w:r>
                </w:p>
              </w:tc>
              <w:tc>
                <w:tcPr>
                  <w:tcW w:w="451" w:type="pct"/>
                  <w:tcBorders>
                    <w:bottom w:val="single" w:color="auto" w:sz="4" w:space="0"/>
                  </w:tcBorders>
                  <w:vAlign w:val="center"/>
                </w:tcPr>
                <w:p w14:paraId="0156D2A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77974C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298" w:type="pct"/>
                  <w:vMerge w:val="continue"/>
                  <w:vAlign w:val="center"/>
                </w:tcPr>
                <w:p w14:paraId="5A3DB3DD">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bottom w:val="single" w:color="auto" w:sz="4" w:space="0"/>
                  </w:tcBorders>
                  <w:vAlign w:val="center"/>
                </w:tcPr>
                <w:p w14:paraId="0C29FB1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钻井液循环固控装置</w:t>
                  </w:r>
                </w:p>
              </w:tc>
              <w:tc>
                <w:tcPr>
                  <w:tcW w:w="3169" w:type="pct"/>
                  <w:tcBorders>
                    <w:bottom w:val="single" w:color="auto" w:sz="4" w:space="0"/>
                  </w:tcBorders>
                  <w:vAlign w:val="center"/>
                </w:tcPr>
                <w:p w14:paraId="4192074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单井配备1套振动筛、1套除砂器、1套除泥器、1套离心机。</w:t>
                  </w:r>
                </w:p>
              </w:tc>
              <w:tc>
                <w:tcPr>
                  <w:tcW w:w="451" w:type="pct"/>
                  <w:tcBorders>
                    <w:bottom w:val="single" w:color="auto" w:sz="4" w:space="0"/>
                  </w:tcBorders>
                  <w:vAlign w:val="center"/>
                </w:tcPr>
                <w:p w14:paraId="1A2E26E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78FD86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298" w:type="pct"/>
                  <w:vMerge w:val="continue"/>
                  <w:tcBorders>
                    <w:bottom w:val="single" w:color="auto" w:sz="4" w:space="0"/>
                  </w:tcBorders>
                  <w:vAlign w:val="center"/>
                </w:tcPr>
                <w:p w14:paraId="025609E7">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bottom w:val="single" w:color="auto" w:sz="4" w:space="0"/>
                  </w:tcBorders>
                  <w:vAlign w:val="center"/>
                </w:tcPr>
                <w:p w14:paraId="39C688C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钻井动力系统</w:t>
                  </w:r>
                </w:p>
              </w:tc>
              <w:tc>
                <w:tcPr>
                  <w:tcW w:w="3169" w:type="pct"/>
                  <w:tcBorders>
                    <w:bottom w:val="single" w:color="auto" w:sz="4" w:space="0"/>
                  </w:tcBorders>
                  <w:vAlign w:val="center"/>
                </w:tcPr>
                <w:p w14:paraId="107949E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每井钻井队配备钻井柴油机</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台，</w:t>
                  </w:r>
                  <w:r>
                    <w:rPr>
                      <w:rFonts w:hint="eastAsia"/>
                      <w:color w:val="000000" w:themeColor="text1"/>
                      <w:lang w:val="en-US" w:eastAsia="zh-CN"/>
                      <w14:textFill>
                        <w14:solidFill>
                          <w14:schemeClr w14:val="tx1"/>
                        </w14:solidFill>
                      </w14:textFill>
                    </w:rPr>
                    <w:t>甲醇</w:t>
                  </w:r>
                  <w:r>
                    <w:rPr>
                      <w:color w:val="000000" w:themeColor="text1"/>
                      <w14:textFill>
                        <w14:solidFill>
                          <w14:schemeClr w14:val="tx1"/>
                        </w14:solidFill>
                      </w14:textFill>
                    </w:rPr>
                    <w:t>发电机</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2台（</w:t>
                  </w:r>
                  <w:r>
                    <w:rPr>
                      <w:rFonts w:hint="eastAsia"/>
                      <w:color w:val="000000" w:themeColor="text1"/>
                      <w:lang w:val="en-US" w:eastAsia="zh-CN"/>
                      <w14:textFill>
                        <w14:solidFill>
                          <w14:schemeClr w14:val="tx1"/>
                        </w14:solidFill>
                      </w14:textFill>
                    </w:rPr>
                    <w:t>250kW/机</w:t>
                  </w:r>
                  <w:r>
                    <w:rPr>
                      <w:color w:val="000000" w:themeColor="text1"/>
                      <w14:textFill>
                        <w14:solidFill>
                          <w14:schemeClr w14:val="tx1"/>
                        </w14:solidFill>
                      </w14:textFill>
                    </w:rPr>
                    <w:t>）。</w:t>
                  </w:r>
                </w:p>
              </w:tc>
              <w:tc>
                <w:tcPr>
                  <w:tcW w:w="451" w:type="pct"/>
                  <w:tcBorders>
                    <w:bottom w:val="single" w:color="auto" w:sz="4" w:space="0"/>
                  </w:tcBorders>
                  <w:vAlign w:val="center"/>
                </w:tcPr>
                <w:p w14:paraId="1815021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1EC8A2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98" w:type="pct"/>
                  <w:vMerge w:val="restart"/>
                  <w:tcBorders>
                    <w:top w:val="single" w:color="auto" w:sz="4" w:space="0"/>
                  </w:tcBorders>
                  <w:vAlign w:val="center"/>
                </w:tcPr>
                <w:p w14:paraId="312F996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储运工程</w:t>
                  </w:r>
                </w:p>
              </w:tc>
              <w:tc>
                <w:tcPr>
                  <w:tcW w:w="1080" w:type="pct"/>
                  <w:gridSpan w:val="2"/>
                  <w:tcBorders>
                    <w:top w:val="single" w:color="auto" w:sz="4" w:space="0"/>
                    <w:bottom w:val="single" w:color="auto" w:sz="4" w:space="0"/>
                  </w:tcBorders>
                  <w:vAlign w:val="center"/>
                </w:tcPr>
                <w:p w14:paraId="0A1DF9C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柴油储罐</w:t>
                  </w:r>
                </w:p>
              </w:tc>
              <w:tc>
                <w:tcPr>
                  <w:tcW w:w="3169" w:type="pct"/>
                  <w:tcBorders>
                    <w:top w:val="single" w:color="auto" w:sz="4" w:space="0"/>
                    <w:bottom w:val="single" w:color="auto" w:sz="4" w:space="0"/>
                  </w:tcBorders>
                  <w:vAlign w:val="center"/>
                </w:tcPr>
                <w:p w14:paraId="3B04724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每个井场内设1个柴油储罐，存储钻井用柴油，20m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/个，最大储存量约16.7t，地坪基础防渗，设30cm高围堰。</w:t>
                  </w:r>
                </w:p>
              </w:tc>
              <w:tc>
                <w:tcPr>
                  <w:tcW w:w="451" w:type="pct"/>
                  <w:tcBorders>
                    <w:top w:val="single" w:color="auto" w:sz="4" w:space="0"/>
                    <w:bottom w:val="single" w:color="auto" w:sz="4" w:space="0"/>
                  </w:tcBorders>
                  <w:vAlign w:val="center"/>
                </w:tcPr>
                <w:p w14:paraId="34A0FAF7">
                  <w:pPr>
                    <w:spacing w:line="240" w:lineRule="auto"/>
                    <w:ind w:firstLine="0" w:firstLineChars="0"/>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新建</w:t>
                  </w:r>
                </w:p>
              </w:tc>
            </w:tr>
            <w:tr w14:paraId="05D0EE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0" w:hRule="atLeast"/>
                <w:jc w:val="center"/>
              </w:trPr>
              <w:tc>
                <w:tcPr>
                  <w:tcW w:w="298" w:type="pct"/>
                  <w:vMerge w:val="continue"/>
                  <w:vAlign w:val="center"/>
                </w:tcPr>
                <w:p w14:paraId="1201BCDD">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67B726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泥浆储备罐区</w:t>
                  </w:r>
                </w:p>
              </w:tc>
              <w:tc>
                <w:tcPr>
                  <w:tcW w:w="3169" w:type="pct"/>
                  <w:tcBorders>
                    <w:top w:val="single" w:color="auto" w:sz="4" w:space="0"/>
                    <w:bottom w:val="single" w:color="auto" w:sz="4" w:space="0"/>
                  </w:tcBorders>
                  <w:vAlign w:val="center"/>
                </w:tcPr>
                <w:p w14:paraId="783CA5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位于泥浆循环系统区域，用于储备压井泥浆。罐区周边设置围堰。</w:t>
                  </w:r>
                </w:p>
              </w:tc>
              <w:tc>
                <w:tcPr>
                  <w:tcW w:w="451" w:type="pct"/>
                  <w:tcBorders>
                    <w:top w:val="single" w:color="auto" w:sz="4" w:space="0"/>
                    <w:bottom w:val="single" w:color="auto" w:sz="4" w:space="0"/>
                  </w:tcBorders>
                  <w:vAlign w:val="center"/>
                </w:tcPr>
                <w:p w14:paraId="4998CBD8">
                  <w:pPr>
                    <w:spacing w:line="240" w:lineRule="auto"/>
                    <w:ind w:firstLine="0" w:firstLineChars="0"/>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新建</w:t>
                  </w:r>
                </w:p>
              </w:tc>
            </w:tr>
            <w:tr w14:paraId="60F9D2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0" w:hRule="atLeast"/>
                <w:jc w:val="center"/>
              </w:trPr>
              <w:tc>
                <w:tcPr>
                  <w:tcW w:w="298" w:type="pct"/>
                  <w:vMerge w:val="continue"/>
                  <w:vAlign w:val="center"/>
                </w:tcPr>
                <w:p w14:paraId="59A9614D">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69FF34F1">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防喷池</w:t>
                  </w:r>
                </w:p>
              </w:tc>
              <w:tc>
                <w:tcPr>
                  <w:tcW w:w="3169" w:type="pct"/>
                  <w:tcBorders>
                    <w:top w:val="single" w:color="auto" w:sz="4" w:space="0"/>
                    <w:bottom w:val="single" w:color="auto" w:sz="4" w:space="0"/>
                  </w:tcBorders>
                  <w:vAlign w:val="center"/>
                </w:tcPr>
                <w:p w14:paraId="6201797C">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本项目防喷池及管线占地面积300m</w:t>
                  </w:r>
                  <w:r>
                    <w:rPr>
                      <w:rFonts w:hint="eastAsia"/>
                      <w:color w:val="000000" w:themeColor="text1"/>
                      <w:vertAlign w:val="superscript"/>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w:t>
                  </w:r>
                </w:p>
              </w:tc>
              <w:tc>
                <w:tcPr>
                  <w:tcW w:w="451" w:type="pct"/>
                  <w:tcBorders>
                    <w:top w:val="single" w:color="auto" w:sz="4" w:space="0"/>
                    <w:bottom w:val="single" w:color="auto" w:sz="4" w:space="0"/>
                  </w:tcBorders>
                  <w:vAlign w:val="center"/>
                </w:tcPr>
                <w:p w14:paraId="65DA2246">
                  <w:pPr>
                    <w:spacing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新建</w:t>
                  </w:r>
                </w:p>
              </w:tc>
            </w:tr>
            <w:tr w14:paraId="2F63A7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0" w:hRule="atLeast"/>
                <w:jc w:val="center"/>
              </w:trPr>
              <w:tc>
                <w:tcPr>
                  <w:tcW w:w="298" w:type="pct"/>
                  <w:vMerge w:val="continue"/>
                  <w:vAlign w:val="center"/>
                </w:tcPr>
                <w:p w14:paraId="2BABE9CD">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7D9EB9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钻井、固井材料储存区</w:t>
                  </w:r>
                </w:p>
              </w:tc>
              <w:tc>
                <w:tcPr>
                  <w:tcW w:w="3169" w:type="pct"/>
                  <w:tcBorders>
                    <w:top w:val="single" w:color="auto" w:sz="4" w:space="0"/>
                    <w:bottom w:val="single" w:color="auto" w:sz="4" w:space="0"/>
                  </w:tcBorders>
                  <w:vAlign w:val="center"/>
                </w:tcPr>
                <w:p w14:paraId="4D31B16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每个井场内设置1处材料堆存区，堆场采用彩钢板顶棚防雨防风，地面防渗处理。</w:t>
                  </w:r>
                </w:p>
              </w:tc>
              <w:tc>
                <w:tcPr>
                  <w:tcW w:w="451" w:type="pct"/>
                  <w:tcBorders>
                    <w:top w:val="single" w:color="auto" w:sz="4" w:space="0"/>
                    <w:bottom w:val="single" w:color="auto" w:sz="4" w:space="0"/>
                  </w:tcBorders>
                  <w:vAlign w:val="center"/>
                </w:tcPr>
                <w:p w14:paraId="0670C5DF">
                  <w:pPr>
                    <w:spacing w:line="240" w:lineRule="auto"/>
                    <w:ind w:firstLine="0" w:firstLineChars="0"/>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新建</w:t>
                  </w:r>
                </w:p>
              </w:tc>
            </w:tr>
            <w:tr w14:paraId="4389C6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298" w:type="pct"/>
                  <w:vMerge w:val="continue"/>
                  <w:vAlign w:val="center"/>
                </w:tcPr>
                <w:p w14:paraId="1D224DAA">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tcBorders>
                  <w:vAlign w:val="center"/>
                </w:tcPr>
                <w:p w14:paraId="480A308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采出液临时储罐</w:t>
                  </w:r>
                </w:p>
              </w:tc>
              <w:tc>
                <w:tcPr>
                  <w:tcW w:w="3169" w:type="pct"/>
                  <w:tcBorders>
                    <w:top w:val="single" w:color="auto" w:sz="4" w:space="0"/>
                    <w:bottom w:val="single" w:color="auto" w:sz="4" w:space="0"/>
                  </w:tcBorders>
                  <w:vAlign w:val="center"/>
                </w:tcPr>
                <w:p w14:paraId="49F36B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每个井场内设置1个60m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采出液临时储罐。</w:t>
                  </w:r>
                </w:p>
              </w:tc>
              <w:tc>
                <w:tcPr>
                  <w:tcW w:w="451" w:type="pct"/>
                  <w:tcBorders>
                    <w:top w:val="single" w:color="auto" w:sz="4" w:space="0"/>
                    <w:bottom w:val="single" w:color="auto" w:sz="4" w:space="0"/>
                  </w:tcBorders>
                  <w:vAlign w:val="center"/>
                </w:tcPr>
                <w:p w14:paraId="1A798902">
                  <w:pPr>
                    <w:spacing w:line="240" w:lineRule="auto"/>
                    <w:ind w:firstLine="0" w:firstLineChars="0"/>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新建</w:t>
                  </w:r>
                </w:p>
              </w:tc>
            </w:tr>
            <w:tr w14:paraId="66CB2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298" w:type="pct"/>
                  <w:vMerge w:val="continue"/>
                  <w:vAlign w:val="center"/>
                </w:tcPr>
                <w:p w14:paraId="633E23CC">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tcBorders>
                  <w:vAlign w:val="center"/>
                </w:tcPr>
                <w:p w14:paraId="52AB3588">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甲醇罐</w:t>
                  </w:r>
                </w:p>
              </w:tc>
              <w:tc>
                <w:tcPr>
                  <w:tcW w:w="3169" w:type="pct"/>
                  <w:tcBorders>
                    <w:top w:val="single" w:color="auto" w:sz="4" w:space="0"/>
                    <w:bottom w:val="single" w:color="auto" w:sz="4" w:space="0"/>
                  </w:tcBorders>
                  <w:vAlign w:val="center"/>
                </w:tcPr>
                <w:p w14:paraId="3BC33515">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在井场设1座50m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的甲醇储罐，储存约30t的甲醇。</w:t>
                  </w:r>
                </w:p>
              </w:tc>
              <w:tc>
                <w:tcPr>
                  <w:tcW w:w="451" w:type="pct"/>
                  <w:tcBorders>
                    <w:top w:val="single" w:color="auto" w:sz="4" w:space="0"/>
                    <w:bottom w:val="single" w:color="auto" w:sz="4" w:space="0"/>
                  </w:tcBorders>
                  <w:vAlign w:val="center"/>
                </w:tcPr>
                <w:p w14:paraId="12DE3148">
                  <w:pPr>
                    <w:spacing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新建</w:t>
                  </w:r>
                </w:p>
              </w:tc>
            </w:tr>
            <w:tr w14:paraId="65482A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298" w:type="pct"/>
                  <w:vMerge w:val="continue"/>
                  <w:vAlign w:val="center"/>
                </w:tcPr>
                <w:p w14:paraId="5E20B885">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tcBorders>
                  <w:vAlign w:val="center"/>
                </w:tcPr>
                <w:p w14:paraId="7A5738B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危废贮存点</w:t>
                  </w:r>
                </w:p>
              </w:tc>
              <w:tc>
                <w:tcPr>
                  <w:tcW w:w="3169" w:type="pct"/>
                  <w:tcBorders>
                    <w:top w:val="single" w:color="auto" w:sz="4" w:space="0"/>
                    <w:bottom w:val="single" w:color="auto" w:sz="4" w:space="0"/>
                  </w:tcBorders>
                  <w:vAlign w:val="center"/>
                </w:tcPr>
                <w:p w14:paraId="7F28594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施工期在井场设1座15m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的危废贮存点。</w:t>
                  </w:r>
                </w:p>
              </w:tc>
              <w:tc>
                <w:tcPr>
                  <w:tcW w:w="451" w:type="pct"/>
                  <w:tcBorders>
                    <w:top w:val="single" w:color="auto" w:sz="4" w:space="0"/>
                    <w:bottom w:val="single" w:color="auto" w:sz="4" w:space="0"/>
                  </w:tcBorders>
                  <w:vAlign w:val="center"/>
                </w:tcPr>
                <w:p w14:paraId="49F55EF1">
                  <w:pPr>
                    <w:spacing w:line="240" w:lineRule="auto"/>
                    <w:ind w:firstLine="0" w:firstLineChars="0"/>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新建</w:t>
                  </w:r>
                </w:p>
              </w:tc>
            </w:tr>
            <w:tr w14:paraId="19618E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298" w:type="pct"/>
                  <w:vMerge w:val="continue"/>
                  <w:vAlign w:val="center"/>
                </w:tcPr>
                <w:p w14:paraId="1C8AC0C2">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tcBorders>
                  <w:vAlign w:val="center"/>
                </w:tcPr>
                <w:p w14:paraId="1211999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堆土区</w:t>
                  </w:r>
                </w:p>
              </w:tc>
              <w:tc>
                <w:tcPr>
                  <w:tcW w:w="3169" w:type="pct"/>
                  <w:tcBorders>
                    <w:top w:val="single" w:color="auto" w:sz="4" w:space="0"/>
                    <w:bottom w:val="single" w:color="auto" w:sz="4" w:space="0"/>
                  </w:tcBorders>
                  <w:vAlign w:val="center"/>
                </w:tcPr>
                <w:p w14:paraId="483DD16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设置1处堆土区，占地面积1500m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，用于临时堆土。</w:t>
                  </w:r>
                </w:p>
              </w:tc>
              <w:tc>
                <w:tcPr>
                  <w:tcW w:w="451" w:type="pct"/>
                  <w:tcBorders>
                    <w:top w:val="single" w:color="auto" w:sz="4" w:space="0"/>
                    <w:bottom w:val="single" w:color="auto" w:sz="4" w:space="0"/>
                  </w:tcBorders>
                  <w:vAlign w:val="center"/>
                </w:tcPr>
                <w:p w14:paraId="06983CC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新建</w:t>
                  </w:r>
                </w:p>
              </w:tc>
            </w:tr>
            <w:tr w14:paraId="20FD11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restart"/>
                  <w:vAlign w:val="center"/>
                </w:tcPr>
                <w:p w14:paraId="4EA441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公用工程</w:t>
                  </w:r>
                </w:p>
              </w:tc>
              <w:tc>
                <w:tcPr>
                  <w:tcW w:w="1080" w:type="pct"/>
                  <w:gridSpan w:val="2"/>
                  <w:vAlign w:val="center"/>
                </w:tcPr>
                <w:p w14:paraId="0E74A1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供配电</w:t>
                  </w:r>
                </w:p>
              </w:tc>
              <w:tc>
                <w:tcPr>
                  <w:tcW w:w="3169" w:type="pct"/>
                  <w:tcBorders>
                    <w:top w:val="single" w:color="auto" w:sz="4" w:space="0"/>
                  </w:tcBorders>
                  <w:vAlign w:val="center"/>
                </w:tcPr>
                <w:p w14:paraId="2B60058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钻机通过柴油机、发电机供电。</w:t>
                  </w:r>
                </w:p>
              </w:tc>
              <w:tc>
                <w:tcPr>
                  <w:tcW w:w="451" w:type="pct"/>
                  <w:tcBorders>
                    <w:top w:val="single" w:color="auto" w:sz="4" w:space="0"/>
                  </w:tcBorders>
                  <w:vAlign w:val="center"/>
                </w:tcPr>
                <w:p w14:paraId="1DC1704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79738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vAlign w:val="center"/>
                </w:tcPr>
                <w:p w14:paraId="27A4E160">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vAlign w:val="center"/>
                </w:tcPr>
                <w:p w14:paraId="7B66EF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供水</w:t>
                  </w:r>
                </w:p>
              </w:tc>
              <w:tc>
                <w:tcPr>
                  <w:tcW w:w="3169" w:type="pct"/>
                  <w:vAlign w:val="center"/>
                </w:tcPr>
                <w:p w14:paraId="36FFC4B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生产用水</w:t>
                  </w:r>
                  <w:r>
                    <w:rPr>
                      <w:rFonts w:hint="eastAsia"/>
                      <w:color w:val="000000" w:themeColor="text1"/>
                      <w14:textFill>
                        <w14:solidFill>
                          <w14:schemeClr w14:val="tx1"/>
                        </w14:solidFill>
                      </w14:textFill>
                    </w:rPr>
                    <w:t>、生活用水</w:t>
                  </w:r>
                  <w:r>
                    <w:rPr>
                      <w:color w:val="000000" w:themeColor="text1"/>
                      <w14:textFill>
                        <w14:solidFill>
                          <w14:schemeClr w14:val="tx1"/>
                        </w14:solidFill>
                      </w14:textFill>
                    </w:rPr>
                    <w:t>就近从</w:t>
                  </w:r>
                  <w:r>
                    <w:rPr>
                      <w:rFonts w:hint="eastAsia"/>
                      <w:color w:val="000000" w:themeColor="text1"/>
                      <w14:textFill>
                        <w14:solidFill>
                          <w14:schemeClr w14:val="tx1"/>
                        </w14:solidFill>
                      </w14:textFill>
                    </w:rPr>
                    <w:t>附近村镇</w:t>
                  </w:r>
                  <w:r>
                    <w:rPr>
                      <w:color w:val="000000" w:themeColor="text1"/>
                      <w14:textFill>
                        <w14:solidFill>
                          <w14:schemeClr w14:val="tx1"/>
                        </w14:solidFill>
                      </w14:textFill>
                    </w:rPr>
                    <w:t>由罐车拉运至井场</w:t>
                  </w:r>
                  <w:r>
                    <w:rPr>
                      <w:rFonts w:hint="eastAsia"/>
                      <w:color w:val="000000" w:themeColor="text1"/>
                      <w14:textFill>
                        <w14:solidFill>
                          <w14:schemeClr w14:val="tx1"/>
                        </w14:solidFill>
                      </w14:textFill>
                    </w:rPr>
                    <w:t>，分别采用储水罐储存</w:t>
                  </w:r>
                  <w:r>
                    <w:rPr>
                      <w:color w:val="000000" w:themeColor="text1"/>
                      <w14:textFill>
                        <w14:solidFill>
                          <w14:schemeClr w14:val="tx1"/>
                        </w14:solidFill>
                      </w14:textFill>
                    </w:rPr>
                    <w:t>。</w:t>
                  </w:r>
                </w:p>
              </w:tc>
              <w:tc>
                <w:tcPr>
                  <w:tcW w:w="451" w:type="pct"/>
                  <w:vAlign w:val="center"/>
                </w:tcPr>
                <w:p w14:paraId="0D2B779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依托</w:t>
                  </w:r>
                </w:p>
              </w:tc>
            </w:tr>
            <w:tr w14:paraId="6AF184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5F5937B2">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vAlign w:val="center"/>
                </w:tcPr>
                <w:p w14:paraId="7CBA9C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供热</w:t>
                  </w:r>
                </w:p>
              </w:tc>
              <w:tc>
                <w:tcPr>
                  <w:tcW w:w="3169" w:type="pct"/>
                  <w:vAlign w:val="center"/>
                </w:tcPr>
                <w:p w14:paraId="1E14B4D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项目冬季不施工，无供暖设施。</w:t>
                  </w:r>
                </w:p>
              </w:tc>
              <w:tc>
                <w:tcPr>
                  <w:tcW w:w="451" w:type="pct"/>
                  <w:vAlign w:val="center"/>
                </w:tcPr>
                <w:p w14:paraId="1B6ACAC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F0304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restart"/>
                  <w:vAlign w:val="center"/>
                </w:tcPr>
                <w:p w14:paraId="4E690E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环保工程</w:t>
                  </w:r>
                </w:p>
              </w:tc>
              <w:tc>
                <w:tcPr>
                  <w:tcW w:w="298" w:type="pct"/>
                  <w:vMerge w:val="restart"/>
                  <w:vAlign w:val="center"/>
                </w:tcPr>
                <w:p w14:paraId="2F4F3EE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废气</w:t>
                  </w:r>
                </w:p>
              </w:tc>
              <w:tc>
                <w:tcPr>
                  <w:tcW w:w="781" w:type="pct"/>
                  <w:vAlign w:val="center"/>
                </w:tcPr>
                <w:p w14:paraId="0E2E2CD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柴油发电机废气</w:t>
                  </w:r>
                </w:p>
              </w:tc>
              <w:tc>
                <w:tcPr>
                  <w:tcW w:w="3169" w:type="pct"/>
                  <w:vAlign w:val="center"/>
                </w:tcPr>
                <w:p w14:paraId="1C7B22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废气产生量较少，属无组织排放。</w:t>
                  </w:r>
                </w:p>
              </w:tc>
              <w:tc>
                <w:tcPr>
                  <w:tcW w:w="451" w:type="pct"/>
                  <w:vAlign w:val="center"/>
                </w:tcPr>
                <w:p w14:paraId="3AD52BE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3954B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51D387AB">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3B088629">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510FA0F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施工扬尘</w:t>
                  </w:r>
                </w:p>
              </w:tc>
              <w:tc>
                <w:tcPr>
                  <w:tcW w:w="3169" w:type="pct"/>
                  <w:vAlign w:val="center"/>
                </w:tcPr>
                <w:p w14:paraId="5F9F2E4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产生量较少，属无组织排放，采取场区洒水抑尘措施。</w:t>
                  </w:r>
                </w:p>
              </w:tc>
              <w:tc>
                <w:tcPr>
                  <w:tcW w:w="451" w:type="pct"/>
                  <w:vAlign w:val="center"/>
                </w:tcPr>
                <w:p w14:paraId="78BF07A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310328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298" w:type="pct"/>
                  <w:vMerge w:val="continue"/>
                  <w:vAlign w:val="center"/>
                </w:tcPr>
                <w:p w14:paraId="217BE354">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28CCC69D">
                  <w:pPr>
                    <w:pStyle w:val="26"/>
                    <w:framePr w:hSpace="0" w:wrap="auto" w:vAnchor="margin" w:hAnchor="text" w:xAlign="left" w:yAlign="inline"/>
                    <w:rPr>
                      <w:color w:val="000000" w:themeColor="text1"/>
                      <w14:textFill>
                        <w14:solidFill>
                          <w14:schemeClr w14:val="tx1"/>
                        </w14:solidFill>
                      </w14:textFill>
                    </w:rPr>
                  </w:pPr>
                </w:p>
              </w:tc>
              <w:tc>
                <w:tcPr>
                  <w:tcW w:w="781" w:type="pct"/>
                  <w:tcBorders>
                    <w:bottom w:val="single" w:color="auto" w:sz="4" w:space="0"/>
                  </w:tcBorders>
                  <w:vAlign w:val="center"/>
                </w:tcPr>
                <w:p w14:paraId="52EC383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伴生气燃烧</w:t>
                  </w:r>
                </w:p>
              </w:tc>
              <w:tc>
                <w:tcPr>
                  <w:tcW w:w="3169" w:type="pct"/>
                  <w:tcBorders>
                    <w:bottom w:val="single" w:color="auto" w:sz="4" w:space="0"/>
                  </w:tcBorders>
                  <w:vAlign w:val="center"/>
                </w:tcPr>
                <w:p w14:paraId="4B36A01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伴生气无收集设施，燃烧后无组织排放。</w:t>
                  </w:r>
                </w:p>
              </w:tc>
              <w:tc>
                <w:tcPr>
                  <w:tcW w:w="451" w:type="pct"/>
                  <w:tcBorders>
                    <w:bottom w:val="single" w:color="auto" w:sz="4" w:space="0"/>
                  </w:tcBorders>
                  <w:vAlign w:val="center"/>
                </w:tcPr>
                <w:p w14:paraId="09A8EFC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8AAA0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298" w:type="pct"/>
                  <w:vMerge w:val="continue"/>
                  <w:vAlign w:val="center"/>
                </w:tcPr>
                <w:p w14:paraId="613EC222">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3FAA8CA3">
                  <w:pPr>
                    <w:pStyle w:val="26"/>
                    <w:framePr w:hSpace="0" w:wrap="auto" w:vAnchor="margin" w:hAnchor="text" w:xAlign="left" w:yAlign="inline"/>
                    <w:rPr>
                      <w:color w:val="000000" w:themeColor="text1"/>
                      <w14:textFill>
                        <w14:solidFill>
                          <w14:schemeClr w14:val="tx1"/>
                        </w14:solidFill>
                      </w14:textFill>
                    </w:rPr>
                  </w:pPr>
                </w:p>
              </w:tc>
              <w:tc>
                <w:tcPr>
                  <w:tcW w:w="781" w:type="pct"/>
                  <w:tcBorders>
                    <w:bottom w:val="single" w:color="auto" w:sz="4" w:space="0"/>
                  </w:tcBorders>
                  <w:vAlign w:val="center"/>
                </w:tcPr>
                <w:p w14:paraId="0CE20D7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临时储罐废气和采出液装卸废气</w:t>
                  </w:r>
                </w:p>
              </w:tc>
              <w:tc>
                <w:tcPr>
                  <w:tcW w:w="3169" w:type="pct"/>
                  <w:tcBorders>
                    <w:bottom w:val="single" w:color="auto" w:sz="4" w:space="0"/>
                  </w:tcBorders>
                  <w:vAlign w:val="center"/>
                </w:tcPr>
                <w:p w14:paraId="572BC7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临时储罐废气产生量较少，通过密闭底部装载方式减少废气的排放，排放方式均为无组织排放。</w:t>
                  </w:r>
                </w:p>
              </w:tc>
              <w:tc>
                <w:tcPr>
                  <w:tcW w:w="451" w:type="pct"/>
                  <w:tcBorders>
                    <w:bottom w:val="single" w:color="auto" w:sz="4" w:space="0"/>
                  </w:tcBorders>
                  <w:vAlign w:val="center"/>
                </w:tcPr>
                <w:p w14:paraId="457E485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02DB9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298" w:type="pct"/>
                  <w:vMerge w:val="continue"/>
                  <w:vAlign w:val="center"/>
                </w:tcPr>
                <w:p w14:paraId="64DB44DB">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4AED6BE9">
                  <w:pPr>
                    <w:pStyle w:val="26"/>
                    <w:framePr w:hSpace="0" w:wrap="auto" w:vAnchor="margin" w:hAnchor="text" w:xAlign="left" w:yAlign="inline"/>
                    <w:rPr>
                      <w:color w:val="000000" w:themeColor="text1"/>
                      <w14:textFill>
                        <w14:solidFill>
                          <w14:schemeClr w14:val="tx1"/>
                        </w14:solidFill>
                      </w14:textFill>
                    </w:rPr>
                  </w:pPr>
                </w:p>
              </w:tc>
              <w:tc>
                <w:tcPr>
                  <w:tcW w:w="781" w:type="pct"/>
                  <w:tcBorders>
                    <w:bottom w:val="single" w:color="auto" w:sz="4" w:space="0"/>
                  </w:tcBorders>
                  <w:vAlign w:val="center"/>
                </w:tcPr>
                <w:p w14:paraId="1151A8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柴油卸车及储存无组织废气、油基岩屑储罐无组织废气</w:t>
                  </w:r>
                </w:p>
              </w:tc>
              <w:tc>
                <w:tcPr>
                  <w:tcW w:w="3169" w:type="pct"/>
                  <w:tcBorders>
                    <w:bottom w:val="single" w:color="auto" w:sz="4" w:space="0"/>
                  </w:tcBorders>
                  <w:vAlign w:val="center"/>
                </w:tcPr>
                <w:p w14:paraId="04ABD5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临时储罐废气产生量较少，排放方式均为无组织排放。</w:t>
                  </w:r>
                </w:p>
              </w:tc>
              <w:tc>
                <w:tcPr>
                  <w:tcW w:w="451" w:type="pct"/>
                  <w:tcBorders>
                    <w:bottom w:val="single" w:color="auto" w:sz="4" w:space="0"/>
                  </w:tcBorders>
                  <w:vAlign w:val="center"/>
                </w:tcPr>
                <w:p w14:paraId="4F321A7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8E2B7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298" w:type="pct"/>
                  <w:vMerge w:val="continue"/>
                  <w:vAlign w:val="center"/>
                </w:tcPr>
                <w:p w14:paraId="0535D3D0">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7D0B92FF">
                  <w:pPr>
                    <w:pStyle w:val="26"/>
                    <w:framePr w:hSpace="0" w:wrap="auto" w:vAnchor="margin" w:hAnchor="text" w:xAlign="left" w:yAlign="inline"/>
                    <w:rPr>
                      <w:color w:val="000000" w:themeColor="text1"/>
                      <w14:textFill>
                        <w14:solidFill>
                          <w14:schemeClr w14:val="tx1"/>
                        </w14:solidFill>
                      </w14:textFill>
                    </w:rPr>
                  </w:pPr>
                </w:p>
              </w:tc>
              <w:tc>
                <w:tcPr>
                  <w:tcW w:w="781" w:type="pct"/>
                  <w:tcBorders>
                    <w:bottom w:val="single" w:color="auto" w:sz="4" w:space="0"/>
                  </w:tcBorders>
                  <w:vAlign w:val="center"/>
                </w:tcPr>
                <w:p w14:paraId="401348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水基钻井岩屑暂存扬尘</w:t>
                  </w:r>
                </w:p>
              </w:tc>
              <w:tc>
                <w:tcPr>
                  <w:tcW w:w="3169" w:type="pct"/>
                  <w:tcBorders>
                    <w:bottom w:val="single" w:color="auto" w:sz="4" w:space="0"/>
                  </w:tcBorders>
                  <w:vAlign w:val="center"/>
                </w:tcPr>
                <w:p w14:paraId="3EE1BB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水基钻井岩屑暂存于罐中，并及时清运。</w:t>
                  </w:r>
                </w:p>
              </w:tc>
              <w:tc>
                <w:tcPr>
                  <w:tcW w:w="451" w:type="pct"/>
                  <w:tcBorders>
                    <w:bottom w:val="single" w:color="auto" w:sz="4" w:space="0"/>
                  </w:tcBorders>
                  <w:vAlign w:val="center"/>
                </w:tcPr>
                <w:p w14:paraId="74F1BCB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379FE9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0" w:hRule="atLeast"/>
                <w:jc w:val="center"/>
              </w:trPr>
              <w:tc>
                <w:tcPr>
                  <w:tcW w:w="298" w:type="pct"/>
                  <w:vMerge w:val="continue"/>
                  <w:vAlign w:val="center"/>
                </w:tcPr>
                <w:p w14:paraId="2CA9EB5B">
                  <w:pPr>
                    <w:pStyle w:val="26"/>
                    <w:framePr w:hSpace="0" w:wrap="auto" w:vAnchor="margin" w:hAnchor="text" w:xAlign="left" w:yAlign="inline"/>
                    <w:rPr>
                      <w:color w:val="000000" w:themeColor="text1"/>
                      <w14:textFill>
                        <w14:solidFill>
                          <w14:schemeClr w14:val="tx1"/>
                        </w14:solidFill>
                      </w14:textFill>
                    </w:rPr>
                  </w:pPr>
                </w:p>
              </w:tc>
              <w:tc>
                <w:tcPr>
                  <w:tcW w:w="298" w:type="pct"/>
                  <w:vMerge w:val="restart"/>
                  <w:vAlign w:val="center"/>
                </w:tcPr>
                <w:p w14:paraId="0DB6D14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废水</w:t>
                  </w:r>
                </w:p>
              </w:tc>
              <w:tc>
                <w:tcPr>
                  <w:tcW w:w="781" w:type="pct"/>
                  <w:vAlign w:val="center"/>
                </w:tcPr>
                <w:p w14:paraId="3986AA9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洗井废水</w:t>
                  </w:r>
                </w:p>
              </w:tc>
              <w:tc>
                <w:tcPr>
                  <w:tcW w:w="3169" w:type="pct"/>
                  <w:vAlign w:val="center"/>
                </w:tcPr>
                <w:p w14:paraId="7E4B45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污水处理系统处理达标后回注油藏。</w:t>
                  </w:r>
                </w:p>
              </w:tc>
              <w:tc>
                <w:tcPr>
                  <w:tcW w:w="451" w:type="pct"/>
                  <w:vAlign w:val="center"/>
                </w:tcPr>
                <w:p w14:paraId="28C8BA4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419CEF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vAlign w:val="center"/>
                </w:tcPr>
                <w:p w14:paraId="0CC313F7">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32E19F8E">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14B2E69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生活污水</w:t>
                  </w:r>
                </w:p>
              </w:tc>
              <w:tc>
                <w:tcPr>
                  <w:tcW w:w="3169" w:type="pct"/>
                  <w:vAlign w:val="center"/>
                </w:tcPr>
                <w:p w14:paraId="2E4557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生活污水排入防渗污水收集池（30m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），定期清运至</w:t>
                  </w:r>
                  <w:r>
                    <w:rPr>
                      <w:rFonts w:hint="eastAsia"/>
                      <w:color w:val="000000" w:themeColor="text1"/>
                      <w14:textFill>
                        <w14:solidFill>
                          <w14:schemeClr w14:val="tx1"/>
                        </w14:solidFill>
                      </w14:textFill>
                    </w:rPr>
                    <w:t>吉木萨尔县污水处理厂</w:t>
                  </w:r>
                  <w:r>
                    <w:rPr>
                      <w:color w:val="000000" w:themeColor="text1"/>
                      <w14:textFill>
                        <w14:solidFill>
                          <w14:schemeClr w14:val="tx1"/>
                        </w14:solidFill>
                      </w14:textFill>
                    </w:rPr>
                    <w:t>处理。</w:t>
                  </w:r>
                </w:p>
              </w:tc>
              <w:tc>
                <w:tcPr>
                  <w:tcW w:w="451" w:type="pct"/>
                  <w:vAlign w:val="center"/>
                </w:tcPr>
                <w:p w14:paraId="353B5E4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786DBF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vAlign w:val="center"/>
                </w:tcPr>
                <w:p w14:paraId="3CA10C63">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09650E35">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04DEAB6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压裂返排液</w:t>
                  </w:r>
                </w:p>
              </w:tc>
              <w:tc>
                <w:tcPr>
                  <w:tcW w:w="3169" w:type="pct"/>
                  <w:vAlign w:val="center"/>
                </w:tcPr>
                <w:p w14:paraId="6D6124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压裂返排液进入罐车拉运至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污水处理系统处理，达到《碎屑岩油藏注水水质指标技术要求及分析方法》（SY/T5329-2022）中</w:t>
                  </w:r>
                  <w:r>
                    <w:rPr>
                      <w:rFonts w:hint="default"/>
                      <w:color w:val="000000" w:themeColor="text1"/>
                      <w14:textFill>
                        <w14:solidFill>
                          <w14:schemeClr w14:val="tx1"/>
                        </w14:solidFill>
                      </w14:textFill>
                    </w:rPr>
                    <w:t>Ⅱ</w:t>
                  </w:r>
                  <w:r>
                    <w:rPr>
                      <w:rFonts w:hint="default"/>
                      <w:color w:val="000000" w:themeColor="text1"/>
                      <w:lang w:val="en-US" w:eastAsia="zh-CN"/>
                      <w14:textFill>
                        <w14:solidFill>
                          <w14:schemeClr w14:val="tx1"/>
                        </w14:solidFill>
                      </w14:textFill>
                    </w:rPr>
                    <w:t>级</w:t>
                  </w:r>
                  <w:r>
                    <w:rPr>
                      <w:color w:val="000000" w:themeColor="text1"/>
                      <w14:textFill>
                        <w14:solidFill>
                          <w14:schemeClr w14:val="tx1"/>
                        </w14:solidFill>
                      </w14:textFill>
                    </w:rPr>
                    <w:t>标准后回注油藏。</w:t>
                  </w:r>
                </w:p>
              </w:tc>
              <w:tc>
                <w:tcPr>
                  <w:tcW w:w="451" w:type="pct"/>
                  <w:vAlign w:val="center"/>
                </w:tcPr>
                <w:p w14:paraId="42B36D1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59467B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255F87B9">
                  <w:pPr>
                    <w:pStyle w:val="26"/>
                    <w:framePr w:hSpace="0" w:wrap="auto" w:vAnchor="margin" w:hAnchor="text" w:xAlign="left" w:yAlign="inline"/>
                    <w:rPr>
                      <w:color w:val="000000" w:themeColor="text1"/>
                      <w14:textFill>
                        <w14:solidFill>
                          <w14:schemeClr w14:val="tx1"/>
                        </w14:solidFill>
                      </w14:textFill>
                    </w:rPr>
                  </w:pPr>
                </w:p>
              </w:tc>
              <w:tc>
                <w:tcPr>
                  <w:tcW w:w="298" w:type="pct"/>
                  <w:vMerge w:val="restart"/>
                  <w:vAlign w:val="center"/>
                </w:tcPr>
                <w:p w14:paraId="5CE6947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噪声</w:t>
                  </w:r>
                </w:p>
              </w:tc>
              <w:tc>
                <w:tcPr>
                  <w:tcW w:w="781" w:type="pct"/>
                  <w:vAlign w:val="center"/>
                </w:tcPr>
                <w:p w14:paraId="14DA149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施工设备、钻井机械噪声</w:t>
                  </w:r>
                </w:p>
              </w:tc>
              <w:tc>
                <w:tcPr>
                  <w:tcW w:w="3169" w:type="pct"/>
                  <w:vAlign w:val="center"/>
                </w:tcPr>
                <w:p w14:paraId="0D548E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减振、隔声降噪措施。</w:t>
                  </w:r>
                </w:p>
              </w:tc>
              <w:tc>
                <w:tcPr>
                  <w:tcW w:w="451" w:type="pct"/>
                  <w:vAlign w:val="center"/>
                </w:tcPr>
                <w:p w14:paraId="7FE397E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FB7A4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7FF3A229">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40A10385">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7C10CC4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试油期机械噪声</w:t>
                  </w:r>
                </w:p>
              </w:tc>
              <w:tc>
                <w:tcPr>
                  <w:tcW w:w="3169" w:type="pct"/>
                  <w:vAlign w:val="center"/>
                </w:tcPr>
                <w:p w14:paraId="2B7973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选用低噪声设备，安装基础减振垫。</w:t>
                  </w:r>
                </w:p>
              </w:tc>
              <w:tc>
                <w:tcPr>
                  <w:tcW w:w="451" w:type="pct"/>
                  <w:vAlign w:val="center"/>
                </w:tcPr>
                <w:p w14:paraId="6D5C0EF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04C27A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431C694C">
                  <w:pPr>
                    <w:pStyle w:val="26"/>
                    <w:framePr w:hSpace="0" w:wrap="auto" w:vAnchor="margin" w:hAnchor="text" w:xAlign="left" w:yAlign="inline"/>
                    <w:rPr>
                      <w:color w:val="000000" w:themeColor="text1"/>
                      <w14:textFill>
                        <w14:solidFill>
                          <w14:schemeClr w14:val="tx1"/>
                        </w14:solidFill>
                      </w14:textFill>
                    </w:rPr>
                  </w:pPr>
                </w:p>
              </w:tc>
              <w:tc>
                <w:tcPr>
                  <w:tcW w:w="298" w:type="pct"/>
                  <w:vMerge w:val="restart"/>
                  <w:vAlign w:val="center"/>
                </w:tcPr>
                <w:p w14:paraId="340070D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固废</w:t>
                  </w:r>
                </w:p>
              </w:tc>
              <w:tc>
                <w:tcPr>
                  <w:tcW w:w="781" w:type="pct"/>
                  <w:vAlign w:val="center"/>
                </w:tcPr>
                <w:p w14:paraId="0FF58E9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钻井岩屑</w:t>
                  </w:r>
                </w:p>
              </w:tc>
              <w:tc>
                <w:tcPr>
                  <w:tcW w:w="3169" w:type="pct"/>
                  <w:vAlign w:val="center"/>
                </w:tcPr>
                <w:p w14:paraId="5A6D2B2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井场设置不落地设备，用于分离钻井液和钻井岩屑，分离后的岩屑暂存于</w:t>
                  </w:r>
                  <w:r>
                    <w:rPr>
                      <w:rFonts w:hint="eastAsia"/>
                      <w:color w:val="000000" w:themeColor="text1"/>
                      <w14:textFill>
                        <w14:solidFill>
                          <w14:schemeClr w14:val="tx1"/>
                        </w14:solidFill>
                      </w14:textFill>
                    </w:rPr>
                    <w:t>水基/油基</w:t>
                  </w:r>
                  <w:r>
                    <w:rPr>
                      <w:color w:val="000000" w:themeColor="text1"/>
                      <w14:textFill>
                        <w14:solidFill>
                          <w14:schemeClr w14:val="tx1"/>
                        </w14:solidFill>
                      </w14:textFill>
                    </w:rPr>
                    <w:t>岩屑储罐，</w:t>
                  </w:r>
                  <w:r>
                    <w:rPr>
                      <w:rFonts w:hint="eastAsia"/>
                      <w:color w:val="000000" w:themeColor="text1"/>
                      <w14:textFill>
                        <w14:solidFill>
                          <w14:schemeClr w14:val="tx1"/>
                        </w14:solidFill>
                      </w14:textFill>
                    </w:rPr>
                    <w:t>水基岩屑</w:t>
                  </w:r>
                  <w:r>
                    <w:rPr>
                      <w:color w:val="000000" w:themeColor="text1"/>
                      <w14:textFill>
                        <w14:solidFill>
                          <w14:schemeClr w14:val="tx1"/>
                        </w14:solidFill>
                      </w14:textFill>
                    </w:rPr>
                    <w:t>委托第三方处置单位进行处理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油基岩屑交由</w:t>
                  </w:r>
                  <w:r>
                    <w:rPr>
                      <w:rFonts w:hint="eastAsia"/>
                      <w:color w:val="000000" w:themeColor="text1"/>
                      <w14:textFill>
                        <w14:solidFill>
                          <w14:schemeClr w14:val="tx1"/>
                        </w14:solidFill>
                      </w14:textFill>
                    </w:rPr>
                    <w:t>新疆中建环能北庭环保科技有限公司处置</w:t>
                  </w:r>
                  <w:r>
                    <w:rPr>
                      <w:color w:val="000000" w:themeColor="text1"/>
                      <w14:textFill>
                        <w14:solidFill>
                          <w14:schemeClr w14:val="tx1"/>
                        </w14:solidFill>
                      </w14:textFill>
                    </w:rPr>
                    <w:t>。</w:t>
                  </w:r>
                </w:p>
              </w:tc>
              <w:tc>
                <w:tcPr>
                  <w:tcW w:w="451" w:type="pct"/>
                  <w:vAlign w:val="center"/>
                </w:tcPr>
                <w:p w14:paraId="291E26C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E0996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33DFBB82">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29293322">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2C9B6F1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生活垃圾</w:t>
                  </w:r>
                </w:p>
              </w:tc>
              <w:tc>
                <w:tcPr>
                  <w:tcW w:w="3169" w:type="pct"/>
                  <w:vAlign w:val="center"/>
                </w:tcPr>
                <w:p w14:paraId="62010F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集中收集后统一拉运至</w:t>
                  </w:r>
                  <w:r>
                    <w:rPr>
                      <w:rFonts w:hint="eastAsia"/>
                      <w:color w:val="000000" w:themeColor="text1"/>
                      <w14:textFill>
                        <w14:solidFill>
                          <w14:schemeClr w14:val="tx1"/>
                        </w14:solidFill>
                      </w14:textFill>
                    </w:rPr>
                    <w:t>吉木萨尔县生活垃圾填埋场</w:t>
                  </w:r>
                  <w:r>
                    <w:rPr>
                      <w:color w:val="000000" w:themeColor="text1"/>
                      <w14:textFill>
                        <w14:solidFill>
                          <w14:schemeClr w14:val="tx1"/>
                        </w14:solidFill>
                      </w14:textFill>
                    </w:rPr>
                    <w:t>处理。</w:t>
                  </w:r>
                </w:p>
              </w:tc>
              <w:tc>
                <w:tcPr>
                  <w:tcW w:w="451" w:type="pct"/>
                  <w:vAlign w:val="center"/>
                </w:tcPr>
                <w:p w14:paraId="5DCD0A1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1855F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6" w:hRule="atLeast"/>
                <w:jc w:val="center"/>
              </w:trPr>
              <w:tc>
                <w:tcPr>
                  <w:tcW w:w="298" w:type="pct"/>
                  <w:vMerge w:val="continue"/>
                  <w:vAlign w:val="center"/>
                </w:tcPr>
                <w:p w14:paraId="70D363E2">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78ABDAFF">
                  <w:pPr>
                    <w:pStyle w:val="26"/>
                    <w:framePr w:hSpace="0" w:wrap="auto" w:vAnchor="margin" w:hAnchor="text" w:xAlign="left" w:yAlign="inline"/>
                    <w:rPr>
                      <w:color w:val="000000" w:themeColor="text1"/>
                      <w14:textFill>
                        <w14:solidFill>
                          <w14:schemeClr w14:val="tx1"/>
                        </w14:solidFill>
                      </w14:textFill>
                    </w:rPr>
                  </w:pPr>
                </w:p>
              </w:tc>
              <w:tc>
                <w:tcPr>
                  <w:tcW w:w="781" w:type="pct"/>
                  <w:tcBorders>
                    <w:top w:val="single" w:color="auto" w:sz="4" w:space="0"/>
                    <w:bottom w:val="single" w:color="auto" w:sz="4" w:space="0"/>
                  </w:tcBorders>
                  <w:vAlign w:val="center"/>
                </w:tcPr>
                <w:p w14:paraId="73FD59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废弃防渗膜</w:t>
                  </w:r>
                </w:p>
              </w:tc>
              <w:tc>
                <w:tcPr>
                  <w:tcW w:w="3169" w:type="pct"/>
                  <w:tcBorders>
                    <w:top w:val="single" w:color="auto" w:sz="4" w:space="0"/>
                    <w:bottom w:val="single" w:color="auto" w:sz="4" w:space="0"/>
                  </w:tcBorders>
                  <w:vAlign w:val="center"/>
                </w:tcPr>
                <w:p w14:paraId="5955ECC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集中收集后暂存于井场危废贮存点，定期</w:t>
                  </w:r>
                  <w:r>
                    <w:rPr>
                      <w:color w:val="000000" w:themeColor="text1"/>
                      <w14:textFill>
                        <w14:solidFill>
                          <w14:schemeClr w14:val="tx1"/>
                        </w14:solidFill>
                      </w14:textFill>
                    </w:rPr>
                    <w:t>委托具有危险废物运输及处理资质的单位拉运处理。</w:t>
                  </w:r>
                </w:p>
              </w:tc>
              <w:tc>
                <w:tcPr>
                  <w:tcW w:w="451" w:type="pct"/>
                  <w:tcBorders>
                    <w:top w:val="single" w:color="auto" w:sz="4" w:space="0"/>
                    <w:bottom w:val="single" w:color="auto" w:sz="4" w:space="0"/>
                  </w:tcBorders>
                  <w:vAlign w:val="center"/>
                </w:tcPr>
                <w:p w14:paraId="50686F5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09735D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6" w:hRule="atLeast"/>
                <w:jc w:val="center"/>
              </w:trPr>
              <w:tc>
                <w:tcPr>
                  <w:tcW w:w="298" w:type="pct"/>
                  <w:vMerge w:val="continue"/>
                  <w:vAlign w:val="center"/>
                </w:tcPr>
                <w:p w14:paraId="04A92492">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67ECB314">
                  <w:pPr>
                    <w:pStyle w:val="26"/>
                    <w:framePr w:hSpace="0" w:wrap="auto" w:vAnchor="margin" w:hAnchor="text" w:xAlign="left" w:yAlign="inline"/>
                    <w:rPr>
                      <w:color w:val="000000" w:themeColor="text1"/>
                      <w14:textFill>
                        <w14:solidFill>
                          <w14:schemeClr w14:val="tx1"/>
                        </w14:solidFill>
                      </w14:textFill>
                    </w:rPr>
                  </w:pPr>
                </w:p>
              </w:tc>
              <w:tc>
                <w:tcPr>
                  <w:tcW w:w="781" w:type="pct"/>
                  <w:tcBorders>
                    <w:top w:val="single" w:color="auto" w:sz="4" w:space="0"/>
                    <w:bottom w:val="single" w:color="auto" w:sz="4" w:space="0"/>
                  </w:tcBorders>
                  <w:vAlign w:val="center"/>
                </w:tcPr>
                <w:p w14:paraId="7E9EEF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机械设备废油</w:t>
                  </w:r>
                </w:p>
              </w:tc>
              <w:tc>
                <w:tcPr>
                  <w:tcW w:w="3169" w:type="pct"/>
                  <w:tcBorders>
                    <w:top w:val="single" w:color="auto" w:sz="4" w:space="0"/>
                    <w:bottom w:val="single" w:color="auto" w:sz="4" w:space="0"/>
                  </w:tcBorders>
                  <w:vAlign w:val="center"/>
                </w:tcPr>
                <w:p w14:paraId="3252A31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机械设备产生的机械设备废油</w:t>
                  </w:r>
                  <w:r>
                    <w:rPr>
                      <w:rFonts w:hint="eastAsia"/>
                      <w:color w:val="000000" w:themeColor="text1"/>
                      <w14:textFill>
                        <w14:solidFill>
                          <w14:schemeClr w14:val="tx1"/>
                        </w14:solidFill>
                      </w14:textFill>
                    </w:rPr>
                    <w:t>集中收集暂存于危废贮存点，定期</w:t>
                  </w:r>
                  <w:r>
                    <w:rPr>
                      <w:color w:val="000000" w:themeColor="text1"/>
                      <w14:textFill>
                        <w14:solidFill>
                          <w14:schemeClr w14:val="tx1"/>
                        </w14:solidFill>
                      </w14:textFill>
                    </w:rPr>
                    <w:t>交由有资质的单位</w:t>
                  </w:r>
                  <w:r>
                    <w:rPr>
                      <w:rFonts w:hint="eastAsia"/>
                      <w:color w:val="000000" w:themeColor="text1"/>
                      <w14:textFill>
                        <w14:solidFill>
                          <w14:schemeClr w14:val="tx1"/>
                        </w14:solidFill>
                      </w14:textFill>
                    </w:rPr>
                    <w:t>清运</w:t>
                  </w:r>
                  <w:r>
                    <w:rPr>
                      <w:color w:val="000000" w:themeColor="text1"/>
                      <w14:textFill>
                        <w14:solidFill>
                          <w14:schemeClr w14:val="tx1"/>
                        </w14:solidFill>
                      </w14:textFill>
                    </w:rPr>
                    <w:t>处置。</w:t>
                  </w:r>
                </w:p>
              </w:tc>
              <w:tc>
                <w:tcPr>
                  <w:tcW w:w="451" w:type="pct"/>
                  <w:tcBorders>
                    <w:top w:val="single" w:color="auto" w:sz="4" w:space="0"/>
                    <w:bottom w:val="single" w:color="auto" w:sz="4" w:space="0"/>
                  </w:tcBorders>
                  <w:vAlign w:val="center"/>
                </w:tcPr>
                <w:p w14:paraId="2747D2E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387114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2" w:hRule="atLeast"/>
                <w:jc w:val="center"/>
              </w:trPr>
              <w:tc>
                <w:tcPr>
                  <w:tcW w:w="298" w:type="pct"/>
                  <w:vMerge w:val="continue"/>
                  <w:vAlign w:val="center"/>
                </w:tcPr>
                <w:p w14:paraId="29CC94CD">
                  <w:pPr>
                    <w:pStyle w:val="26"/>
                    <w:framePr w:hSpace="0" w:wrap="auto" w:vAnchor="margin" w:hAnchor="text" w:xAlign="left" w:yAlign="inline"/>
                    <w:rPr>
                      <w:color w:val="000000" w:themeColor="text1"/>
                      <w14:textFill>
                        <w14:solidFill>
                          <w14:schemeClr w14:val="tx1"/>
                        </w14:solidFill>
                      </w14:textFill>
                    </w:rPr>
                  </w:pPr>
                </w:p>
              </w:tc>
              <w:tc>
                <w:tcPr>
                  <w:tcW w:w="298" w:type="pct"/>
                  <w:vMerge w:val="restart"/>
                  <w:vAlign w:val="center"/>
                </w:tcPr>
                <w:p w14:paraId="2875335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生态恢复</w:t>
                  </w:r>
                </w:p>
              </w:tc>
              <w:tc>
                <w:tcPr>
                  <w:tcW w:w="781" w:type="pct"/>
                  <w:vAlign w:val="center"/>
                </w:tcPr>
                <w:p w14:paraId="333EA92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井场、生活营地</w:t>
                  </w:r>
                </w:p>
              </w:tc>
              <w:tc>
                <w:tcPr>
                  <w:tcW w:w="3169" w:type="pct"/>
                  <w:vAlign w:val="center"/>
                </w:tcPr>
                <w:p w14:paraId="05EB36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施工结束后，对井场和生活营地进行平整，自然恢复。</w:t>
                  </w:r>
                </w:p>
              </w:tc>
              <w:tc>
                <w:tcPr>
                  <w:tcW w:w="451" w:type="pct"/>
                  <w:vAlign w:val="center"/>
                </w:tcPr>
                <w:p w14:paraId="2BA01C79">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28643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2" w:hRule="atLeast"/>
                <w:jc w:val="center"/>
              </w:trPr>
              <w:tc>
                <w:tcPr>
                  <w:tcW w:w="298" w:type="pct"/>
                  <w:vMerge w:val="continue"/>
                  <w:vAlign w:val="center"/>
                </w:tcPr>
                <w:p w14:paraId="65338FC2">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061EEDEE">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6B9A7EE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井口、临时道路</w:t>
                  </w:r>
                </w:p>
              </w:tc>
              <w:tc>
                <w:tcPr>
                  <w:tcW w:w="3169" w:type="pct"/>
                  <w:vAlign w:val="center"/>
                </w:tcPr>
                <w:p w14:paraId="210259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试油结束后视试油结果决定是否转为生产井，若转为生产井，则应当在产能开发建设前开展环境影响评价工作，井口安装采油树，临时道路保留；若不具开发价值，井口进行封井，临时道路进行平整，自然恢复。</w:t>
                  </w:r>
                </w:p>
              </w:tc>
              <w:tc>
                <w:tcPr>
                  <w:tcW w:w="451" w:type="pct"/>
                  <w:vAlign w:val="center"/>
                </w:tcPr>
                <w:p w14:paraId="7222F7B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BB2E6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restart"/>
                  <w:tcBorders>
                    <w:right w:val="single" w:color="auto" w:sz="4" w:space="0"/>
                  </w:tcBorders>
                  <w:vAlign w:val="center"/>
                </w:tcPr>
                <w:p w14:paraId="33E325E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依托工程</w:t>
                  </w:r>
                </w:p>
              </w:tc>
              <w:tc>
                <w:tcPr>
                  <w:tcW w:w="1080" w:type="pct"/>
                  <w:gridSpan w:val="2"/>
                  <w:tcBorders>
                    <w:left w:val="single" w:color="auto" w:sz="4" w:space="0"/>
                  </w:tcBorders>
                  <w:vAlign w:val="center"/>
                </w:tcPr>
                <w:p w14:paraId="2C31C50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吉康脱水站</w:t>
                  </w:r>
                </w:p>
              </w:tc>
              <w:tc>
                <w:tcPr>
                  <w:tcW w:w="3169" w:type="pct"/>
                  <w:vAlign w:val="center"/>
                </w:tcPr>
                <w:p w14:paraId="0C6009D7">
                  <w:pPr>
                    <w:spacing w:line="240" w:lineRule="auto"/>
                    <w:ind w:firstLine="0" w:firstLineChars="0"/>
                    <w:rPr>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吉康脱水站</w:t>
                  </w:r>
                  <w:r>
                    <w:rPr>
                      <w:color w:val="000000" w:themeColor="text1"/>
                      <w:sz w:val="21"/>
                      <w:szCs w:val="21"/>
                      <w14:textFill>
                        <w14:solidFill>
                          <w14:schemeClr w14:val="tx1"/>
                        </w14:solidFill>
                      </w14:textFill>
                    </w:rPr>
                    <w:t>采出水处理系统设计处理规模2</w:t>
                  </w:r>
                  <w:r>
                    <w:rPr>
                      <w:rFonts w:hint="eastAsia"/>
                      <w:color w:val="000000" w:themeColor="text1"/>
                      <w:sz w:val="21"/>
                      <w:szCs w:val="21"/>
                      <w14:textFill>
                        <w14:solidFill>
                          <w14:schemeClr w14:val="tx1"/>
                        </w14:solidFill>
                      </w14:textFill>
                    </w:rPr>
                    <w:t>0</w:t>
                  </w:r>
                  <w:r>
                    <w:rPr>
                      <w:color w:val="000000" w:themeColor="text1"/>
                      <w:sz w:val="21"/>
                      <w:szCs w:val="21"/>
                      <w14:textFill>
                        <w14:solidFill>
                          <w14:schemeClr w14:val="tx1"/>
                        </w14:solidFill>
                      </w14:textFill>
                    </w:rPr>
                    <w:t>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/d，目前实际日处理量约</w:t>
                  </w:r>
                  <w:r>
                    <w:rPr>
                      <w:rFonts w:hint="eastAsia"/>
                      <w:color w:val="000000" w:themeColor="text1"/>
                      <w:sz w:val="21"/>
                      <w:szCs w:val="21"/>
                      <w14:textFill>
                        <w14:solidFill>
                          <w14:schemeClr w14:val="tx1"/>
                        </w14:solidFill>
                      </w14:textFill>
                    </w:rPr>
                    <w:t>10</w:t>
                  </w:r>
                  <w:r>
                    <w:rPr>
                      <w:color w:val="000000" w:themeColor="text1"/>
                      <w:sz w:val="21"/>
                      <w:szCs w:val="21"/>
                      <w14:textFill>
                        <w14:solidFill>
                          <w14:schemeClr w14:val="tx1"/>
                        </w14:solidFill>
                      </w14:textFill>
                    </w:rPr>
                    <w:t>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/d，富余处理能力为</w:t>
                  </w:r>
                  <w:r>
                    <w:rPr>
                      <w:rFonts w:hint="eastAsia"/>
                      <w:color w:val="000000" w:themeColor="text1"/>
                      <w:sz w:val="21"/>
                      <w:szCs w:val="21"/>
                      <w14:textFill>
                        <w14:solidFill>
                          <w14:schemeClr w14:val="tx1"/>
                        </w14:solidFill>
                      </w14:textFill>
                    </w:rPr>
                    <w:t>10</w:t>
                  </w:r>
                  <w:r>
                    <w:rPr>
                      <w:color w:val="000000" w:themeColor="text1"/>
                      <w:sz w:val="21"/>
                      <w:szCs w:val="21"/>
                      <w14:textFill>
                        <w14:solidFill>
                          <w14:schemeClr w14:val="tx1"/>
                        </w14:solidFill>
                      </w14:textFill>
                    </w:rPr>
                    <w:t>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/d，本项目的井下作业</w:t>
                  </w:r>
                  <w:r>
                    <w:rPr>
                      <w:rFonts w:hint="eastAsia"/>
                      <w:color w:val="000000" w:themeColor="text1"/>
                      <w:sz w:val="21"/>
                      <w:szCs w:val="21"/>
                      <w14:textFill>
                        <w14:solidFill>
                          <w14:schemeClr w14:val="tx1"/>
                        </w14:solidFill>
                      </w14:textFill>
                    </w:rPr>
                    <w:t>洗井</w:t>
                  </w:r>
                  <w:r>
                    <w:rPr>
                      <w:color w:val="000000" w:themeColor="text1"/>
                      <w:sz w:val="21"/>
                      <w:szCs w:val="21"/>
                      <w14:textFill>
                        <w14:solidFill>
                          <w14:schemeClr w14:val="tx1"/>
                        </w14:solidFill>
                      </w14:textFill>
                    </w:rPr>
                    <w:t>废水产生量约</w:t>
                  </w:r>
                  <w:r>
                    <w:rPr>
                      <w:rFonts w:hint="eastAsia"/>
                      <w:color w:val="000000" w:themeColor="text1"/>
                      <w:sz w:val="21"/>
                      <w:szCs w:val="21"/>
                      <w14:textFill>
                        <w14:solidFill>
                          <w14:schemeClr w14:val="tx1"/>
                        </w14:solidFill>
                      </w14:textFill>
                    </w:rPr>
                    <w:t>108.52</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/次，压裂返排液产生量约为</w:t>
                  </w:r>
                  <w:r>
                    <w:rPr>
                      <w:rFonts w:hint="eastAsia"/>
                      <w:color w:val="000000" w:themeColor="text1"/>
                      <w:sz w:val="21"/>
                      <w:szCs w:val="21"/>
                      <w14:textFill>
                        <w14:solidFill>
                          <w14:schemeClr w14:val="tx1"/>
                        </w14:solidFill>
                      </w14:textFill>
                    </w:rPr>
                    <w:t>612.84</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/次。井下作业废水和压裂返排液用专用罐车拉运至</w:t>
                  </w:r>
                  <w:r>
                    <w:rPr>
                      <w:rFonts w:hint="eastAsia"/>
                      <w:color w:val="000000" w:themeColor="text1"/>
                      <w:sz w:val="21"/>
                      <w:szCs w:val="21"/>
                      <w14:textFill>
                        <w14:solidFill>
                          <w14:schemeClr w14:val="tx1"/>
                        </w14:solidFill>
                      </w14:textFill>
                    </w:rPr>
                    <w:t>吉康脱水站</w:t>
                  </w:r>
                  <w:r>
                    <w:rPr>
                      <w:color w:val="000000" w:themeColor="text1"/>
                      <w:sz w:val="21"/>
                      <w:szCs w:val="21"/>
                      <w14:textFill>
                        <w14:solidFill>
                          <w14:schemeClr w14:val="tx1"/>
                        </w14:solidFill>
                      </w14:textFill>
                    </w:rPr>
                    <w:t>污水处理系统处理，依托可行。</w:t>
                  </w:r>
                </w:p>
              </w:tc>
              <w:tc>
                <w:tcPr>
                  <w:tcW w:w="451" w:type="pct"/>
                  <w:vAlign w:val="center"/>
                </w:tcPr>
                <w:p w14:paraId="5B663959">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依托</w:t>
                  </w:r>
                </w:p>
              </w:tc>
            </w:tr>
            <w:tr w14:paraId="60CA09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tcBorders>
                    <w:right w:val="single" w:color="auto" w:sz="4" w:space="0"/>
                  </w:tcBorders>
                  <w:vAlign w:val="center"/>
                </w:tcPr>
                <w:p w14:paraId="19481813">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left w:val="single" w:color="auto" w:sz="4" w:space="0"/>
                  </w:tcBorders>
                  <w:vAlign w:val="center"/>
                </w:tcPr>
                <w:p w14:paraId="7DD03E61">
                  <w:pPr>
                    <w:pStyle w:val="26"/>
                    <w:framePr w:hSpace="0" w:wrap="auto" w:vAnchor="margin" w:hAnchor="text" w:xAlign="left" w:yAlign="inline"/>
                    <w:rPr>
                      <w:color w:val="000000" w:themeColor="text1"/>
                      <w:highlight w:val="yellow"/>
                      <w:lang w:val="zh-CN"/>
                      <w14:textFill>
                        <w14:solidFill>
                          <w14:schemeClr w14:val="tx1"/>
                        </w14:solidFill>
                      </w14:textFill>
                    </w:rPr>
                  </w:pPr>
                  <w:r>
                    <w:rPr>
                      <w:rFonts w:hint="eastAsia"/>
                      <w:color w:val="000000" w:themeColor="text1"/>
                      <w14:textFill>
                        <w14:solidFill>
                          <w14:schemeClr w14:val="tx1"/>
                        </w14:solidFill>
                      </w14:textFill>
                    </w:rPr>
                    <w:t>吉木萨尔县污水处理厂</w:t>
                  </w:r>
                </w:p>
              </w:tc>
              <w:tc>
                <w:tcPr>
                  <w:tcW w:w="3169" w:type="pct"/>
                  <w:vAlign w:val="center"/>
                </w:tcPr>
                <w:p w14:paraId="38F6194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吉木萨尔县污水处理厂采用</w:t>
                  </w:r>
                  <w:r>
                    <w:rPr>
                      <w:rFonts w:hint="eastAsia" w:hAnsi="宋体" w:cs="宋体"/>
                      <w:color w:val="000000" w:themeColor="text1"/>
                      <w:sz w:val="21"/>
                      <w:szCs w:val="21"/>
                      <w14:textFill>
                        <w14:solidFill>
                          <w14:schemeClr w14:val="tx1"/>
                        </w14:solidFill>
                      </w14:textFill>
                    </w:rPr>
                    <w:t>“强</w:t>
                  </w:r>
                  <w:r>
                    <w:rPr>
                      <w:color w:val="000000" w:themeColor="text1"/>
                      <w:sz w:val="21"/>
                      <w:szCs w:val="21"/>
                      <w14:textFill>
                        <w14:solidFill>
                          <w14:schemeClr w14:val="tx1"/>
                        </w14:solidFill>
                      </w14:textFill>
                    </w:rPr>
                    <w:t>化脱氮改良A</w:t>
                  </w:r>
                  <w:r>
                    <w:rPr>
                      <w:color w:val="000000" w:themeColor="text1"/>
                      <w:sz w:val="21"/>
                      <w:szCs w:val="21"/>
                      <w:vertAlign w:val="superscript"/>
                      <w14:textFill>
                        <w14:solidFill>
                          <w14:schemeClr w14:val="tx1"/>
                        </w14:solidFill>
                      </w14:textFill>
                    </w:rPr>
                    <w:t>2</w:t>
                  </w:r>
                  <w:r>
                    <w:rPr>
                      <w:color w:val="000000" w:themeColor="text1"/>
                      <w:sz w:val="21"/>
                      <w:szCs w:val="21"/>
                      <w14:textFill>
                        <w14:solidFill>
                          <w14:schemeClr w14:val="tx1"/>
                        </w14:solidFill>
                      </w14:textFill>
                    </w:rPr>
                    <w:t>/O</w:t>
                  </w:r>
                  <w:r>
                    <w:rPr>
                      <w:color w:val="000000" w:themeColor="text1"/>
                      <w:sz w:val="21"/>
                      <w:szCs w:val="21"/>
                      <w:vertAlign w:val="superscript"/>
                      <w14:textFill>
                        <w14:solidFill>
                          <w14:schemeClr w14:val="tx1"/>
                        </w14:solidFill>
                      </w14:textFill>
                    </w:rPr>
                    <w:t>+</w:t>
                  </w:r>
                  <w:r>
                    <w:rPr>
                      <w:color w:val="000000" w:themeColor="text1"/>
                      <w:sz w:val="21"/>
                      <w:szCs w:val="21"/>
                      <w14:textFill>
                        <w14:solidFill>
                          <w14:schemeClr w14:val="tx1"/>
                        </w14:solidFill>
                      </w14:textFill>
                    </w:rPr>
                    <w:t>絮凝沉淀滤布滤池工</w:t>
                  </w:r>
                  <w:r>
                    <w:rPr>
                      <w:rFonts w:hint="eastAsia" w:hAnsi="宋体" w:cs="宋体"/>
                      <w:color w:val="000000" w:themeColor="text1"/>
                      <w:sz w:val="21"/>
                      <w:szCs w:val="21"/>
                      <w14:textFill>
                        <w14:solidFill>
                          <w14:schemeClr w14:val="tx1"/>
                        </w14:solidFill>
                      </w14:textFill>
                    </w:rPr>
                    <w:t>艺”处</w:t>
                  </w:r>
                  <w:r>
                    <w:rPr>
                      <w:color w:val="000000" w:themeColor="text1"/>
                      <w:sz w:val="21"/>
                      <w:szCs w:val="21"/>
                      <w14:textFill>
                        <w14:solidFill>
                          <w14:schemeClr w14:val="tx1"/>
                        </w14:solidFill>
                      </w14:textFill>
                    </w:rPr>
                    <w:t>理工艺，各项污染物日均值浓度均符合《城镇污水处理厂污染物排放标准》（GB18918-2002）中的一级A标准的要求。设计处理能力30000m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/d，目前实际建设规模为处理污水量10000m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/d。本项目</w:t>
                  </w:r>
                  <w:r>
                    <w:rPr>
                      <w:rFonts w:hint="eastAsia"/>
                      <w:color w:val="000000" w:themeColor="text1"/>
                      <w:sz w:val="21"/>
                      <w:szCs w:val="21"/>
                      <w14:textFill>
                        <w14:solidFill>
                          <w14:schemeClr w14:val="tx1"/>
                        </w14:solidFill>
                      </w14:textFill>
                    </w:rPr>
                    <w:t>钻井期</w:t>
                  </w:r>
                  <w:r>
                    <w:rPr>
                      <w:color w:val="000000" w:themeColor="text1"/>
                      <w:sz w:val="21"/>
                      <w:szCs w:val="21"/>
                      <w14:textFill>
                        <w14:solidFill>
                          <w14:schemeClr w14:val="tx1"/>
                        </w14:solidFill>
                      </w14:textFill>
                    </w:rPr>
                    <w:t>新增生活污水量</w:t>
                  </w:r>
                  <w:r>
                    <w:rPr>
                      <w:rFonts w:hint="eastAsia"/>
                      <w:color w:val="000000" w:themeColor="text1"/>
                      <w:sz w:val="21"/>
                      <w:szCs w:val="21"/>
                      <w14:textFill>
                        <w14:solidFill>
                          <w14:schemeClr w14:val="tx1"/>
                        </w14:solidFill>
                      </w14:textFill>
                    </w:rPr>
                    <w:t>总计248.6m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，新增生活污水量0.84</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/d，占污水处理厂实际处理能力比例很小，项目生活污水处理方案依托可行。</w:t>
                  </w:r>
                </w:p>
              </w:tc>
              <w:tc>
                <w:tcPr>
                  <w:tcW w:w="451" w:type="pct"/>
                  <w:vAlign w:val="center"/>
                </w:tcPr>
                <w:p w14:paraId="5433C2EE">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依托</w:t>
                  </w:r>
                </w:p>
              </w:tc>
            </w:tr>
            <w:tr w14:paraId="25924D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tcBorders>
                    <w:right w:val="single" w:color="auto" w:sz="4" w:space="0"/>
                  </w:tcBorders>
                  <w:vAlign w:val="center"/>
                </w:tcPr>
                <w:p w14:paraId="41C8AF27">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left w:val="single" w:color="auto" w:sz="4" w:space="0"/>
                  </w:tcBorders>
                  <w:vAlign w:val="center"/>
                </w:tcPr>
                <w:p w14:paraId="4AF436B2">
                  <w:pPr>
                    <w:pStyle w:val="26"/>
                    <w:framePr w:hSpace="0" w:wrap="auto" w:vAnchor="margin" w:hAnchor="text" w:xAlign="left" w:yAlign="inline"/>
                    <w:rPr>
                      <w:color w:val="000000" w:themeColor="text1"/>
                      <w:highlight w:val="yellow"/>
                      <w:lang w:val="zh-CN"/>
                      <w14:textFill>
                        <w14:solidFill>
                          <w14:schemeClr w14:val="tx1"/>
                        </w14:solidFill>
                      </w14:textFill>
                    </w:rPr>
                  </w:pPr>
                  <w:r>
                    <w:rPr>
                      <w:rFonts w:hint="eastAsia"/>
                      <w:color w:val="000000" w:themeColor="text1"/>
                      <w14:textFill>
                        <w14:solidFill>
                          <w14:schemeClr w14:val="tx1"/>
                        </w14:solidFill>
                      </w14:textFill>
                    </w:rPr>
                    <w:t>吉木萨尔县生活垃圾填埋场</w:t>
                  </w:r>
                </w:p>
              </w:tc>
              <w:tc>
                <w:tcPr>
                  <w:tcW w:w="3169" w:type="pct"/>
                  <w:vAlign w:val="center"/>
                </w:tcPr>
                <w:p w14:paraId="15E3281A">
                  <w:pPr>
                    <w:widowControl/>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吉木萨尔县生活垃圾填埋场</w:t>
                  </w:r>
                  <w:r>
                    <w:rPr>
                      <w:color w:val="000000" w:themeColor="text1"/>
                      <w:kern w:val="0"/>
                      <w:sz w:val="21"/>
                      <w:szCs w:val="21"/>
                      <w:lang w:bidi="ar"/>
                      <w14:textFill>
                        <w14:solidFill>
                          <w14:schemeClr w14:val="tx1"/>
                        </w14:solidFill>
                      </w14:textFill>
                    </w:rPr>
                    <w:t>生活垃圾清运处理量100t/d。有效库容63万m</w:t>
                  </w:r>
                  <w:r>
                    <w:rPr>
                      <w:color w:val="000000" w:themeColor="text1"/>
                      <w:kern w:val="0"/>
                      <w:sz w:val="21"/>
                      <w:szCs w:val="21"/>
                      <w:vertAlign w:val="superscript"/>
                      <w:lang w:bidi="ar"/>
                      <w14:textFill>
                        <w14:solidFill>
                          <w14:schemeClr w14:val="tx1"/>
                        </w14:solidFill>
                      </w14:textFill>
                    </w:rPr>
                    <w:t>3</w:t>
                  </w:r>
                  <w:r>
                    <w:rPr>
                      <w:color w:val="000000" w:themeColor="text1"/>
                      <w:kern w:val="0"/>
                      <w:sz w:val="21"/>
                      <w:szCs w:val="21"/>
                      <w:lang w:bidi="ar"/>
                      <w14:textFill>
                        <w14:solidFill>
                          <w14:schemeClr w14:val="tx1"/>
                        </w14:solidFill>
                      </w14:textFill>
                    </w:rPr>
                    <w:t>，服务年限11年，处理工艺为卫生填埋，渗滤液经场底收集系统排至渗滤液收集池，经处理后回喷垃圾堆体；填埋气经导气石笼收集后导出。填埋场底部和边坡采取严格防渗的设计方案。本项目钻井期产生的生活垃圾总量约</w:t>
                  </w:r>
                  <w:r>
                    <w:rPr>
                      <w:rFonts w:hint="eastAsia"/>
                      <w:color w:val="000000" w:themeColor="text1"/>
                      <w:kern w:val="0"/>
                      <w:sz w:val="21"/>
                      <w:szCs w:val="21"/>
                      <w:lang w:bidi="ar"/>
                      <w14:textFill>
                        <w14:solidFill>
                          <w14:schemeClr w14:val="tx1"/>
                        </w14:solidFill>
                      </w14:textFill>
                    </w:rPr>
                    <w:t>6.30</w:t>
                  </w:r>
                  <w:r>
                    <w:rPr>
                      <w:color w:val="000000" w:themeColor="text1"/>
                      <w:kern w:val="0"/>
                      <w:sz w:val="21"/>
                      <w:szCs w:val="21"/>
                      <w:lang w:bidi="ar"/>
                      <w14:textFill>
                        <w14:solidFill>
                          <w14:schemeClr w14:val="tx1"/>
                        </w14:solidFill>
                      </w14:textFill>
                    </w:rPr>
                    <w:t>t</w:t>
                  </w:r>
                  <w:r>
                    <w:rPr>
                      <w:rFonts w:hint="eastAsia"/>
                      <w:color w:val="000000" w:themeColor="text1"/>
                      <w:kern w:val="0"/>
                      <w:sz w:val="21"/>
                      <w:szCs w:val="21"/>
                      <w:lang w:bidi="ar"/>
                      <w14:textFill>
                        <w14:solidFill>
                          <w14:schemeClr w14:val="tx1"/>
                        </w14:solidFill>
                      </w14:textFill>
                    </w:rPr>
                    <w:t>，</w:t>
                  </w:r>
                  <w:r>
                    <w:rPr>
                      <w:color w:val="000000" w:themeColor="text1"/>
                      <w:kern w:val="0"/>
                      <w:sz w:val="21"/>
                      <w:szCs w:val="21"/>
                      <w:lang w:bidi="ar"/>
                      <w14:textFill>
                        <w14:solidFill>
                          <w14:schemeClr w14:val="tx1"/>
                        </w14:solidFill>
                      </w14:textFill>
                    </w:rPr>
                    <w:t>在井场及生活营地分别</w:t>
                  </w:r>
                  <w:r>
                    <w:rPr>
                      <w:rFonts w:hint="eastAsia"/>
                      <w:color w:val="000000" w:themeColor="text1"/>
                      <w:kern w:val="0"/>
                      <w:sz w:val="21"/>
                      <w:szCs w:val="21"/>
                      <w:lang w:bidi="ar"/>
                      <w14:textFill>
                        <w14:solidFill>
                          <w14:schemeClr w14:val="tx1"/>
                        </w14:solidFill>
                      </w14:textFill>
                    </w:rPr>
                    <w:t>设置</w:t>
                  </w:r>
                  <w:r>
                    <w:rPr>
                      <w:color w:val="000000" w:themeColor="text1"/>
                      <w:kern w:val="0"/>
                      <w:sz w:val="21"/>
                      <w:szCs w:val="21"/>
                      <w:lang w:bidi="ar"/>
                      <w14:textFill>
                        <w14:solidFill>
                          <w14:schemeClr w14:val="tx1"/>
                        </w14:solidFill>
                      </w14:textFill>
                    </w:rPr>
                    <w:t>生活垃圾收集箱，集中收集后送至吉木萨尔县生活垃圾填埋场填埋处置。本项目生活垃圾产生量占生活垃圾填埋场处理能力比例很小，根据调查，吉木萨尔县生活垃圾填埋场正常运行，生活垃圾处理依托方案可行。</w:t>
                  </w:r>
                </w:p>
              </w:tc>
              <w:tc>
                <w:tcPr>
                  <w:tcW w:w="451" w:type="pct"/>
                  <w:vAlign w:val="center"/>
                </w:tcPr>
                <w:p w14:paraId="46863454">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依托</w:t>
                  </w:r>
                </w:p>
              </w:tc>
            </w:tr>
            <w:tr w14:paraId="288CD1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tcBorders>
                    <w:right w:val="single" w:color="auto" w:sz="4" w:space="0"/>
                  </w:tcBorders>
                  <w:vAlign w:val="center"/>
                </w:tcPr>
                <w:p w14:paraId="78C3C3D9">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left w:val="single" w:color="auto" w:sz="4" w:space="0"/>
                    <w:bottom w:val="single" w:color="auto" w:sz="4" w:space="0"/>
                  </w:tcBorders>
                  <w:vAlign w:val="center"/>
                </w:tcPr>
                <w:p w14:paraId="093D64BB">
                  <w:pPr>
                    <w:spacing w:line="240" w:lineRule="auto"/>
                    <w:ind w:firstLine="0" w:firstLineChars="0"/>
                    <w:rPr>
                      <w:color w:val="000000" w:themeColor="text1"/>
                      <w14:textFill>
                        <w14:solidFill>
                          <w14:schemeClr w14:val="tx1"/>
                        </w14:solidFill>
                      </w14:textFill>
                    </w:rPr>
                  </w:pPr>
                  <w:r>
                    <w:rPr>
                      <w:rFonts w:ascii="宋体" w:hAnsi="宋体" w:cs="宋体"/>
                      <w:color w:val="000000" w:themeColor="text1"/>
                      <w:kern w:val="0"/>
                      <w:sz w:val="21"/>
                      <w:szCs w:val="21"/>
                      <w14:textFill>
                        <w14:solidFill>
                          <w14:schemeClr w14:val="tx1"/>
                        </w14:solidFill>
                      </w14:textFill>
                    </w:rPr>
                    <w:t>新疆中建环能北庭环保科技有限公司</w:t>
                  </w:r>
                </w:p>
              </w:tc>
              <w:tc>
                <w:tcPr>
                  <w:tcW w:w="3169" w:type="pct"/>
                  <w:tcBorders>
                    <w:bottom w:val="single" w:color="auto" w:sz="4" w:space="0"/>
                  </w:tcBorders>
                  <w:vAlign w:val="center"/>
                </w:tcPr>
                <w:p w14:paraId="134E0804">
                  <w:pPr>
                    <w:pStyle w:val="15"/>
                    <w:spacing w:line="240" w:lineRule="auto"/>
                    <w:ind w:firstLine="0" w:firstLineChars="0"/>
                    <w:rPr>
                      <w:rFonts w:hint="eastAsia"/>
                      <w:color w:val="000000" w:themeColor="text1"/>
                      <w:sz w:val="21"/>
                      <w:szCs w:val="21"/>
                      <w14:textFill>
                        <w14:solidFill>
                          <w14:schemeClr w14:val="tx1"/>
                        </w14:solidFill>
                      </w14:textFill>
                    </w:rPr>
                  </w:pPr>
                  <w:r>
                    <w:rPr>
                      <w:rFonts w:ascii="宋体" w:eastAsia="宋体" w:cs="宋体"/>
                      <w:color w:val="000000" w:themeColor="text1"/>
                      <w:kern w:val="0"/>
                      <w:sz w:val="21"/>
                      <w:szCs w:val="21"/>
                      <w14:textFill>
                        <w14:solidFill>
                          <w14:schemeClr w14:val="tx1"/>
                        </w14:solidFill>
                      </w14:textFill>
                    </w:rPr>
                    <w:t>新疆中建环能北庭环保科技有限公司采用热相分离工艺年处理油基岩屑、含油污泥、油泥渣</w:t>
                  </w:r>
                  <w:r>
                    <w:rPr>
                      <w:rFonts w:ascii="Times New Roman" w:hAnsi="Times New Roman" w:eastAsia="宋体"/>
                      <w:color w:val="000000" w:themeColor="text1"/>
                      <w:kern w:val="0"/>
                      <w:sz w:val="21"/>
                      <w:szCs w:val="21"/>
                      <w14:textFill>
                        <w14:solidFill>
                          <w14:schemeClr w14:val="tx1"/>
                        </w14:solidFill>
                      </w14:textFill>
                    </w:rPr>
                    <w:t>20</w:t>
                  </w:r>
                  <w:r>
                    <w:rPr>
                      <w:rFonts w:ascii="宋体" w:eastAsia="宋体" w:cs="宋体"/>
                      <w:color w:val="000000" w:themeColor="text1"/>
                      <w:kern w:val="0"/>
                      <w:sz w:val="21"/>
                      <w:szCs w:val="21"/>
                      <w14:textFill>
                        <w14:solidFill>
                          <w14:schemeClr w14:val="tx1"/>
                        </w14:solidFill>
                      </w14:textFill>
                    </w:rPr>
                    <w:t>万吨。</w:t>
                  </w:r>
                  <w:r>
                    <w:rPr>
                      <w:rFonts w:hint="eastAsia" w:ascii="Times New Roman" w:hAnsi="Times New Roman" w:eastAsia="宋体"/>
                      <w:color w:val="000000" w:themeColor="text1"/>
                      <w:sz w:val="21"/>
                      <w:szCs w:val="21"/>
                      <w14:textFill>
                        <w14:solidFill>
                          <w14:schemeClr w14:val="tx1"/>
                        </w14:solidFill>
                      </w14:textFill>
                    </w:rPr>
                    <w:t>新疆中建环能北庭环保科技有限公司日处理量为547.95t/d，本项目危险废物的产生量约为20.31t/d，仅占新疆中建环能北庭环保科技有限公司含油危险废弃物处理能力的3.76%，依托可行。</w:t>
                  </w:r>
                </w:p>
              </w:tc>
              <w:tc>
                <w:tcPr>
                  <w:tcW w:w="451" w:type="pct"/>
                  <w:tcBorders>
                    <w:bottom w:val="single" w:color="auto" w:sz="4" w:space="0"/>
                  </w:tcBorders>
                  <w:vAlign w:val="center"/>
                </w:tcPr>
                <w:p w14:paraId="33965021">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依托</w:t>
                  </w:r>
                </w:p>
              </w:tc>
            </w:tr>
          </w:tbl>
          <w:p w14:paraId="3D41F80D">
            <w:pPr>
              <w:keepNext/>
              <w:keepLines/>
              <w:ind w:firstLine="0" w:firstLineChars="0"/>
              <w:jc w:val="left"/>
              <w:outlineLvl w:val="1"/>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3 技术经济指标</w:t>
            </w:r>
          </w:p>
          <w:p w14:paraId="26D5EDDB">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本项目主要经济技术指标见表2-</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w:t>
            </w:r>
          </w:p>
          <w:p w14:paraId="7812A9F2">
            <w:pPr>
              <w:ind w:firstLine="422"/>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表2-</w:t>
            </w:r>
            <w:r>
              <w:rPr>
                <w:rFonts w:hint="eastAsia"/>
                <w:b/>
                <w:bCs/>
                <w:color w:val="000000" w:themeColor="text1"/>
                <w:kern w:val="0"/>
                <w:sz w:val="21"/>
                <w:szCs w:val="21"/>
                <w14:textFill>
                  <w14:solidFill>
                    <w14:schemeClr w14:val="tx1"/>
                  </w14:solidFill>
                </w14:textFill>
              </w:rPr>
              <w:t>3</w:t>
            </w:r>
            <w:r>
              <w:rPr>
                <w:b/>
                <w:bCs/>
                <w:color w:val="000000" w:themeColor="text1"/>
                <w:kern w:val="0"/>
                <w:sz w:val="21"/>
                <w:szCs w:val="21"/>
                <w14:textFill>
                  <w14:solidFill>
                    <w14:schemeClr w14:val="tx1"/>
                  </w14:solidFill>
                </w14:textFill>
              </w:rPr>
              <w:t xml:space="preserve">  本项目主要经济技术指标表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333"/>
              <w:gridCol w:w="1951"/>
              <w:gridCol w:w="1951"/>
              <w:gridCol w:w="1779"/>
            </w:tblGrid>
            <w:tr w14:paraId="4EDE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pct"/>
                  <w:vAlign w:val="center"/>
                </w:tcPr>
                <w:p w14:paraId="7F0E9C6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004" w:type="pct"/>
                  <w:gridSpan w:val="2"/>
                  <w:vAlign w:val="center"/>
                </w:tcPr>
                <w:p w14:paraId="6E920BA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项目</w:t>
                  </w:r>
                </w:p>
              </w:tc>
              <w:tc>
                <w:tcPr>
                  <w:tcW w:w="1191" w:type="pct"/>
                  <w:vAlign w:val="center"/>
                </w:tcPr>
                <w:p w14:paraId="73D509F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单位</w:t>
                  </w:r>
                </w:p>
              </w:tc>
              <w:tc>
                <w:tcPr>
                  <w:tcW w:w="1086" w:type="pct"/>
                  <w:vAlign w:val="center"/>
                </w:tcPr>
                <w:p w14:paraId="4EEC008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数量</w:t>
                  </w:r>
                </w:p>
              </w:tc>
            </w:tr>
            <w:tr w14:paraId="0C6C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36D2910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004" w:type="pct"/>
                  <w:gridSpan w:val="2"/>
                  <w:vAlign w:val="center"/>
                </w:tcPr>
                <w:p w14:paraId="4712264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设计井数</w:t>
                  </w:r>
                </w:p>
              </w:tc>
              <w:tc>
                <w:tcPr>
                  <w:tcW w:w="1191" w:type="pct"/>
                  <w:vAlign w:val="center"/>
                </w:tcPr>
                <w:p w14:paraId="1E53A4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口</w:t>
                  </w:r>
                </w:p>
              </w:tc>
              <w:tc>
                <w:tcPr>
                  <w:tcW w:w="1086" w:type="pct"/>
                  <w:vAlign w:val="center"/>
                </w:tcPr>
                <w:p w14:paraId="09DD5E0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57CB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3A42267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004" w:type="pct"/>
                  <w:gridSpan w:val="2"/>
                  <w:vAlign w:val="center"/>
                </w:tcPr>
                <w:p w14:paraId="16C9D6F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水基钻井液</w:t>
                  </w:r>
                </w:p>
              </w:tc>
              <w:tc>
                <w:tcPr>
                  <w:tcW w:w="1191" w:type="pct"/>
                  <w:vAlign w:val="center"/>
                </w:tcPr>
                <w:p w14:paraId="58482BE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1086" w:type="pct"/>
                  <w:vAlign w:val="center"/>
                </w:tcPr>
                <w:p w14:paraId="63CA0268">
                  <w:pPr>
                    <w:pStyle w:val="26"/>
                    <w:framePr w:hSpace="0" w:wrap="auto" w:vAnchor="margin" w:hAnchor="text" w:xAlign="left" w:yAlign="inline"/>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1400</w:t>
                  </w:r>
                </w:p>
              </w:tc>
            </w:tr>
            <w:tr w14:paraId="49AA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284D875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2004" w:type="pct"/>
                  <w:gridSpan w:val="2"/>
                  <w:vAlign w:val="center"/>
                </w:tcPr>
                <w:p w14:paraId="414D8B1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油基钻井液</w:t>
                  </w:r>
                </w:p>
              </w:tc>
              <w:tc>
                <w:tcPr>
                  <w:tcW w:w="1191" w:type="pct"/>
                  <w:vAlign w:val="center"/>
                </w:tcPr>
                <w:p w14:paraId="56DDC89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1086" w:type="pct"/>
                  <w:vAlign w:val="center"/>
                </w:tcPr>
                <w:p w14:paraId="1564735D">
                  <w:pPr>
                    <w:pStyle w:val="26"/>
                    <w:framePr w:hSpace="0" w:wrap="auto" w:vAnchor="margin" w:hAnchor="text" w:xAlign="left" w:yAlign="inline"/>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3400</w:t>
                  </w:r>
                </w:p>
              </w:tc>
            </w:tr>
            <w:tr w14:paraId="43B1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2E084C7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2004" w:type="pct"/>
                  <w:gridSpan w:val="2"/>
                  <w:vAlign w:val="center"/>
                </w:tcPr>
                <w:p w14:paraId="0F6ADE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压裂液</w:t>
                  </w:r>
                </w:p>
              </w:tc>
              <w:tc>
                <w:tcPr>
                  <w:tcW w:w="1191" w:type="pct"/>
                  <w:vAlign w:val="center"/>
                </w:tcPr>
                <w:p w14:paraId="11EAA49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1086" w:type="pct"/>
                  <w:vAlign w:val="center"/>
                </w:tcPr>
                <w:p w14:paraId="71B83AB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1225.68</w:t>
                  </w:r>
                </w:p>
              </w:tc>
            </w:tr>
            <w:tr w14:paraId="7FA1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10A8540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2004" w:type="pct"/>
                  <w:gridSpan w:val="2"/>
                  <w:vAlign w:val="center"/>
                </w:tcPr>
                <w:p w14:paraId="24AC275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新鲜水</w:t>
                  </w:r>
                </w:p>
              </w:tc>
              <w:tc>
                <w:tcPr>
                  <w:tcW w:w="1191" w:type="pct"/>
                  <w:vAlign w:val="center"/>
                </w:tcPr>
                <w:p w14:paraId="7B6D570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1086" w:type="pct"/>
                  <w:vAlign w:val="center"/>
                </w:tcPr>
                <w:p w14:paraId="2CB039A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3032.82</w:t>
                  </w:r>
                </w:p>
              </w:tc>
            </w:tr>
            <w:tr w14:paraId="2B32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70D9633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2004" w:type="pct"/>
                  <w:gridSpan w:val="2"/>
                  <w:vAlign w:val="center"/>
                </w:tcPr>
                <w:p w14:paraId="5EBF54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w:t>
                  </w:r>
                </w:p>
              </w:tc>
              <w:tc>
                <w:tcPr>
                  <w:tcW w:w="1191" w:type="pct"/>
                  <w:vAlign w:val="center"/>
                </w:tcPr>
                <w:p w14:paraId="6D15A1C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t</w:t>
                  </w:r>
                </w:p>
              </w:tc>
              <w:tc>
                <w:tcPr>
                  <w:tcW w:w="1086" w:type="pct"/>
                  <w:vAlign w:val="center"/>
                </w:tcPr>
                <w:p w14:paraId="71ECF9A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409.2</w:t>
                  </w:r>
                </w:p>
              </w:tc>
            </w:tr>
            <w:tr w14:paraId="53F9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4C7BD81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813" w:type="pct"/>
                  <w:vMerge w:val="restart"/>
                  <w:vAlign w:val="center"/>
                </w:tcPr>
                <w:p w14:paraId="461E31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工程占地</w:t>
                  </w:r>
                </w:p>
              </w:tc>
              <w:tc>
                <w:tcPr>
                  <w:tcW w:w="1191" w:type="pct"/>
                  <w:vAlign w:val="center"/>
                </w:tcPr>
                <w:p w14:paraId="0F52E7A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永久占地</w:t>
                  </w:r>
                </w:p>
              </w:tc>
              <w:tc>
                <w:tcPr>
                  <w:tcW w:w="1191" w:type="pct"/>
                  <w:vAlign w:val="center"/>
                </w:tcPr>
                <w:p w14:paraId="7A8E590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p>
              </w:tc>
              <w:tc>
                <w:tcPr>
                  <w:tcW w:w="1086" w:type="pct"/>
                  <w:vAlign w:val="center"/>
                </w:tcPr>
                <w:p w14:paraId="41FAF79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r>
            <w:tr w14:paraId="63AF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2C34740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813" w:type="pct"/>
                  <w:vMerge w:val="continue"/>
                  <w:vAlign w:val="center"/>
                </w:tcPr>
                <w:p w14:paraId="73545BC0">
                  <w:pPr>
                    <w:pStyle w:val="26"/>
                    <w:framePr w:hSpace="0" w:wrap="auto" w:vAnchor="margin" w:hAnchor="text" w:xAlign="left" w:yAlign="inline"/>
                    <w:rPr>
                      <w:color w:val="000000" w:themeColor="text1"/>
                      <w14:textFill>
                        <w14:solidFill>
                          <w14:schemeClr w14:val="tx1"/>
                        </w14:solidFill>
                      </w14:textFill>
                    </w:rPr>
                  </w:pPr>
                </w:p>
              </w:tc>
              <w:tc>
                <w:tcPr>
                  <w:tcW w:w="1191" w:type="pct"/>
                  <w:vAlign w:val="center"/>
                </w:tcPr>
                <w:p w14:paraId="0650D6D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临时占地</w:t>
                  </w:r>
                </w:p>
              </w:tc>
              <w:tc>
                <w:tcPr>
                  <w:tcW w:w="1191" w:type="pct"/>
                  <w:vAlign w:val="center"/>
                </w:tcPr>
                <w:p w14:paraId="664E431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p>
              </w:tc>
              <w:tc>
                <w:tcPr>
                  <w:tcW w:w="1086" w:type="pct"/>
                  <w:vAlign w:val="center"/>
                </w:tcPr>
                <w:p w14:paraId="63703BB7">
                  <w:pPr>
                    <w:pStyle w:val="26"/>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29072</w:t>
                  </w:r>
                </w:p>
              </w:tc>
            </w:tr>
            <w:tr w14:paraId="7EBB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6C355E2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p>
              </w:tc>
              <w:tc>
                <w:tcPr>
                  <w:tcW w:w="2004" w:type="pct"/>
                  <w:gridSpan w:val="2"/>
                  <w:vAlign w:val="center"/>
                </w:tcPr>
                <w:p w14:paraId="5668D38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总投资</w:t>
                  </w:r>
                </w:p>
              </w:tc>
              <w:tc>
                <w:tcPr>
                  <w:tcW w:w="1191" w:type="pct"/>
                  <w:vAlign w:val="center"/>
                </w:tcPr>
                <w:p w14:paraId="0E88D80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万元</w:t>
                  </w:r>
                </w:p>
              </w:tc>
              <w:tc>
                <w:tcPr>
                  <w:tcW w:w="1086" w:type="pct"/>
                  <w:vAlign w:val="center"/>
                </w:tcPr>
                <w:p w14:paraId="32D3B45F">
                  <w:pPr>
                    <w:pStyle w:val="26"/>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15200</w:t>
                  </w:r>
                </w:p>
              </w:tc>
            </w:tr>
            <w:tr w14:paraId="5785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774677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w:t>
                  </w:r>
                </w:p>
              </w:tc>
              <w:tc>
                <w:tcPr>
                  <w:tcW w:w="2004" w:type="pct"/>
                  <w:gridSpan w:val="2"/>
                  <w:vAlign w:val="center"/>
                </w:tcPr>
                <w:p w14:paraId="6572C76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环保投资</w:t>
                  </w:r>
                </w:p>
              </w:tc>
              <w:tc>
                <w:tcPr>
                  <w:tcW w:w="1191" w:type="pct"/>
                  <w:vAlign w:val="center"/>
                </w:tcPr>
                <w:p w14:paraId="7F59EA8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万元</w:t>
                  </w:r>
                </w:p>
              </w:tc>
              <w:tc>
                <w:tcPr>
                  <w:tcW w:w="1086" w:type="pct"/>
                  <w:vAlign w:val="center"/>
                </w:tcPr>
                <w:p w14:paraId="37872AE4">
                  <w:pPr>
                    <w:pStyle w:val="26"/>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8</w:t>
                  </w:r>
                </w:p>
              </w:tc>
            </w:tr>
          </w:tbl>
          <w:p w14:paraId="2ADE8EDF">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钻井工程</w:t>
            </w:r>
          </w:p>
          <w:p w14:paraId="371BB7EF">
            <w:pPr>
              <w:pStyle w:val="3"/>
              <w:ind w:firstLine="0" w:firstLineChars="0"/>
              <w:rPr>
                <w:bCs w:val="0"/>
                <w:color w:val="000000" w:themeColor="text1"/>
                <w:szCs w:val="24"/>
                <w14:textFill>
                  <w14:solidFill>
                    <w14:schemeClr w14:val="tx1"/>
                  </w14:solidFill>
                </w14:textFill>
              </w:rPr>
            </w:pPr>
            <w:r>
              <w:rPr>
                <w:bCs w:val="0"/>
                <w:color w:val="000000" w:themeColor="text1"/>
                <w:szCs w:val="24"/>
                <w14:textFill>
                  <w14:solidFill>
                    <w14:schemeClr w14:val="tx1"/>
                  </w14:solidFill>
                </w14:textFill>
              </w:rPr>
              <w:t>4.1钻井基本参数</w:t>
            </w:r>
          </w:p>
          <w:p w14:paraId="3D6C2B22">
            <w:pPr>
              <w:ind w:firstLine="480"/>
              <w:rPr>
                <w:color w:val="000000" w:themeColor="text1"/>
                <w14:textFill>
                  <w14:solidFill>
                    <w14:schemeClr w14:val="tx1"/>
                  </w14:solidFill>
                </w14:textFill>
              </w:rPr>
            </w:pPr>
            <w:r>
              <w:rPr>
                <w:color w:val="000000" w:themeColor="text1"/>
                <w14:textFill>
                  <w14:solidFill>
                    <w14:schemeClr w14:val="tx1"/>
                  </w14:solidFill>
                </w14:textFill>
              </w:rPr>
              <w:t>本次拟钻井主要技术参数见表2-</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w:t>
            </w:r>
          </w:p>
          <w:p w14:paraId="79BF92FC">
            <w:pPr>
              <w:pStyle w:val="23"/>
              <w:rPr>
                <w:bCs/>
                <w:color w:val="000000" w:themeColor="text1"/>
                <w:kern w:val="0"/>
                <w:sz w:val="21"/>
                <w:szCs w:val="21"/>
                <w14:textFill>
                  <w14:solidFill>
                    <w14:schemeClr w14:val="tx1"/>
                  </w14:solidFill>
                </w14:textFill>
              </w:rPr>
            </w:pPr>
            <w:r>
              <w:rPr>
                <w:bCs/>
                <w:color w:val="000000" w:themeColor="text1"/>
                <w:kern w:val="0"/>
                <w:sz w:val="21"/>
                <w:szCs w:val="21"/>
                <w14:textFill>
                  <w14:solidFill>
                    <w14:schemeClr w14:val="tx1"/>
                  </w14:solidFill>
                </w14:textFill>
              </w:rPr>
              <w:t>表2-</w:t>
            </w:r>
            <w:r>
              <w:rPr>
                <w:rFonts w:hint="eastAsia"/>
                <w:bCs/>
                <w:color w:val="000000" w:themeColor="text1"/>
                <w:kern w:val="0"/>
                <w:sz w:val="21"/>
                <w:szCs w:val="21"/>
                <w14:textFill>
                  <w14:solidFill>
                    <w14:schemeClr w14:val="tx1"/>
                  </w14:solidFill>
                </w14:textFill>
              </w:rPr>
              <w:t>4</w:t>
            </w:r>
            <w:r>
              <w:rPr>
                <w:bCs/>
                <w:color w:val="000000" w:themeColor="text1"/>
                <w:kern w:val="0"/>
                <w:sz w:val="21"/>
                <w:szCs w:val="21"/>
                <w14:textFill>
                  <w14:solidFill>
                    <w14:schemeClr w14:val="tx1"/>
                  </w14:solidFill>
                </w14:textFill>
              </w:rPr>
              <w:t xml:space="preserve">  钻井基本参数</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3"/>
              <w:gridCol w:w="1578"/>
              <w:gridCol w:w="1412"/>
              <w:gridCol w:w="1149"/>
              <w:gridCol w:w="1684"/>
              <w:gridCol w:w="1516"/>
            </w:tblGrid>
            <w:tr w14:paraId="06D8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521" w:type="pct"/>
                  <w:tcMar>
                    <w:top w:w="14" w:type="dxa"/>
                    <w:left w:w="14" w:type="dxa"/>
                    <w:bottom w:w="0" w:type="dxa"/>
                    <w:right w:w="14" w:type="dxa"/>
                  </w:tcMar>
                  <w:vAlign w:val="center"/>
                </w:tcPr>
                <w:p w14:paraId="4576D35E">
                  <w:pPr>
                    <w:pStyle w:val="26"/>
                    <w:framePr w:hSpace="0" w:wrap="auto" w:vAnchor="margin" w:hAnchor="text" w:xAlign="left" w:yAlign="inline"/>
                    <w:rPr>
                      <w:b/>
                      <w:bCs/>
                      <w:color w:val="000000" w:themeColor="text1"/>
                      <w14:textFill>
                        <w14:solidFill>
                          <w14:schemeClr w14:val="tx1"/>
                        </w14:solidFill>
                      </w14:textFill>
                    </w:rPr>
                  </w:pPr>
                  <w:bookmarkStart w:id="4" w:name="_Toc13133400"/>
                  <w:r>
                    <w:rPr>
                      <w:b/>
                      <w:bCs/>
                      <w:color w:val="000000" w:themeColor="text1"/>
                      <w14:textFill>
                        <w14:solidFill>
                          <w14:schemeClr w14:val="tx1"/>
                        </w14:solidFill>
                      </w14:textFill>
                    </w:rPr>
                    <w:t>序号</w:t>
                  </w:r>
                </w:p>
              </w:tc>
              <w:tc>
                <w:tcPr>
                  <w:tcW w:w="963" w:type="pct"/>
                  <w:tcMar>
                    <w:top w:w="14" w:type="dxa"/>
                    <w:left w:w="14" w:type="dxa"/>
                    <w:bottom w:w="0" w:type="dxa"/>
                    <w:right w:w="14" w:type="dxa"/>
                  </w:tcMar>
                  <w:vAlign w:val="center"/>
                </w:tcPr>
                <w:p w14:paraId="7A97A6D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井号</w:t>
                  </w:r>
                </w:p>
              </w:tc>
              <w:tc>
                <w:tcPr>
                  <w:tcW w:w="861" w:type="pct"/>
                  <w:tcMar>
                    <w:top w:w="14" w:type="dxa"/>
                    <w:left w:w="14" w:type="dxa"/>
                    <w:bottom w:w="0" w:type="dxa"/>
                    <w:right w:w="14" w:type="dxa"/>
                  </w:tcMar>
                  <w:vAlign w:val="center"/>
                </w:tcPr>
                <w:p w14:paraId="26E99E2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井型</w:t>
                  </w:r>
                </w:p>
              </w:tc>
              <w:tc>
                <w:tcPr>
                  <w:tcW w:w="701" w:type="pct"/>
                  <w:tcMar>
                    <w:top w:w="14" w:type="dxa"/>
                    <w:left w:w="14" w:type="dxa"/>
                    <w:bottom w:w="0" w:type="dxa"/>
                    <w:right w:w="14" w:type="dxa"/>
                  </w:tcMar>
                  <w:vAlign w:val="center"/>
                </w:tcPr>
                <w:p w14:paraId="6B65937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井身结构</w:t>
                  </w:r>
                </w:p>
              </w:tc>
              <w:tc>
                <w:tcPr>
                  <w:tcW w:w="1027" w:type="pct"/>
                  <w:tcMar>
                    <w:top w:w="14" w:type="dxa"/>
                    <w:left w:w="14" w:type="dxa"/>
                    <w:bottom w:w="0" w:type="dxa"/>
                    <w:right w:w="14" w:type="dxa"/>
                  </w:tcMar>
                  <w:vAlign w:val="center"/>
                </w:tcPr>
                <w:p w14:paraId="32D8014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设计井深（m）</w:t>
                  </w:r>
                </w:p>
              </w:tc>
              <w:tc>
                <w:tcPr>
                  <w:tcW w:w="924" w:type="pct"/>
                  <w:tcMar>
                    <w:top w:w="14" w:type="dxa"/>
                    <w:left w:w="14" w:type="dxa"/>
                    <w:bottom w:w="0" w:type="dxa"/>
                    <w:right w:w="14" w:type="dxa"/>
                  </w:tcMar>
                  <w:vAlign w:val="center"/>
                </w:tcPr>
                <w:p w14:paraId="23B58C6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钻井时间（d）</w:t>
                  </w:r>
                </w:p>
              </w:tc>
            </w:tr>
            <w:tr w14:paraId="1CAC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21" w:type="pct"/>
                  <w:tcMar>
                    <w:top w:w="14" w:type="dxa"/>
                    <w:left w:w="14" w:type="dxa"/>
                    <w:bottom w:w="0" w:type="dxa"/>
                    <w:right w:w="14" w:type="dxa"/>
                  </w:tcMar>
                  <w:vAlign w:val="center"/>
                </w:tcPr>
                <w:p w14:paraId="33BCFA3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963" w:type="pct"/>
                  <w:tcMar>
                    <w:top w:w="14" w:type="dxa"/>
                    <w:left w:w="14" w:type="dxa"/>
                    <w:bottom w:w="0" w:type="dxa"/>
                    <w:right w:w="14" w:type="dxa"/>
                  </w:tcMar>
                  <w:vAlign w:val="center"/>
                </w:tcPr>
                <w:p w14:paraId="73D7FD13">
                  <w:pPr>
                    <w:widowControl/>
                    <w:spacing w:line="240" w:lineRule="auto"/>
                    <w:ind w:firstLine="0" w:firstLineChars="0"/>
                    <w:jc w:val="center"/>
                    <w:textAlignment w:val="center"/>
                    <w:rPr>
                      <w:color w:val="000000" w:themeColor="text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102-124</w:t>
                  </w:r>
                </w:p>
              </w:tc>
              <w:tc>
                <w:tcPr>
                  <w:tcW w:w="861" w:type="pct"/>
                  <w:tcMar>
                    <w:top w:w="14" w:type="dxa"/>
                    <w:left w:w="14" w:type="dxa"/>
                    <w:bottom w:w="0" w:type="dxa"/>
                    <w:right w:w="14" w:type="dxa"/>
                  </w:tcMar>
                  <w:vAlign w:val="center"/>
                </w:tcPr>
                <w:p w14:paraId="4014ADB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水平井</w:t>
                  </w:r>
                </w:p>
              </w:tc>
              <w:tc>
                <w:tcPr>
                  <w:tcW w:w="701" w:type="pct"/>
                  <w:tcMar>
                    <w:top w:w="14" w:type="dxa"/>
                    <w:left w:w="14" w:type="dxa"/>
                    <w:bottom w:w="0" w:type="dxa"/>
                    <w:right w:w="14" w:type="dxa"/>
                  </w:tcMar>
                  <w:vAlign w:val="center"/>
                </w:tcPr>
                <w:p w14:paraId="74597A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三开</w:t>
                  </w:r>
                </w:p>
              </w:tc>
              <w:tc>
                <w:tcPr>
                  <w:tcW w:w="1027" w:type="pct"/>
                  <w:tcMar>
                    <w:top w:w="14" w:type="dxa"/>
                    <w:left w:w="14" w:type="dxa"/>
                    <w:bottom w:w="0" w:type="dxa"/>
                    <w:right w:w="14" w:type="dxa"/>
                  </w:tcMar>
                </w:tcPr>
                <w:p w14:paraId="27C640AF">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2717</w:t>
                  </w:r>
                </w:p>
              </w:tc>
              <w:tc>
                <w:tcPr>
                  <w:tcW w:w="924" w:type="pct"/>
                  <w:tcMar>
                    <w:top w:w="14" w:type="dxa"/>
                    <w:left w:w="14" w:type="dxa"/>
                    <w:bottom w:w="0" w:type="dxa"/>
                    <w:right w:w="14" w:type="dxa"/>
                  </w:tcMar>
                  <w:vAlign w:val="center"/>
                </w:tcPr>
                <w:p w14:paraId="7BAC510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49</w:t>
                  </w:r>
                </w:p>
              </w:tc>
            </w:tr>
            <w:tr w14:paraId="5C36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21" w:type="pct"/>
                  <w:tcMar>
                    <w:top w:w="14" w:type="dxa"/>
                    <w:left w:w="14" w:type="dxa"/>
                    <w:bottom w:w="0" w:type="dxa"/>
                    <w:right w:w="14" w:type="dxa"/>
                  </w:tcMar>
                  <w:vAlign w:val="center"/>
                </w:tcPr>
                <w:p w14:paraId="2F0010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963" w:type="pct"/>
                  <w:tcMar>
                    <w:top w:w="14" w:type="dxa"/>
                    <w:left w:w="14" w:type="dxa"/>
                    <w:bottom w:w="0" w:type="dxa"/>
                    <w:right w:w="14" w:type="dxa"/>
                  </w:tcMar>
                  <w:vAlign w:val="center"/>
                </w:tcPr>
                <w:p w14:paraId="308F65ED">
                  <w:pPr>
                    <w:widowControl/>
                    <w:spacing w:line="240" w:lineRule="auto"/>
                    <w:ind w:firstLine="0" w:firstLineChars="0"/>
                    <w:jc w:val="center"/>
                    <w:textAlignment w:val="center"/>
                    <w:rPr>
                      <w:color w:val="000000" w:themeColor="text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102-224</w:t>
                  </w:r>
                </w:p>
              </w:tc>
              <w:tc>
                <w:tcPr>
                  <w:tcW w:w="861" w:type="pct"/>
                  <w:tcMar>
                    <w:top w:w="14" w:type="dxa"/>
                    <w:left w:w="14" w:type="dxa"/>
                    <w:bottom w:w="0" w:type="dxa"/>
                    <w:right w:w="14" w:type="dxa"/>
                  </w:tcMar>
                  <w:vAlign w:val="center"/>
                </w:tcPr>
                <w:p w14:paraId="0845F63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水平井</w:t>
                  </w:r>
                </w:p>
              </w:tc>
              <w:tc>
                <w:tcPr>
                  <w:tcW w:w="701" w:type="pct"/>
                  <w:tcMar>
                    <w:top w:w="14" w:type="dxa"/>
                    <w:left w:w="14" w:type="dxa"/>
                    <w:bottom w:w="0" w:type="dxa"/>
                    <w:right w:w="14" w:type="dxa"/>
                  </w:tcMar>
                  <w:vAlign w:val="center"/>
                </w:tcPr>
                <w:p w14:paraId="7F03498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三开</w:t>
                  </w:r>
                </w:p>
              </w:tc>
              <w:tc>
                <w:tcPr>
                  <w:tcW w:w="1027" w:type="pct"/>
                  <w:tcMar>
                    <w:top w:w="14" w:type="dxa"/>
                    <w:left w:w="14" w:type="dxa"/>
                    <w:bottom w:w="0" w:type="dxa"/>
                    <w:right w:w="14" w:type="dxa"/>
                  </w:tcMar>
                </w:tcPr>
                <w:p w14:paraId="3C28F765">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2758</w:t>
                  </w:r>
                </w:p>
              </w:tc>
              <w:tc>
                <w:tcPr>
                  <w:tcW w:w="924" w:type="pct"/>
                  <w:tcMar>
                    <w:top w:w="14" w:type="dxa"/>
                    <w:left w:w="14" w:type="dxa"/>
                    <w:bottom w:w="0" w:type="dxa"/>
                    <w:right w:w="14" w:type="dxa"/>
                  </w:tcMar>
                  <w:vAlign w:val="center"/>
                </w:tcPr>
                <w:p w14:paraId="0AA7A374">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49</w:t>
                  </w:r>
                </w:p>
              </w:tc>
            </w:tr>
            <w:tr w14:paraId="6967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21" w:type="pct"/>
                  <w:tcMar>
                    <w:top w:w="14" w:type="dxa"/>
                    <w:left w:w="14" w:type="dxa"/>
                    <w:bottom w:w="0" w:type="dxa"/>
                    <w:right w:w="14" w:type="dxa"/>
                  </w:tcMar>
                  <w:vAlign w:val="center"/>
                </w:tcPr>
                <w:p w14:paraId="2AC433F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963" w:type="pct"/>
                  <w:tcMar>
                    <w:top w:w="14" w:type="dxa"/>
                    <w:left w:w="14" w:type="dxa"/>
                    <w:bottom w:w="0" w:type="dxa"/>
                    <w:right w:w="14" w:type="dxa"/>
                  </w:tcMar>
                  <w:vAlign w:val="center"/>
                </w:tcPr>
                <w:p w14:paraId="440A1AEA">
                  <w:pPr>
                    <w:widowControl/>
                    <w:spacing w:line="240" w:lineRule="auto"/>
                    <w:ind w:firstLine="0" w:firstLineChars="0"/>
                    <w:jc w:val="center"/>
                    <w:textAlignment w:val="center"/>
                    <w:rPr>
                      <w:color w:val="000000" w:themeColor="text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102-115</w:t>
                  </w:r>
                </w:p>
              </w:tc>
              <w:tc>
                <w:tcPr>
                  <w:tcW w:w="861" w:type="pct"/>
                  <w:tcMar>
                    <w:top w:w="14" w:type="dxa"/>
                    <w:left w:w="14" w:type="dxa"/>
                    <w:bottom w:w="0" w:type="dxa"/>
                    <w:right w:w="14" w:type="dxa"/>
                  </w:tcMar>
                  <w:vAlign w:val="center"/>
                </w:tcPr>
                <w:p w14:paraId="52B765D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水平井</w:t>
                  </w:r>
                </w:p>
              </w:tc>
              <w:tc>
                <w:tcPr>
                  <w:tcW w:w="701" w:type="pct"/>
                  <w:tcMar>
                    <w:top w:w="14" w:type="dxa"/>
                    <w:left w:w="14" w:type="dxa"/>
                    <w:bottom w:w="0" w:type="dxa"/>
                    <w:right w:w="14" w:type="dxa"/>
                  </w:tcMar>
                  <w:vAlign w:val="center"/>
                </w:tcPr>
                <w:p w14:paraId="60CAB2F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三开</w:t>
                  </w:r>
                </w:p>
              </w:tc>
              <w:tc>
                <w:tcPr>
                  <w:tcW w:w="1027" w:type="pct"/>
                  <w:tcMar>
                    <w:top w:w="14" w:type="dxa"/>
                    <w:left w:w="14" w:type="dxa"/>
                    <w:bottom w:w="0" w:type="dxa"/>
                    <w:right w:w="14" w:type="dxa"/>
                  </w:tcMar>
                </w:tcPr>
                <w:p w14:paraId="5B414B22">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2737</w:t>
                  </w:r>
                </w:p>
              </w:tc>
              <w:tc>
                <w:tcPr>
                  <w:tcW w:w="924" w:type="pct"/>
                  <w:tcMar>
                    <w:top w:w="14" w:type="dxa"/>
                    <w:left w:w="14" w:type="dxa"/>
                    <w:bottom w:w="0" w:type="dxa"/>
                    <w:right w:w="14" w:type="dxa"/>
                  </w:tcMar>
                  <w:vAlign w:val="center"/>
                </w:tcPr>
                <w:p w14:paraId="72EC2C2B">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49</w:t>
                  </w:r>
                </w:p>
              </w:tc>
            </w:tr>
            <w:tr w14:paraId="21E4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21" w:type="pct"/>
                  <w:tcMar>
                    <w:top w:w="14" w:type="dxa"/>
                    <w:left w:w="14" w:type="dxa"/>
                    <w:bottom w:w="0" w:type="dxa"/>
                    <w:right w:w="14" w:type="dxa"/>
                  </w:tcMar>
                  <w:vAlign w:val="center"/>
                </w:tcPr>
                <w:p w14:paraId="3DB9A2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963" w:type="pct"/>
                  <w:tcMar>
                    <w:top w:w="14" w:type="dxa"/>
                    <w:left w:w="14" w:type="dxa"/>
                    <w:bottom w:w="0" w:type="dxa"/>
                    <w:right w:w="14" w:type="dxa"/>
                  </w:tcMar>
                  <w:vAlign w:val="center"/>
                </w:tcPr>
                <w:p w14:paraId="15A55BD8">
                  <w:pPr>
                    <w:widowControl/>
                    <w:spacing w:line="240" w:lineRule="auto"/>
                    <w:ind w:firstLine="0" w:firstLineChars="0"/>
                    <w:jc w:val="center"/>
                    <w:textAlignment w:val="center"/>
                    <w:rPr>
                      <w:color w:val="000000" w:themeColor="text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102-215</w:t>
                  </w:r>
                </w:p>
              </w:tc>
              <w:tc>
                <w:tcPr>
                  <w:tcW w:w="861" w:type="pct"/>
                  <w:tcMar>
                    <w:top w:w="14" w:type="dxa"/>
                    <w:left w:w="14" w:type="dxa"/>
                    <w:bottom w:w="0" w:type="dxa"/>
                    <w:right w:w="14" w:type="dxa"/>
                  </w:tcMar>
                  <w:vAlign w:val="center"/>
                </w:tcPr>
                <w:p w14:paraId="03C13AE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水平井</w:t>
                  </w:r>
                </w:p>
              </w:tc>
              <w:tc>
                <w:tcPr>
                  <w:tcW w:w="701" w:type="pct"/>
                  <w:tcMar>
                    <w:top w:w="14" w:type="dxa"/>
                    <w:left w:w="14" w:type="dxa"/>
                    <w:bottom w:w="0" w:type="dxa"/>
                    <w:right w:w="14" w:type="dxa"/>
                  </w:tcMar>
                  <w:vAlign w:val="center"/>
                </w:tcPr>
                <w:p w14:paraId="26FC48D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三开</w:t>
                  </w:r>
                </w:p>
              </w:tc>
              <w:tc>
                <w:tcPr>
                  <w:tcW w:w="1027" w:type="pct"/>
                  <w:tcMar>
                    <w:top w:w="14" w:type="dxa"/>
                    <w:left w:w="14" w:type="dxa"/>
                    <w:bottom w:w="0" w:type="dxa"/>
                    <w:right w:w="14" w:type="dxa"/>
                  </w:tcMar>
                </w:tcPr>
                <w:p w14:paraId="3783330D">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2778</w:t>
                  </w:r>
                </w:p>
              </w:tc>
              <w:tc>
                <w:tcPr>
                  <w:tcW w:w="924" w:type="pct"/>
                  <w:tcMar>
                    <w:top w:w="14" w:type="dxa"/>
                    <w:left w:w="14" w:type="dxa"/>
                    <w:bottom w:w="0" w:type="dxa"/>
                    <w:right w:w="14" w:type="dxa"/>
                  </w:tcMar>
                  <w:vAlign w:val="center"/>
                </w:tcPr>
                <w:p w14:paraId="3F4A567C">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49</w:t>
                  </w:r>
                </w:p>
              </w:tc>
            </w:tr>
            <w:bookmarkEnd w:id="4"/>
          </w:tbl>
          <w:p w14:paraId="5C0B9AAC">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4.2 井身结构</w:t>
            </w:r>
          </w:p>
          <w:p w14:paraId="44399552">
            <w:pPr>
              <w:pStyle w:val="32"/>
              <w:rPr>
                <w:rFonts w:ascii="Times New Roman" w:hAnsi="Times New Roman"/>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本项目</w:t>
            </w:r>
            <w:r>
              <w:rPr>
                <w:rFonts w:hint="eastAsia" w:ascii="Times New Roman" w:hAnsi="Times New Roman"/>
                <w:bCs/>
                <w:color w:val="000000" w:themeColor="text1"/>
                <w:sz w:val="24"/>
                <w:szCs w:val="24"/>
                <w14:textFill>
                  <w14:solidFill>
                    <w14:schemeClr w14:val="tx1"/>
                  </w14:solidFill>
                </w14:textFill>
              </w:rPr>
              <w:t>4</w:t>
            </w:r>
            <w:r>
              <w:rPr>
                <w:rFonts w:ascii="Times New Roman" w:hAnsi="Times New Roman"/>
                <w:bCs/>
                <w:color w:val="000000" w:themeColor="text1"/>
                <w:sz w:val="24"/>
                <w:szCs w:val="24"/>
                <w14:textFill>
                  <w14:solidFill>
                    <w14:schemeClr w14:val="tx1"/>
                  </w14:solidFill>
                </w14:textFill>
              </w:rPr>
              <w:t>口井均采用三开井身结构。井身结构设计说明见表2-</w:t>
            </w:r>
            <w:r>
              <w:rPr>
                <w:rFonts w:hint="eastAsia" w:ascii="Times New Roman" w:hAnsi="Times New Roman"/>
                <w:bCs/>
                <w:color w:val="000000" w:themeColor="text1"/>
                <w:sz w:val="24"/>
                <w:szCs w:val="24"/>
                <w14:textFill>
                  <w14:solidFill>
                    <w14:schemeClr w14:val="tx1"/>
                  </w14:solidFill>
                </w14:textFill>
              </w:rPr>
              <w:t>5</w:t>
            </w:r>
            <w:r>
              <w:rPr>
                <w:rFonts w:ascii="Times New Roman" w:hAnsi="Times New Roman"/>
                <w:bCs/>
                <w:color w:val="000000" w:themeColor="text1"/>
                <w:sz w:val="24"/>
                <w:szCs w:val="24"/>
                <w14:textFill>
                  <w14:solidFill>
                    <w14:schemeClr w14:val="tx1"/>
                  </w14:solidFill>
                </w14:textFill>
              </w:rPr>
              <w:t>。</w:t>
            </w:r>
          </w:p>
          <w:p w14:paraId="702246A6">
            <w:pPr>
              <w:ind w:firstLine="422"/>
              <w:jc w:val="center"/>
              <w:rPr>
                <w:b/>
                <w:bCs/>
                <w:color w:val="000000" w:themeColor="text1"/>
                <w:kern w:val="0"/>
                <w:sz w:val="21"/>
                <w:szCs w:val="21"/>
                <w14:textFill>
                  <w14:solidFill>
                    <w14:schemeClr w14:val="tx1"/>
                  </w14:solidFill>
                </w14:textFill>
              </w:rPr>
            </w:pPr>
            <w:r>
              <w:rPr>
                <w:rFonts w:hint="eastAsia"/>
                <w:b/>
                <w:bCs/>
                <w:color w:val="000000" w:themeColor="text1"/>
                <w:kern w:val="0"/>
                <w:sz w:val="21"/>
                <w:szCs w:val="21"/>
                <w14:textFill>
                  <w14:solidFill>
                    <w14:schemeClr w14:val="tx1"/>
                  </w14:solidFill>
                </w14:textFill>
              </w:rPr>
              <w:t>表2-5  H2平台萨102-124等4口井井身结构要求表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751"/>
              <w:gridCol w:w="1176"/>
              <w:gridCol w:w="1222"/>
              <w:gridCol w:w="4386"/>
            </w:tblGrid>
            <w:tr w14:paraId="6FB0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6DFD42AA">
                  <w:pPr>
                    <w:pStyle w:val="33"/>
                    <w:spacing w:line="240" w:lineRule="auto"/>
                    <w:ind w:firstLine="0" w:firstLineChars="0"/>
                    <w:rPr>
                      <w:rFonts w:cs="Times New Roman"/>
                      <w:b/>
                      <w:bCs/>
                      <w:color w:val="000000" w:themeColor="text1"/>
                      <w:szCs w:val="21"/>
                      <w14:textFill>
                        <w14:solidFill>
                          <w14:schemeClr w14:val="tx1"/>
                        </w14:solidFill>
                      </w14:textFill>
                    </w:rPr>
                  </w:pPr>
                  <w:r>
                    <w:rPr>
                      <w:rFonts w:cs="Times New Roman"/>
                      <w:b/>
                      <w:bCs/>
                      <w:color w:val="000000" w:themeColor="text1"/>
                      <w:szCs w:val="21"/>
                      <w14:textFill>
                        <w14:solidFill>
                          <w14:schemeClr w14:val="tx1"/>
                        </w14:solidFill>
                      </w14:textFill>
                    </w:rPr>
                    <w:t>开钻次序</w:t>
                  </w:r>
                </w:p>
              </w:tc>
              <w:tc>
                <w:tcPr>
                  <w:tcW w:w="458" w:type="pct"/>
                  <w:vAlign w:val="center"/>
                </w:tcPr>
                <w:p w14:paraId="27F37769">
                  <w:pPr>
                    <w:pStyle w:val="33"/>
                    <w:spacing w:line="240" w:lineRule="auto"/>
                    <w:ind w:firstLine="0" w:firstLineChars="0"/>
                    <w:rPr>
                      <w:rFonts w:cs="Times New Roman"/>
                      <w:b/>
                      <w:bCs/>
                      <w:color w:val="000000" w:themeColor="text1"/>
                      <w:szCs w:val="21"/>
                      <w14:textFill>
                        <w14:solidFill>
                          <w14:schemeClr w14:val="tx1"/>
                        </w14:solidFill>
                      </w14:textFill>
                    </w:rPr>
                  </w:pPr>
                  <w:r>
                    <w:rPr>
                      <w:rFonts w:hint="eastAsia" w:cs="Times New Roman"/>
                      <w:b/>
                      <w:bCs/>
                      <w:color w:val="000000" w:themeColor="text1"/>
                      <w:szCs w:val="21"/>
                      <w14:textFill>
                        <w14:solidFill>
                          <w14:schemeClr w14:val="tx1"/>
                        </w14:solidFill>
                      </w14:textFill>
                    </w:rPr>
                    <w:t>井深（m）</w:t>
                  </w:r>
                </w:p>
              </w:tc>
              <w:tc>
                <w:tcPr>
                  <w:tcW w:w="718" w:type="pct"/>
                  <w:vAlign w:val="center"/>
                </w:tcPr>
                <w:p w14:paraId="4238B02A">
                  <w:pPr>
                    <w:pStyle w:val="33"/>
                    <w:spacing w:line="240" w:lineRule="auto"/>
                    <w:ind w:firstLine="0" w:firstLineChars="0"/>
                    <w:rPr>
                      <w:rFonts w:cs="Times New Roman"/>
                      <w:b/>
                      <w:bCs/>
                      <w:color w:val="000000" w:themeColor="text1"/>
                      <w:szCs w:val="21"/>
                      <w14:textFill>
                        <w14:solidFill>
                          <w14:schemeClr w14:val="tx1"/>
                        </w14:solidFill>
                      </w14:textFill>
                    </w:rPr>
                  </w:pPr>
                  <w:r>
                    <w:rPr>
                      <w:rFonts w:hint="eastAsia" w:cs="Times New Roman"/>
                      <w:b/>
                      <w:bCs/>
                      <w:color w:val="000000" w:themeColor="text1"/>
                      <w:szCs w:val="21"/>
                      <w14:textFill>
                        <w14:solidFill>
                          <w14:schemeClr w14:val="tx1"/>
                        </w14:solidFill>
                      </w14:textFill>
                    </w:rPr>
                    <w:t>钻头尺寸（mm）</w:t>
                  </w:r>
                </w:p>
              </w:tc>
              <w:tc>
                <w:tcPr>
                  <w:tcW w:w="746" w:type="pct"/>
                  <w:vAlign w:val="center"/>
                </w:tcPr>
                <w:p w14:paraId="13CB1DDE">
                  <w:pPr>
                    <w:pStyle w:val="33"/>
                    <w:spacing w:line="240" w:lineRule="auto"/>
                    <w:ind w:firstLine="0" w:firstLineChars="0"/>
                    <w:rPr>
                      <w:rFonts w:cs="Times New Roman"/>
                      <w:b/>
                      <w:bCs/>
                      <w:color w:val="000000" w:themeColor="text1"/>
                      <w:szCs w:val="21"/>
                      <w14:textFill>
                        <w14:solidFill>
                          <w14:schemeClr w14:val="tx1"/>
                        </w14:solidFill>
                      </w14:textFill>
                    </w:rPr>
                  </w:pPr>
                  <w:r>
                    <w:rPr>
                      <w:rFonts w:cs="Times New Roman"/>
                      <w:b/>
                      <w:bCs/>
                      <w:color w:val="000000" w:themeColor="text1"/>
                      <w:szCs w:val="21"/>
                      <w14:textFill>
                        <w14:solidFill>
                          <w14:schemeClr w14:val="tx1"/>
                        </w14:solidFill>
                      </w14:textFill>
                    </w:rPr>
                    <w:t>套管尺寸</w:t>
                  </w:r>
                  <w:r>
                    <w:rPr>
                      <w:rFonts w:hint="eastAsia" w:cs="Times New Roman"/>
                      <w:b/>
                      <w:bCs/>
                      <w:color w:val="000000" w:themeColor="text1"/>
                      <w:szCs w:val="21"/>
                      <w14:textFill>
                        <w14:solidFill>
                          <w14:schemeClr w14:val="tx1"/>
                        </w14:solidFill>
                      </w14:textFill>
                    </w:rPr>
                    <w:t>（</w:t>
                  </w:r>
                  <w:r>
                    <w:rPr>
                      <w:rFonts w:cs="Times New Roman"/>
                      <w:b/>
                      <w:bCs/>
                      <w:color w:val="000000" w:themeColor="text1"/>
                      <w:szCs w:val="21"/>
                      <w14:textFill>
                        <w14:solidFill>
                          <w14:schemeClr w14:val="tx1"/>
                        </w14:solidFill>
                      </w14:textFill>
                    </w:rPr>
                    <w:t>mm</w:t>
                  </w:r>
                  <w:r>
                    <w:rPr>
                      <w:rFonts w:hint="eastAsia" w:cs="Times New Roman"/>
                      <w:b/>
                      <w:bCs/>
                      <w:color w:val="000000" w:themeColor="text1"/>
                      <w:szCs w:val="21"/>
                      <w14:textFill>
                        <w14:solidFill>
                          <w14:schemeClr w14:val="tx1"/>
                        </w14:solidFill>
                      </w14:textFill>
                    </w:rPr>
                    <w:t>）</w:t>
                  </w:r>
                </w:p>
              </w:tc>
              <w:tc>
                <w:tcPr>
                  <w:tcW w:w="2676" w:type="pct"/>
                  <w:vAlign w:val="center"/>
                </w:tcPr>
                <w:p w14:paraId="7245829F">
                  <w:pPr>
                    <w:pStyle w:val="33"/>
                    <w:spacing w:line="240" w:lineRule="auto"/>
                    <w:ind w:firstLine="0" w:firstLineChars="0"/>
                    <w:rPr>
                      <w:rFonts w:cs="Times New Roman"/>
                      <w:b/>
                      <w:bCs/>
                      <w:color w:val="000000" w:themeColor="text1"/>
                      <w:szCs w:val="21"/>
                      <w14:textFill>
                        <w14:solidFill>
                          <w14:schemeClr w14:val="tx1"/>
                        </w14:solidFill>
                      </w14:textFill>
                    </w:rPr>
                  </w:pPr>
                  <w:r>
                    <w:rPr>
                      <w:rFonts w:cs="Times New Roman"/>
                      <w:b/>
                      <w:bCs/>
                      <w:color w:val="000000" w:themeColor="text1"/>
                      <w:szCs w:val="21"/>
                      <w14:textFill>
                        <w14:solidFill>
                          <w14:schemeClr w14:val="tx1"/>
                        </w14:solidFill>
                      </w14:textFill>
                    </w:rPr>
                    <w:t>设计说明</w:t>
                  </w:r>
                </w:p>
              </w:tc>
            </w:tr>
            <w:tr w14:paraId="5475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731BD4F6">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导眼</w:t>
                  </w:r>
                </w:p>
              </w:tc>
              <w:tc>
                <w:tcPr>
                  <w:tcW w:w="458" w:type="pct"/>
                  <w:vAlign w:val="center"/>
                </w:tcPr>
                <w:p w14:paraId="0DC5C51A">
                  <w:pPr>
                    <w:pStyle w:val="33"/>
                    <w:spacing w:line="24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30</w:t>
                  </w:r>
                </w:p>
              </w:tc>
              <w:tc>
                <w:tcPr>
                  <w:tcW w:w="718" w:type="pct"/>
                  <w:vAlign w:val="center"/>
                </w:tcPr>
                <w:p w14:paraId="772720ED">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w:t>
                  </w:r>
                  <w:r>
                    <w:rPr>
                      <w:rFonts w:hint="eastAsia" w:cs="Times New Roman"/>
                      <w:color w:val="000000" w:themeColor="text1"/>
                      <w:szCs w:val="21"/>
                      <w14:textFill>
                        <w14:solidFill>
                          <w14:schemeClr w14:val="tx1"/>
                        </w14:solidFill>
                      </w14:textFill>
                    </w:rPr>
                    <w:t>660</w:t>
                  </w:r>
                </w:p>
              </w:tc>
              <w:tc>
                <w:tcPr>
                  <w:tcW w:w="746" w:type="pct"/>
                  <w:vAlign w:val="center"/>
                </w:tcPr>
                <w:p w14:paraId="332723ED">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Φ508</w:t>
                  </w:r>
                </w:p>
              </w:tc>
              <w:tc>
                <w:tcPr>
                  <w:tcW w:w="2676" w:type="pct"/>
                  <w:vAlign w:val="center"/>
                </w:tcPr>
                <w:p w14:paraId="7F9A1070">
                  <w:pPr>
                    <w:pStyle w:val="33"/>
                    <w:spacing w:line="240" w:lineRule="auto"/>
                    <w:ind w:firstLine="0" w:firstLineChars="0"/>
                    <w:jc w:val="both"/>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用Φ660mm钻头打导眼5-30m，下入Φ508mm的导管固井，水泥返至地面。</w:t>
                  </w:r>
                </w:p>
              </w:tc>
            </w:tr>
            <w:tr w14:paraId="4ABC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3DD35C06">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一开</w:t>
                  </w:r>
                </w:p>
              </w:tc>
              <w:tc>
                <w:tcPr>
                  <w:tcW w:w="458" w:type="pct"/>
                  <w:vAlign w:val="center"/>
                </w:tcPr>
                <w:p w14:paraId="707E17DC">
                  <w:pPr>
                    <w:pStyle w:val="33"/>
                    <w:spacing w:line="24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700</w:t>
                  </w:r>
                </w:p>
              </w:tc>
              <w:tc>
                <w:tcPr>
                  <w:tcW w:w="718" w:type="pct"/>
                  <w:vAlign w:val="center"/>
                </w:tcPr>
                <w:p w14:paraId="30665047">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w:t>
                  </w:r>
                  <w:r>
                    <w:rPr>
                      <w:rFonts w:hint="eastAsia" w:cs="Times New Roman"/>
                      <w:color w:val="000000" w:themeColor="text1"/>
                      <w:szCs w:val="21"/>
                      <w14:textFill>
                        <w14:solidFill>
                          <w14:schemeClr w14:val="tx1"/>
                        </w14:solidFill>
                      </w14:textFill>
                    </w:rPr>
                    <w:t>375</w:t>
                  </w:r>
                </w:p>
              </w:tc>
              <w:tc>
                <w:tcPr>
                  <w:tcW w:w="746" w:type="pct"/>
                  <w:vAlign w:val="center"/>
                </w:tcPr>
                <w:p w14:paraId="60228949">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Φ273</w:t>
                  </w:r>
                </w:p>
              </w:tc>
              <w:tc>
                <w:tcPr>
                  <w:tcW w:w="2676" w:type="pct"/>
                  <w:vAlign w:val="center"/>
                </w:tcPr>
                <w:p w14:paraId="27F99907">
                  <w:pPr>
                    <w:pStyle w:val="33"/>
                    <w:spacing w:line="240" w:lineRule="auto"/>
                    <w:ind w:firstLine="0" w:firstLineChars="0"/>
                    <w:jc w:val="both"/>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用Φ375mm钻头一开，钻穿砾石层至少20m，钻至井深700m左右，下入Φ273mm表层套管，采用常规水泥浆体系固井，水泥返至地面。</w:t>
                  </w:r>
                </w:p>
                <w:p w14:paraId="2D705D6A">
                  <w:pPr>
                    <w:pStyle w:val="33"/>
                    <w:spacing w:line="240" w:lineRule="auto"/>
                    <w:ind w:firstLine="0" w:firstLineChars="0"/>
                    <w:jc w:val="both"/>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表套下深原则：钻穿砾石层进入稳定泥岩段30m。</w:t>
                  </w:r>
                </w:p>
              </w:tc>
            </w:tr>
            <w:tr w14:paraId="785A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3855528E">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二开</w:t>
                  </w:r>
                </w:p>
              </w:tc>
              <w:tc>
                <w:tcPr>
                  <w:tcW w:w="458" w:type="pct"/>
                  <w:vAlign w:val="center"/>
                </w:tcPr>
                <w:p w14:paraId="3C4CE368">
                  <w:pPr>
                    <w:pStyle w:val="33"/>
                    <w:spacing w:line="24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2300</w:t>
                  </w:r>
                </w:p>
              </w:tc>
              <w:tc>
                <w:tcPr>
                  <w:tcW w:w="718" w:type="pct"/>
                  <w:vAlign w:val="center"/>
                </w:tcPr>
                <w:p w14:paraId="6CBCF41B">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w:t>
                  </w:r>
                  <w:r>
                    <w:rPr>
                      <w:rFonts w:hint="eastAsia" w:cs="Times New Roman"/>
                      <w:color w:val="000000" w:themeColor="text1"/>
                      <w:szCs w:val="21"/>
                      <w14:textFill>
                        <w14:solidFill>
                          <w14:schemeClr w14:val="tx1"/>
                        </w14:solidFill>
                      </w14:textFill>
                    </w:rPr>
                    <w:t>250.8</w:t>
                  </w:r>
                </w:p>
              </w:tc>
              <w:tc>
                <w:tcPr>
                  <w:tcW w:w="746" w:type="pct"/>
                  <w:vAlign w:val="center"/>
                </w:tcPr>
                <w:p w14:paraId="27ED9C28">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Φ193.7</w:t>
                  </w:r>
                </w:p>
              </w:tc>
              <w:tc>
                <w:tcPr>
                  <w:tcW w:w="2676" w:type="pct"/>
                  <w:vAlign w:val="center"/>
                </w:tcPr>
                <w:p w14:paraId="618C772E">
                  <w:pPr>
                    <w:pStyle w:val="33"/>
                    <w:spacing w:line="240" w:lineRule="auto"/>
                    <w:ind w:firstLine="0" w:firstLineChars="0"/>
                    <w:jc w:val="both"/>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用Φ250.8mm钻头二开，按设计轨迹钻至井深2300m，下入Φ193.7mm技术套管，采用抗盐低密度水泥浆体系固井，水泥自井底返至地面，封固段长2300m。</w:t>
                  </w:r>
                </w:p>
                <w:p w14:paraId="64C518F1">
                  <w:pPr>
                    <w:pStyle w:val="33"/>
                    <w:spacing w:line="240" w:lineRule="auto"/>
                    <w:ind w:firstLine="0" w:firstLineChars="0"/>
                    <w:jc w:val="both"/>
                    <w:rPr>
                      <w:rFonts w:cs="Times New Roman"/>
                      <w:b/>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技套下深原则：进入芦草沟垂深140m。</w:t>
                  </w:r>
                </w:p>
              </w:tc>
            </w:tr>
            <w:tr w14:paraId="358B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4F2BE5C5">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三开</w:t>
                  </w:r>
                </w:p>
              </w:tc>
              <w:tc>
                <w:tcPr>
                  <w:tcW w:w="458" w:type="pct"/>
                  <w:vAlign w:val="center"/>
                </w:tcPr>
                <w:p w14:paraId="621A8850">
                  <w:pPr>
                    <w:pStyle w:val="33"/>
                    <w:spacing w:line="24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完钻井深</w:t>
                  </w:r>
                </w:p>
              </w:tc>
              <w:tc>
                <w:tcPr>
                  <w:tcW w:w="718" w:type="pct"/>
                  <w:vAlign w:val="center"/>
                </w:tcPr>
                <w:p w14:paraId="2EEC456C">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w:t>
                  </w:r>
                  <w:r>
                    <w:rPr>
                      <w:rFonts w:hint="eastAsia" w:cs="Times New Roman"/>
                      <w:color w:val="000000" w:themeColor="text1"/>
                      <w:szCs w:val="21"/>
                      <w14:textFill>
                        <w14:solidFill>
                          <w14:schemeClr w14:val="tx1"/>
                        </w14:solidFill>
                      </w14:textFill>
                    </w:rPr>
                    <w:t>171.5</w:t>
                  </w:r>
                </w:p>
              </w:tc>
              <w:tc>
                <w:tcPr>
                  <w:tcW w:w="746" w:type="pct"/>
                  <w:vAlign w:val="center"/>
                </w:tcPr>
                <w:p w14:paraId="39300A57">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Φ139.7</w:t>
                  </w:r>
                </w:p>
                <w:p w14:paraId="030977BD">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+Φ127</w:t>
                  </w:r>
                </w:p>
              </w:tc>
              <w:tc>
                <w:tcPr>
                  <w:tcW w:w="2676" w:type="pct"/>
                  <w:vAlign w:val="center"/>
                </w:tcPr>
                <w:p w14:paraId="1D432FC1">
                  <w:pPr>
                    <w:pStyle w:val="33"/>
                    <w:spacing w:line="240" w:lineRule="auto"/>
                    <w:ind w:firstLine="0" w:firstLineChars="0"/>
                    <w:jc w:val="both"/>
                    <w:rPr>
                      <w:rFonts w:cs="Times New Roman"/>
                      <w:b/>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用Φ171.5mm钻头三开，按设计轨迹钻至井深4050m完钻，下入Φ139.7mm+Φ127mm复合油层套管，采用抗盐低密+抗盐增韧复合水泥浆体系固井完井。0-2100m下入Φ139.7mm套管，2100-4050m下入Φ127mm套管。抗盐增韧水泥自井底返至井深2000m，封固段长2050m；抗盐低密水泥返至地面，封固段长2000m。</w:t>
                  </w:r>
                </w:p>
              </w:tc>
            </w:tr>
          </w:tbl>
          <w:p w14:paraId="25B780E9">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4.3 主要设备</w:t>
            </w:r>
          </w:p>
          <w:p w14:paraId="0BD9446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本项目单井钻井主要设备见表2-</w:t>
            </w:r>
            <w:r>
              <w:rPr>
                <w:rFonts w:hint="eastAsia" w:ascii="Times New Roman" w:hAnsi="Times New Roman"/>
                <w:color w:val="000000" w:themeColor="text1"/>
                <w:sz w:val="24"/>
                <w:szCs w:val="24"/>
                <w14:textFill>
                  <w14:solidFill>
                    <w14:schemeClr w14:val="tx1"/>
                  </w14:solidFill>
                </w14:textFill>
              </w:rPr>
              <w:t>6</w:t>
            </w:r>
            <w:r>
              <w:rPr>
                <w:rFonts w:ascii="Times New Roman" w:hAnsi="Times New Roman"/>
                <w:color w:val="000000" w:themeColor="text1"/>
                <w:sz w:val="24"/>
                <w:szCs w:val="24"/>
                <w14:textFill>
                  <w14:solidFill>
                    <w14:schemeClr w14:val="tx1"/>
                  </w14:solidFill>
                </w14:textFill>
              </w:rPr>
              <w:t>。</w:t>
            </w:r>
          </w:p>
          <w:p w14:paraId="29223ADA">
            <w:pPr>
              <w:overflowPunct w:val="0"/>
              <w:ind w:firstLine="0" w:firstLineChars="0"/>
              <w:jc w:val="center"/>
              <w:rPr>
                <w:b/>
                <w:color w:val="000000" w:themeColor="text1"/>
                <w:sz w:val="21"/>
                <w:szCs w:val="21"/>
                <w14:textFill>
                  <w14:solidFill>
                    <w14:schemeClr w14:val="tx1"/>
                  </w14:solidFill>
                </w14:textFill>
              </w:rPr>
            </w:pPr>
            <w:bookmarkStart w:id="5" w:name="_Hlk141543048"/>
            <w:r>
              <w:rPr>
                <w:b/>
                <w:color w:val="000000" w:themeColor="text1"/>
                <w:sz w:val="21"/>
                <w:szCs w:val="21"/>
                <w14:textFill>
                  <w14:solidFill>
                    <w14:schemeClr w14:val="tx1"/>
                  </w14:solidFill>
                </w14:textFill>
              </w:rPr>
              <w:t>表2-</w:t>
            </w:r>
            <w:r>
              <w:rPr>
                <w:rFonts w:hint="eastAsia"/>
                <w:b/>
                <w:color w:val="000000" w:themeColor="text1"/>
                <w:sz w:val="21"/>
                <w:szCs w:val="21"/>
                <w14:textFill>
                  <w14:solidFill>
                    <w14:schemeClr w14:val="tx1"/>
                  </w14:solidFill>
                </w14:textFill>
              </w:rPr>
              <w:t>6</w:t>
            </w:r>
            <w:r>
              <w:rPr>
                <w:b/>
                <w:color w:val="000000" w:themeColor="text1"/>
                <w:sz w:val="21"/>
                <w:szCs w:val="21"/>
                <w14:textFill>
                  <w14:solidFill>
                    <w14:schemeClr w14:val="tx1"/>
                  </w14:solidFill>
                </w14:textFill>
              </w:rPr>
              <w:t xml:space="preserve">  单井钻井主要设备配置</w:t>
            </w:r>
          </w:p>
          <w:bookmarkEnd w:id="5"/>
          <w:tbl>
            <w:tblPr>
              <w:tblStyle w:val="16"/>
              <w:tblW w:w="499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99"/>
              <w:gridCol w:w="880"/>
              <w:gridCol w:w="855"/>
              <w:gridCol w:w="1860"/>
              <w:gridCol w:w="973"/>
              <w:gridCol w:w="885"/>
              <w:gridCol w:w="912"/>
              <w:gridCol w:w="1117"/>
            </w:tblGrid>
            <w:tr w14:paraId="3E569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2138745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1735" w:type="dxa"/>
                  <w:gridSpan w:val="2"/>
                  <w:vAlign w:val="center"/>
                </w:tcPr>
                <w:p w14:paraId="0DD421D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1861" w:type="dxa"/>
                  <w:vAlign w:val="center"/>
                </w:tcPr>
                <w:p w14:paraId="1E22449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型号</w:t>
                  </w:r>
                </w:p>
              </w:tc>
              <w:tc>
                <w:tcPr>
                  <w:tcW w:w="973" w:type="dxa"/>
                  <w:vAlign w:val="center"/>
                </w:tcPr>
                <w:p w14:paraId="23AD28E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载荷</w:t>
                  </w:r>
                </w:p>
              </w:tc>
              <w:tc>
                <w:tcPr>
                  <w:tcW w:w="885" w:type="dxa"/>
                  <w:tcBorders>
                    <w:right w:val="single" w:color="auto" w:sz="4" w:space="0"/>
                  </w:tcBorders>
                  <w:vAlign w:val="center"/>
                </w:tcPr>
                <w:p w14:paraId="4506B83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功率kW</w:t>
                  </w:r>
                </w:p>
              </w:tc>
              <w:tc>
                <w:tcPr>
                  <w:tcW w:w="912" w:type="dxa"/>
                  <w:tcBorders>
                    <w:left w:val="single" w:color="auto" w:sz="4" w:space="0"/>
                    <w:right w:val="single" w:color="auto" w:sz="4" w:space="0"/>
                  </w:tcBorders>
                  <w:vAlign w:val="center"/>
                </w:tcPr>
                <w:p w14:paraId="2DD562A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单位</w:t>
                  </w:r>
                </w:p>
              </w:tc>
              <w:tc>
                <w:tcPr>
                  <w:tcW w:w="1118" w:type="dxa"/>
                  <w:tcBorders>
                    <w:left w:val="single" w:color="auto" w:sz="4" w:space="0"/>
                  </w:tcBorders>
                  <w:vAlign w:val="center"/>
                </w:tcPr>
                <w:p w14:paraId="6E36909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数量</w:t>
                  </w:r>
                </w:p>
              </w:tc>
            </w:tr>
            <w:tr w14:paraId="12847A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1B2EBC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735" w:type="dxa"/>
                  <w:gridSpan w:val="2"/>
                  <w:vAlign w:val="center"/>
                </w:tcPr>
                <w:p w14:paraId="6B0C7BD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钻机</w:t>
                  </w:r>
                </w:p>
              </w:tc>
              <w:tc>
                <w:tcPr>
                  <w:tcW w:w="1861" w:type="dxa"/>
                  <w:vAlign w:val="center"/>
                </w:tcPr>
                <w:p w14:paraId="58F738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ZJ-50</w:t>
                  </w:r>
                </w:p>
              </w:tc>
              <w:tc>
                <w:tcPr>
                  <w:tcW w:w="973" w:type="dxa"/>
                  <w:vAlign w:val="center"/>
                </w:tcPr>
                <w:p w14:paraId="1F42410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4BC5C3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7CF3492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1118" w:type="dxa"/>
                  <w:tcBorders>
                    <w:left w:val="single" w:color="auto" w:sz="4" w:space="0"/>
                  </w:tcBorders>
                  <w:vAlign w:val="center"/>
                </w:tcPr>
                <w:p w14:paraId="1C4B5E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0D9794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7F63A9A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1735" w:type="dxa"/>
                  <w:gridSpan w:val="2"/>
                  <w:vAlign w:val="center"/>
                </w:tcPr>
                <w:p w14:paraId="2D710F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井架</w:t>
                  </w:r>
                </w:p>
              </w:tc>
              <w:tc>
                <w:tcPr>
                  <w:tcW w:w="1861" w:type="dxa"/>
                  <w:vAlign w:val="center"/>
                </w:tcPr>
                <w:p w14:paraId="6567419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ZJ-50</w:t>
                  </w:r>
                </w:p>
              </w:tc>
              <w:tc>
                <w:tcPr>
                  <w:tcW w:w="973" w:type="dxa"/>
                  <w:vAlign w:val="center"/>
                </w:tcPr>
                <w:p w14:paraId="454B4F4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3500KN</w:t>
                  </w:r>
                </w:p>
              </w:tc>
              <w:tc>
                <w:tcPr>
                  <w:tcW w:w="885" w:type="dxa"/>
                  <w:tcBorders>
                    <w:right w:val="single" w:color="auto" w:sz="4" w:space="0"/>
                  </w:tcBorders>
                  <w:vAlign w:val="center"/>
                </w:tcPr>
                <w:p w14:paraId="752C934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4A1B181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1118" w:type="dxa"/>
                  <w:tcBorders>
                    <w:left w:val="single" w:color="auto" w:sz="4" w:space="0"/>
                  </w:tcBorders>
                </w:tcPr>
                <w:p w14:paraId="0C78B3D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3FAAB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0B3051D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1735" w:type="dxa"/>
                  <w:gridSpan w:val="2"/>
                  <w:vAlign w:val="center"/>
                </w:tcPr>
                <w:p w14:paraId="57C0BBD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天车</w:t>
                  </w:r>
                </w:p>
              </w:tc>
              <w:tc>
                <w:tcPr>
                  <w:tcW w:w="1861" w:type="dxa"/>
                  <w:vAlign w:val="center"/>
                </w:tcPr>
                <w:p w14:paraId="17F3D27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TC-350</w:t>
                  </w:r>
                </w:p>
              </w:tc>
              <w:tc>
                <w:tcPr>
                  <w:tcW w:w="973" w:type="dxa"/>
                  <w:vAlign w:val="center"/>
                </w:tcPr>
                <w:p w14:paraId="7FDD2BF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3500KN</w:t>
                  </w:r>
                </w:p>
              </w:tc>
              <w:tc>
                <w:tcPr>
                  <w:tcW w:w="885" w:type="dxa"/>
                  <w:tcBorders>
                    <w:right w:val="single" w:color="auto" w:sz="4" w:space="0"/>
                  </w:tcBorders>
                  <w:vAlign w:val="center"/>
                </w:tcPr>
                <w:p w14:paraId="62ED7B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4B9B475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1F0C8DD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26CCBF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12FBBFF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1735" w:type="dxa"/>
                  <w:gridSpan w:val="2"/>
                  <w:vAlign w:val="center"/>
                </w:tcPr>
                <w:p w14:paraId="5EFF6B9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游动滑车</w:t>
                  </w:r>
                </w:p>
              </w:tc>
              <w:tc>
                <w:tcPr>
                  <w:tcW w:w="1861" w:type="dxa"/>
                  <w:vAlign w:val="center"/>
                </w:tcPr>
                <w:p w14:paraId="07D0A24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YC-350</w:t>
                  </w:r>
                </w:p>
              </w:tc>
              <w:tc>
                <w:tcPr>
                  <w:tcW w:w="973" w:type="dxa"/>
                  <w:vAlign w:val="center"/>
                </w:tcPr>
                <w:p w14:paraId="69ED7C3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3500KN</w:t>
                  </w:r>
                </w:p>
              </w:tc>
              <w:tc>
                <w:tcPr>
                  <w:tcW w:w="885" w:type="dxa"/>
                  <w:tcBorders>
                    <w:right w:val="single" w:color="auto" w:sz="4" w:space="0"/>
                  </w:tcBorders>
                  <w:vAlign w:val="center"/>
                </w:tcPr>
                <w:p w14:paraId="56C42E3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3F2CD53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35FC30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7FF771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17DCCFE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1735" w:type="dxa"/>
                  <w:gridSpan w:val="2"/>
                  <w:vAlign w:val="center"/>
                </w:tcPr>
                <w:p w14:paraId="0D2172D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大钩</w:t>
                  </w:r>
                </w:p>
              </w:tc>
              <w:tc>
                <w:tcPr>
                  <w:tcW w:w="1861" w:type="dxa"/>
                  <w:vAlign w:val="center"/>
                </w:tcPr>
                <w:p w14:paraId="573E8CD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DG-350</w:t>
                  </w:r>
                </w:p>
              </w:tc>
              <w:tc>
                <w:tcPr>
                  <w:tcW w:w="973" w:type="dxa"/>
                  <w:vAlign w:val="center"/>
                </w:tcPr>
                <w:p w14:paraId="15AE414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3500KN</w:t>
                  </w:r>
                </w:p>
              </w:tc>
              <w:tc>
                <w:tcPr>
                  <w:tcW w:w="885" w:type="dxa"/>
                  <w:tcBorders>
                    <w:right w:val="single" w:color="auto" w:sz="4" w:space="0"/>
                  </w:tcBorders>
                  <w:vAlign w:val="center"/>
                </w:tcPr>
                <w:p w14:paraId="590A9EC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077A004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6E6A52C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71F3AA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52CD961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1735" w:type="dxa"/>
                  <w:gridSpan w:val="2"/>
                  <w:vAlign w:val="center"/>
                </w:tcPr>
                <w:p w14:paraId="3403709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水龙头</w:t>
                  </w:r>
                </w:p>
              </w:tc>
              <w:tc>
                <w:tcPr>
                  <w:tcW w:w="1861" w:type="dxa"/>
                  <w:vAlign w:val="center"/>
                </w:tcPr>
                <w:p w14:paraId="0302CC8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SL-350</w:t>
                  </w:r>
                </w:p>
              </w:tc>
              <w:tc>
                <w:tcPr>
                  <w:tcW w:w="973" w:type="dxa"/>
                  <w:vAlign w:val="center"/>
                </w:tcPr>
                <w:p w14:paraId="1D6C82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3500KN</w:t>
                  </w:r>
                </w:p>
              </w:tc>
              <w:tc>
                <w:tcPr>
                  <w:tcW w:w="885" w:type="dxa"/>
                  <w:tcBorders>
                    <w:right w:val="single" w:color="auto" w:sz="4" w:space="0"/>
                  </w:tcBorders>
                  <w:vAlign w:val="center"/>
                </w:tcPr>
                <w:p w14:paraId="66E68C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3598693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3308C17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7E1BC0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2BED7F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1735" w:type="dxa"/>
                  <w:gridSpan w:val="2"/>
                  <w:vAlign w:val="center"/>
                </w:tcPr>
                <w:p w14:paraId="5149CE0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转盘</w:t>
                  </w:r>
                </w:p>
              </w:tc>
              <w:tc>
                <w:tcPr>
                  <w:tcW w:w="1861" w:type="dxa"/>
                  <w:vAlign w:val="center"/>
                </w:tcPr>
                <w:p w14:paraId="177192A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ZP-520A/ ZP-205</w:t>
                  </w:r>
                </w:p>
              </w:tc>
              <w:tc>
                <w:tcPr>
                  <w:tcW w:w="973" w:type="dxa"/>
                  <w:vAlign w:val="center"/>
                </w:tcPr>
                <w:p w14:paraId="7B13B54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200T</w:t>
                  </w:r>
                </w:p>
              </w:tc>
              <w:tc>
                <w:tcPr>
                  <w:tcW w:w="885" w:type="dxa"/>
                  <w:tcBorders>
                    <w:right w:val="single" w:color="auto" w:sz="4" w:space="0"/>
                  </w:tcBorders>
                  <w:vAlign w:val="center"/>
                </w:tcPr>
                <w:p w14:paraId="3E1F6A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564DF8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0845F02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541A31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09C1F7C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1735" w:type="dxa"/>
                  <w:gridSpan w:val="2"/>
                  <w:vAlign w:val="center"/>
                </w:tcPr>
                <w:p w14:paraId="714BA14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绞车</w:t>
                  </w:r>
                </w:p>
              </w:tc>
              <w:tc>
                <w:tcPr>
                  <w:tcW w:w="1861" w:type="dxa"/>
                  <w:vAlign w:val="center"/>
                </w:tcPr>
                <w:p w14:paraId="7D76F0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JC-200</w:t>
                  </w:r>
                </w:p>
              </w:tc>
              <w:tc>
                <w:tcPr>
                  <w:tcW w:w="973" w:type="dxa"/>
                  <w:vAlign w:val="center"/>
                </w:tcPr>
                <w:p w14:paraId="56FB9BD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0D97AC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0EBEB97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45DD41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06C510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restart"/>
                  <w:vAlign w:val="center"/>
                </w:tcPr>
                <w:p w14:paraId="0BE4AAB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p>
              </w:tc>
              <w:tc>
                <w:tcPr>
                  <w:tcW w:w="880" w:type="dxa"/>
                  <w:vMerge w:val="restart"/>
                  <w:vAlign w:val="center"/>
                </w:tcPr>
                <w:p w14:paraId="5E75A72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泥浆泵</w:t>
                  </w:r>
                </w:p>
              </w:tc>
              <w:tc>
                <w:tcPr>
                  <w:tcW w:w="855" w:type="dxa"/>
                  <w:vAlign w:val="center"/>
                </w:tcPr>
                <w:p w14:paraId="6299CB3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861" w:type="dxa"/>
                  <w:vAlign w:val="center"/>
                </w:tcPr>
                <w:p w14:paraId="411523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3NB-1300</w:t>
                  </w:r>
                </w:p>
              </w:tc>
              <w:tc>
                <w:tcPr>
                  <w:tcW w:w="973" w:type="dxa"/>
                  <w:vAlign w:val="center"/>
                </w:tcPr>
                <w:p w14:paraId="62EF1E3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0A66F20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956</w:t>
                  </w:r>
                </w:p>
              </w:tc>
              <w:tc>
                <w:tcPr>
                  <w:tcW w:w="912" w:type="dxa"/>
                  <w:tcBorders>
                    <w:left w:val="single" w:color="auto" w:sz="4" w:space="0"/>
                    <w:right w:val="single" w:color="auto" w:sz="4" w:space="0"/>
                  </w:tcBorders>
                </w:tcPr>
                <w:p w14:paraId="2A60E74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6294EFE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62EA3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continue"/>
                  <w:vAlign w:val="center"/>
                </w:tcPr>
                <w:p w14:paraId="5124F036">
                  <w:pPr>
                    <w:pStyle w:val="26"/>
                    <w:framePr w:hSpace="0" w:wrap="auto" w:vAnchor="margin" w:hAnchor="text" w:xAlign="left" w:yAlign="inline"/>
                    <w:rPr>
                      <w:color w:val="000000" w:themeColor="text1"/>
                      <w14:textFill>
                        <w14:solidFill>
                          <w14:schemeClr w14:val="tx1"/>
                        </w14:solidFill>
                      </w14:textFill>
                    </w:rPr>
                  </w:pPr>
                </w:p>
              </w:tc>
              <w:tc>
                <w:tcPr>
                  <w:tcW w:w="880" w:type="dxa"/>
                  <w:vMerge w:val="continue"/>
                  <w:vAlign w:val="center"/>
                </w:tcPr>
                <w:p w14:paraId="1120201C">
                  <w:pPr>
                    <w:pStyle w:val="26"/>
                    <w:framePr w:hSpace="0" w:wrap="auto" w:vAnchor="margin" w:hAnchor="text" w:xAlign="left" w:yAlign="inline"/>
                    <w:rPr>
                      <w:color w:val="000000" w:themeColor="text1"/>
                      <w14:textFill>
                        <w14:solidFill>
                          <w14:schemeClr w14:val="tx1"/>
                        </w14:solidFill>
                      </w14:textFill>
                    </w:rPr>
                  </w:pPr>
                </w:p>
              </w:tc>
              <w:tc>
                <w:tcPr>
                  <w:tcW w:w="855" w:type="dxa"/>
                  <w:vAlign w:val="center"/>
                </w:tcPr>
                <w:p w14:paraId="187C998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1861" w:type="dxa"/>
                  <w:vAlign w:val="center"/>
                </w:tcPr>
                <w:p w14:paraId="7F19C0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3NB-1300</w:t>
                  </w:r>
                </w:p>
              </w:tc>
              <w:tc>
                <w:tcPr>
                  <w:tcW w:w="973" w:type="dxa"/>
                  <w:vAlign w:val="center"/>
                </w:tcPr>
                <w:p w14:paraId="1A02A73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72D68DB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956</w:t>
                  </w:r>
                </w:p>
              </w:tc>
              <w:tc>
                <w:tcPr>
                  <w:tcW w:w="912" w:type="dxa"/>
                  <w:tcBorders>
                    <w:left w:val="single" w:color="auto" w:sz="4" w:space="0"/>
                    <w:right w:val="single" w:color="auto" w:sz="4" w:space="0"/>
                  </w:tcBorders>
                </w:tcPr>
                <w:p w14:paraId="2C07E5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4605ADD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579BDA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4F6DE12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w:t>
                  </w:r>
                </w:p>
              </w:tc>
              <w:tc>
                <w:tcPr>
                  <w:tcW w:w="880" w:type="dxa"/>
                  <w:vAlign w:val="center"/>
                </w:tcPr>
                <w:p w14:paraId="4563E87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柴油机</w:t>
                  </w:r>
                </w:p>
              </w:tc>
              <w:tc>
                <w:tcPr>
                  <w:tcW w:w="855" w:type="dxa"/>
                  <w:vAlign w:val="center"/>
                </w:tcPr>
                <w:p w14:paraId="24D9FFC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861" w:type="dxa"/>
                  <w:vAlign w:val="center"/>
                </w:tcPr>
                <w:p w14:paraId="5A35B03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PZ12V190B</w:t>
                  </w:r>
                </w:p>
              </w:tc>
              <w:tc>
                <w:tcPr>
                  <w:tcW w:w="973" w:type="dxa"/>
                  <w:vAlign w:val="center"/>
                </w:tcPr>
                <w:p w14:paraId="58B5CF5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51DF767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796</w:t>
                  </w:r>
                </w:p>
              </w:tc>
              <w:tc>
                <w:tcPr>
                  <w:tcW w:w="912" w:type="dxa"/>
                  <w:tcBorders>
                    <w:left w:val="single" w:color="auto" w:sz="4" w:space="0"/>
                    <w:right w:val="single" w:color="auto" w:sz="4" w:space="0"/>
                  </w:tcBorders>
                </w:tcPr>
                <w:p w14:paraId="04D0D93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5B2939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20D514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3" w:hRule="exact"/>
                <w:jc w:val="center"/>
              </w:trPr>
              <w:tc>
                <w:tcPr>
                  <w:tcW w:w="699" w:type="dxa"/>
                  <w:vAlign w:val="center"/>
                </w:tcPr>
                <w:p w14:paraId="266C8ED7">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w:t>
                  </w:r>
                </w:p>
              </w:tc>
              <w:tc>
                <w:tcPr>
                  <w:tcW w:w="1735" w:type="dxa"/>
                  <w:gridSpan w:val="2"/>
                  <w:vAlign w:val="center"/>
                </w:tcPr>
                <w:p w14:paraId="6759411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甲醇发电机</w:t>
                  </w:r>
                </w:p>
              </w:tc>
              <w:tc>
                <w:tcPr>
                  <w:tcW w:w="1861" w:type="dxa"/>
                  <w:vAlign w:val="center"/>
                </w:tcPr>
                <w:p w14:paraId="06022B13">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973" w:type="dxa"/>
                  <w:vAlign w:val="center"/>
                </w:tcPr>
                <w:p w14:paraId="2F718D98">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885" w:type="dxa"/>
                  <w:tcBorders>
                    <w:right w:val="single" w:color="auto" w:sz="4" w:space="0"/>
                  </w:tcBorders>
                  <w:vAlign w:val="center"/>
                </w:tcPr>
                <w:p w14:paraId="258C57E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250kW</w:t>
                  </w:r>
                </w:p>
              </w:tc>
              <w:tc>
                <w:tcPr>
                  <w:tcW w:w="912" w:type="dxa"/>
                  <w:tcBorders>
                    <w:left w:val="single" w:color="auto" w:sz="4" w:space="0"/>
                    <w:right w:val="single" w:color="auto" w:sz="4" w:space="0"/>
                  </w:tcBorders>
                  <w:vAlign w:val="center"/>
                </w:tcPr>
                <w:p w14:paraId="266DD6E7">
                  <w:pPr>
                    <w:pStyle w:val="26"/>
                    <w:framePr w:hSpace="0" w:wrap="auto" w:vAnchor="margin" w:hAnchor="text" w:xAlign="left" w:yAlign="inline"/>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台</w:t>
                  </w:r>
                </w:p>
              </w:tc>
              <w:tc>
                <w:tcPr>
                  <w:tcW w:w="1118" w:type="dxa"/>
                  <w:tcBorders>
                    <w:left w:val="single" w:color="auto" w:sz="4" w:space="0"/>
                  </w:tcBorders>
                  <w:vAlign w:val="center"/>
                </w:tcPr>
                <w:p w14:paraId="0232C20A">
                  <w:pPr>
                    <w:pStyle w:val="26"/>
                    <w:framePr w:hSpace="0" w:wrap="auto" w:vAnchor="margin" w:hAnchor="text" w:xAlign="left" w:yAlign="inline"/>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12</w:t>
                  </w:r>
                </w:p>
              </w:tc>
            </w:tr>
            <w:tr w14:paraId="29AFBF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1" w:hRule="exact"/>
                <w:jc w:val="center"/>
              </w:trPr>
              <w:tc>
                <w:tcPr>
                  <w:tcW w:w="699" w:type="dxa"/>
                  <w:vMerge w:val="restart"/>
                  <w:vAlign w:val="center"/>
                </w:tcPr>
                <w:p w14:paraId="767864E2">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2</w:t>
                  </w:r>
                </w:p>
              </w:tc>
              <w:tc>
                <w:tcPr>
                  <w:tcW w:w="880" w:type="dxa"/>
                  <w:vMerge w:val="restart"/>
                  <w:tcBorders>
                    <w:right w:val="single" w:color="auto" w:sz="4" w:space="0"/>
                  </w:tcBorders>
                  <w:vAlign w:val="center"/>
                </w:tcPr>
                <w:p w14:paraId="03C31D4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四级固控装置</w:t>
                  </w:r>
                </w:p>
              </w:tc>
              <w:tc>
                <w:tcPr>
                  <w:tcW w:w="855" w:type="dxa"/>
                  <w:tcBorders>
                    <w:left w:val="single" w:color="auto" w:sz="4" w:space="0"/>
                  </w:tcBorders>
                  <w:vAlign w:val="center"/>
                </w:tcPr>
                <w:p w14:paraId="6F45F07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振动筛×3</w:t>
                  </w:r>
                </w:p>
              </w:tc>
              <w:tc>
                <w:tcPr>
                  <w:tcW w:w="1861" w:type="dxa"/>
                  <w:vAlign w:val="center"/>
                </w:tcPr>
                <w:p w14:paraId="692826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ZX-60×300</w:t>
                  </w:r>
                </w:p>
              </w:tc>
              <w:tc>
                <w:tcPr>
                  <w:tcW w:w="973" w:type="dxa"/>
                  <w:vAlign w:val="center"/>
                </w:tcPr>
                <w:p w14:paraId="445CF21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3CBFBBD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2295E1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组</w:t>
                  </w:r>
                </w:p>
              </w:tc>
              <w:tc>
                <w:tcPr>
                  <w:tcW w:w="1118" w:type="dxa"/>
                  <w:tcBorders>
                    <w:left w:val="single" w:color="auto" w:sz="4" w:space="0"/>
                  </w:tcBorders>
                </w:tcPr>
                <w:p w14:paraId="6AE68CA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2D7F23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continue"/>
                  <w:vAlign w:val="center"/>
                </w:tcPr>
                <w:p w14:paraId="5650DA06">
                  <w:pPr>
                    <w:pStyle w:val="26"/>
                    <w:framePr w:hSpace="0" w:wrap="auto" w:vAnchor="margin" w:hAnchor="text" w:xAlign="left" w:yAlign="inline"/>
                    <w:rPr>
                      <w:color w:val="000000" w:themeColor="text1"/>
                      <w14:textFill>
                        <w14:solidFill>
                          <w14:schemeClr w14:val="tx1"/>
                        </w14:solidFill>
                      </w14:textFill>
                    </w:rPr>
                  </w:pPr>
                </w:p>
              </w:tc>
              <w:tc>
                <w:tcPr>
                  <w:tcW w:w="880" w:type="dxa"/>
                  <w:vMerge w:val="continue"/>
                  <w:tcBorders>
                    <w:right w:val="single" w:color="auto" w:sz="4" w:space="0"/>
                  </w:tcBorders>
                  <w:vAlign w:val="center"/>
                </w:tcPr>
                <w:p w14:paraId="76C8EEF2">
                  <w:pPr>
                    <w:pStyle w:val="26"/>
                    <w:framePr w:hSpace="0" w:wrap="auto" w:vAnchor="margin" w:hAnchor="text" w:xAlign="left" w:yAlign="inline"/>
                    <w:rPr>
                      <w:color w:val="000000" w:themeColor="text1"/>
                      <w14:textFill>
                        <w14:solidFill>
                          <w14:schemeClr w14:val="tx1"/>
                        </w14:solidFill>
                      </w14:textFill>
                    </w:rPr>
                  </w:pPr>
                </w:p>
              </w:tc>
              <w:tc>
                <w:tcPr>
                  <w:tcW w:w="855" w:type="dxa"/>
                  <w:tcBorders>
                    <w:left w:val="single" w:color="auto" w:sz="4" w:space="0"/>
                  </w:tcBorders>
                  <w:vAlign w:val="center"/>
                </w:tcPr>
                <w:p w14:paraId="1583A0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除砂器</w:t>
                  </w:r>
                </w:p>
              </w:tc>
              <w:tc>
                <w:tcPr>
                  <w:tcW w:w="1861" w:type="dxa"/>
                  <w:vAlign w:val="center"/>
                </w:tcPr>
                <w:p w14:paraId="75BC4E5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NCS250×2</w:t>
                  </w:r>
                </w:p>
              </w:tc>
              <w:tc>
                <w:tcPr>
                  <w:tcW w:w="973" w:type="dxa"/>
                  <w:vAlign w:val="center"/>
                </w:tcPr>
                <w:p w14:paraId="5416E54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0D65D3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167148A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12FDCBC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4363EE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continue"/>
                  <w:vAlign w:val="center"/>
                </w:tcPr>
                <w:p w14:paraId="01902404">
                  <w:pPr>
                    <w:pStyle w:val="26"/>
                    <w:framePr w:hSpace="0" w:wrap="auto" w:vAnchor="margin" w:hAnchor="text" w:xAlign="left" w:yAlign="inline"/>
                    <w:rPr>
                      <w:color w:val="000000" w:themeColor="text1"/>
                      <w14:textFill>
                        <w14:solidFill>
                          <w14:schemeClr w14:val="tx1"/>
                        </w14:solidFill>
                      </w14:textFill>
                    </w:rPr>
                  </w:pPr>
                </w:p>
              </w:tc>
              <w:tc>
                <w:tcPr>
                  <w:tcW w:w="880" w:type="dxa"/>
                  <w:vMerge w:val="continue"/>
                  <w:tcBorders>
                    <w:right w:val="single" w:color="auto" w:sz="4" w:space="0"/>
                  </w:tcBorders>
                  <w:vAlign w:val="center"/>
                </w:tcPr>
                <w:p w14:paraId="11C2668D">
                  <w:pPr>
                    <w:pStyle w:val="26"/>
                    <w:framePr w:hSpace="0" w:wrap="auto" w:vAnchor="margin" w:hAnchor="text" w:xAlign="left" w:yAlign="inline"/>
                    <w:rPr>
                      <w:color w:val="000000" w:themeColor="text1"/>
                      <w14:textFill>
                        <w14:solidFill>
                          <w14:schemeClr w14:val="tx1"/>
                        </w14:solidFill>
                      </w14:textFill>
                    </w:rPr>
                  </w:pPr>
                </w:p>
              </w:tc>
              <w:tc>
                <w:tcPr>
                  <w:tcW w:w="855" w:type="dxa"/>
                  <w:tcBorders>
                    <w:left w:val="single" w:color="auto" w:sz="4" w:space="0"/>
                  </w:tcBorders>
                  <w:vAlign w:val="center"/>
                </w:tcPr>
                <w:p w14:paraId="69E4F26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除泥器</w:t>
                  </w:r>
                </w:p>
              </w:tc>
              <w:tc>
                <w:tcPr>
                  <w:tcW w:w="1861" w:type="dxa"/>
                  <w:vAlign w:val="center"/>
                </w:tcPr>
                <w:p w14:paraId="0F356F0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ZQJ125×8-1.3×0.6</w:t>
                  </w:r>
                </w:p>
              </w:tc>
              <w:tc>
                <w:tcPr>
                  <w:tcW w:w="973" w:type="dxa"/>
                  <w:vAlign w:val="center"/>
                </w:tcPr>
                <w:p w14:paraId="0FF1CB9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4A1B59F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1656F58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211526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731B8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continue"/>
                  <w:vAlign w:val="center"/>
                </w:tcPr>
                <w:p w14:paraId="6BC5F332">
                  <w:pPr>
                    <w:pStyle w:val="26"/>
                    <w:framePr w:hSpace="0" w:wrap="auto" w:vAnchor="margin" w:hAnchor="text" w:xAlign="left" w:yAlign="inline"/>
                    <w:rPr>
                      <w:color w:val="000000" w:themeColor="text1"/>
                      <w14:textFill>
                        <w14:solidFill>
                          <w14:schemeClr w14:val="tx1"/>
                        </w14:solidFill>
                      </w14:textFill>
                    </w:rPr>
                  </w:pPr>
                </w:p>
              </w:tc>
              <w:tc>
                <w:tcPr>
                  <w:tcW w:w="880" w:type="dxa"/>
                  <w:vMerge w:val="continue"/>
                  <w:tcBorders>
                    <w:right w:val="single" w:color="auto" w:sz="4" w:space="0"/>
                  </w:tcBorders>
                  <w:vAlign w:val="center"/>
                </w:tcPr>
                <w:p w14:paraId="240FB02A">
                  <w:pPr>
                    <w:pStyle w:val="26"/>
                    <w:framePr w:hSpace="0" w:wrap="auto" w:vAnchor="margin" w:hAnchor="text" w:xAlign="left" w:yAlign="inline"/>
                    <w:rPr>
                      <w:color w:val="000000" w:themeColor="text1"/>
                      <w14:textFill>
                        <w14:solidFill>
                          <w14:schemeClr w14:val="tx1"/>
                        </w14:solidFill>
                      </w14:textFill>
                    </w:rPr>
                  </w:pPr>
                </w:p>
              </w:tc>
              <w:tc>
                <w:tcPr>
                  <w:tcW w:w="855" w:type="dxa"/>
                  <w:tcBorders>
                    <w:left w:val="single" w:color="auto" w:sz="4" w:space="0"/>
                  </w:tcBorders>
                  <w:vAlign w:val="center"/>
                </w:tcPr>
                <w:p w14:paraId="08E5FD6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离心机</w:t>
                  </w:r>
                </w:p>
              </w:tc>
              <w:tc>
                <w:tcPr>
                  <w:tcW w:w="1861" w:type="dxa"/>
                  <w:vAlign w:val="center"/>
                </w:tcPr>
                <w:p w14:paraId="7A37DA9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LW450-842N</w:t>
                  </w:r>
                </w:p>
              </w:tc>
              <w:tc>
                <w:tcPr>
                  <w:tcW w:w="973" w:type="dxa"/>
                  <w:vAlign w:val="center"/>
                </w:tcPr>
                <w:p w14:paraId="4BCADD0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408F2D1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4FC19E6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51E5AC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2F1A8A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continue"/>
                  <w:vAlign w:val="center"/>
                </w:tcPr>
                <w:p w14:paraId="021A0321">
                  <w:pPr>
                    <w:pStyle w:val="26"/>
                    <w:framePr w:hSpace="0" w:wrap="auto" w:vAnchor="margin" w:hAnchor="text" w:xAlign="left" w:yAlign="inline"/>
                    <w:rPr>
                      <w:color w:val="000000" w:themeColor="text1"/>
                      <w14:textFill>
                        <w14:solidFill>
                          <w14:schemeClr w14:val="tx1"/>
                        </w14:solidFill>
                      </w14:textFill>
                    </w:rPr>
                  </w:pPr>
                </w:p>
              </w:tc>
              <w:tc>
                <w:tcPr>
                  <w:tcW w:w="880" w:type="dxa"/>
                  <w:vMerge w:val="continue"/>
                  <w:tcBorders>
                    <w:right w:val="single" w:color="auto" w:sz="4" w:space="0"/>
                  </w:tcBorders>
                  <w:vAlign w:val="center"/>
                </w:tcPr>
                <w:p w14:paraId="3AF6BC04">
                  <w:pPr>
                    <w:pStyle w:val="26"/>
                    <w:framePr w:hSpace="0" w:wrap="auto" w:vAnchor="margin" w:hAnchor="text" w:xAlign="left" w:yAlign="inline"/>
                    <w:rPr>
                      <w:color w:val="000000" w:themeColor="text1"/>
                      <w14:textFill>
                        <w14:solidFill>
                          <w14:schemeClr w14:val="tx1"/>
                        </w14:solidFill>
                      </w14:textFill>
                    </w:rPr>
                  </w:pPr>
                </w:p>
              </w:tc>
              <w:tc>
                <w:tcPr>
                  <w:tcW w:w="855" w:type="dxa"/>
                  <w:tcBorders>
                    <w:left w:val="single" w:color="auto" w:sz="4" w:space="0"/>
                  </w:tcBorders>
                  <w:vAlign w:val="center"/>
                </w:tcPr>
                <w:p w14:paraId="2697B3A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除气器</w:t>
                  </w:r>
                </w:p>
              </w:tc>
              <w:tc>
                <w:tcPr>
                  <w:tcW w:w="1861" w:type="dxa"/>
                  <w:vAlign w:val="center"/>
                </w:tcPr>
                <w:p w14:paraId="24D4FCF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HZQ1/4</w:t>
                  </w:r>
                </w:p>
              </w:tc>
              <w:tc>
                <w:tcPr>
                  <w:tcW w:w="973" w:type="dxa"/>
                  <w:vAlign w:val="center"/>
                </w:tcPr>
                <w:p w14:paraId="19F9790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12A3FD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38306F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3544E53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6A157A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284FBFE6">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3</w:t>
                  </w:r>
                </w:p>
              </w:tc>
              <w:tc>
                <w:tcPr>
                  <w:tcW w:w="1735" w:type="dxa"/>
                  <w:gridSpan w:val="2"/>
                  <w:vAlign w:val="center"/>
                </w:tcPr>
                <w:p w14:paraId="1681975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净化罐</w:t>
                  </w:r>
                </w:p>
              </w:tc>
              <w:tc>
                <w:tcPr>
                  <w:tcW w:w="1861" w:type="dxa"/>
                  <w:vAlign w:val="center"/>
                </w:tcPr>
                <w:p w14:paraId="04970A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40m</w:t>
                  </w:r>
                  <w:r>
                    <w:rPr>
                      <w:color w:val="000000" w:themeColor="text1"/>
                      <w:vertAlign w:val="superscript"/>
                      <w14:textFill>
                        <w14:solidFill>
                          <w14:schemeClr w14:val="tx1"/>
                        </w14:solidFill>
                      </w14:textFill>
                    </w:rPr>
                    <w:t>3</w:t>
                  </w:r>
                </w:p>
              </w:tc>
              <w:tc>
                <w:tcPr>
                  <w:tcW w:w="973" w:type="dxa"/>
                  <w:vAlign w:val="center"/>
                </w:tcPr>
                <w:p w14:paraId="317C439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073A1A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5B26CC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vAlign w:val="center"/>
                </w:tcPr>
                <w:p w14:paraId="7A92BAC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r>
            <w:tr w14:paraId="26B67B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54FD0E9A">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4</w:t>
                  </w:r>
                </w:p>
              </w:tc>
              <w:tc>
                <w:tcPr>
                  <w:tcW w:w="1735" w:type="dxa"/>
                  <w:gridSpan w:val="2"/>
                  <w:vAlign w:val="center"/>
                </w:tcPr>
                <w:p w14:paraId="0B26064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套装水罐</w:t>
                  </w:r>
                </w:p>
              </w:tc>
              <w:tc>
                <w:tcPr>
                  <w:tcW w:w="1861" w:type="dxa"/>
                  <w:vAlign w:val="center"/>
                </w:tcPr>
                <w:p w14:paraId="4CCAE36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60m</w:t>
                  </w:r>
                  <w:r>
                    <w:rPr>
                      <w:color w:val="000000" w:themeColor="text1"/>
                      <w:vertAlign w:val="superscript"/>
                      <w14:textFill>
                        <w14:solidFill>
                          <w14:schemeClr w14:val="tx1"/>
                        </w14:solidFill>
                      </w14:textFill>
                    </w:rPr>
                    <w:t>3</w:t>
                  </w:r>
                </w:p>
              </w:tc>
              <w:tc>
                <w:tcPr>
                  <w:tcW w:w="973" w:type="dxa"/>
                  <w:vAlign w:val="center"/>
                </w:tcPr>
                <w:p w14:paraId="1E83911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3861AD3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163F07F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vAlign w:val="center"/>
                </w:tcPr>
                <w:p w14:paraId="0B21B2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286DA2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41BECE5B">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p>
              </w:tc>
              <w:tc>
                <w:tcPr>
                  <w:tcW w:w="1735" w:type="dxa"/>
                  <w:gridSpan w:val="2"/>
                  <w:vAlign w:val="center"/>
                </w:tcPr>
                <w:p w14:paraId="4FFF5D2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油水罐</w:t>
                  </w:r>
                </w:p>
              </w:tc>
              <w:tc>
                <w:tcPr>
                  <w:tcW w:w="1861" w:type="dxa"/>
                  <w:vAlign w:val="center"/>
                </w:tcPr>
                <w:p w14:paraId="12A5E18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40m</w:t>
                  </w:r>
                  <w:r>
                    <w:rPr>
                      <w:color w:val="000000" w:themeColor="text1"/>
                      <w:vertAlign w:val="superscript"/>
                      <w14:textFill>
                        <w14:solidFill>
                          <w14:schemeClr w14:val="tx1"/>
                        </w14:solidFill>
                      </w14:textFill>
                    </w:rPr>
                    <w:t>3</w:t>
                  </w:r>
                </w:p>
              </w:tc>
              <w:tc>
                <w:tcPr>
                  <w:tcW w:w="973" w:type="dxa"/>
                  <w:vAlign w:val="center"/>
                </w:tcPr>
                <w:p w14:paraId="00C91C7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3E5675D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15F4C8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vAlign w:val="center"/>
                </w:tcPr>
                <w:p w14:paraId="6AAA75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r>
            <w:tr w14:paraId="67C0F9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10EFC803">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6</w:t>
                  </w:r>
                </w:p>
              </w:tc>
              <w:tc>
                <w:tcPr>
                  <w:tcW w:w="1735" w:type="dxa"/>
                  <w:gridSpan w:val="2"/>
                  <w:vAlign w:val="center"/>
                </w:tcPr>
                <w:p w14:paraId="59D8E06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柴油罐</w:t>
                  </w:r>
                </w:p>
              </w:tc>
              <w:tc>
                <w:tcPr>
                  <w:tcW w:w="1861" w:type="dxa"/>
                  <w:vAlign w:val="center"/>
                </w:tcPr>
                <w:p w14:paraId="7025839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20m</w:t>
                  </w:r>
                  <w:r>
                    <w:rPr>
                      <w:color w:val="000000" w:themeColor="text1"/>
                      <w:vertAlign w:val="superscript"/>
                      <w14:textFill>
                        <w14:solidFill>
                          <w14:schemeClr w14:val="tx1"/>
                        </w14:solidFill>
                      </w14:textFill>
                    </w:rPr>
                    <w:t>3</w:t>
                  </w:r>
                </w:p>
              </w:tc>
              <w:tc>
                <w:tcPr>
                  <w:tcW w:w="973" w:type="dxa"/>
                  <w:vAlign w:val="center"/>
                </w:tcPr>
                <w:p w14:paraId="6A353BB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17401CC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119C63C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vAlign w:val="center"/>
                </w:tcPr>
                <w:p w14:paraId="37AC4AD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5B9DCA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712B795E">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7</w:t>
                  </w:r>
                </w:p>
              </w:tc>
              <w:tc>
                <w:tcPr>
                  <w:tcW w:w="1735" w:type="dxa"/>
                  <w:gridSpan w:val="2"/>
                  <w:vAlign w:val="center"/>
                </w:tcPr>
                <w:p w14:paraId="2BDBEC6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泥浆罐</w:t>
                  </w:r>
                </w:p>
              </w:tc>
              <w:tc>
                <w:tcPr>
                  <w:tcW w:w="1861" w:type="dxa"/>
                  <w:vAlign w:val="center"/>
                </w:tcPr>
                <w:p w14:paraId="2F0922E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100m</w:t>
                  </w:r>
                  <w:r>
                    <w:rPr>
                      <w:rFonts w:hint="eastAsia"/>
                      <w:color w:val="000000" w:themeColor="text1"/>
                      <w:vertAlign w:val="superscript"/>
                      <w14:textFill>
                        <w14:solidFill>
                          <w14:schemeClr w14:val="tx1"/>
                        </w14:solidFill>
                      </w14:textFill>
                    </w:rPr>
                    <w:t>3</w:t>
                  </w:r>
                </w:p>
              </w:tc>
              <w:tc>
                <w:tcPr>
                  <w:tcW w:w="973" w:type="dxa"/>
                  <w:vAlign w:val="center"/>
                </w:tcPr>
                <w:p w14:paraId="0C8DD370">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37F53466">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54E7F62F">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个</w:t>
                  </w:r>
                </w:p>
              </w:tc>
              <w:tc>
                <w:tcPr>
                  <w:tcW w:w="1118" w:type="dxa"/>
                  <w:tcBorders>
                    <w:left w:val="single" w:color="auto" w:sz="4" w:space="0"/>
                  </w:tcBorders>
                  <w:vAlign w:val="center"/>
                </w:tcPr>
                <w:p w14:paraId="61DC4DB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r>
            <w:tr w14:paraId="1396F5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4F5D68DB">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8</w:t>
                  </w:r>
                </w:p>
              </w:tc>
              <w:tc>
                <w:tcPr>
                  <w:tcW w:w="1735" w:type="dxa"/>
                  <w:gridSpan w:val="2"/>
                  <w:vAlign w:val="center"/>
                </w:tcPr>
                <w:p w14:paraId="4D8C77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岩屑储罐</w:t>
                  </w:r>
                </w:p>
              </w:tc>
              <w:tc>
                <w:tcPr>
                  <w:tcW w:w="1861" w:type="dxa"/>
                  <w:vAlign w:val="center"/>
                </w:tcPr>
                <w:p w14:paraId="20CC3AE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50m</w:t>
                  </w:r>
                  <w:r>
                    <w:rPr>
                      <w:color w:val="000000" w:themeColor="text1"/>
                      <w:vertAlign w:val="superscript"/>
                      <w14:textFill>
                        <w14:solidFill>
                          <w14:schemeClr w14:val="tx1"/>
                        </w14:solidFill>
                      </w14:textFill>
                    </w:rPr>
                    <w:t>3</w:t>
                  </w:r>
                </w:p>
              </w:tc>
              <w:tc>
                <w:tcPr>
                  <w:tcW w:w="973" w:type="dxa"/>
                  <w:vAlign w:val="center"/>
                </w:tcPr>
                <w:p w14:paraId="55FB622A">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27F1C757">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0179258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vAlign w:val="center"/>
                </w:tcPr>
                <w:p w14:paraId="1FA18C7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r>
            <w:tr w14:paraId="1C75C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2150F734">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9</w:t>
                  </w:r>
                </w:p>
              </w:tc>
              <w:tc>
                <w:tcPr>
                  <w:tcW w:w="1735" w:type="dxa"/>
                  <w:gridSpan w:val="2"/>
                  <w:vAlign w:val="center"/>
                </w:tcPr>
                <w:p w14:paraId="3A28370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硫化氢监测仪</w:t>
                  </w:r>
                </w:p>
              </w:tc>
              <w:tc>
                <w:tcPr>
                  <w:tcW w:w="1861" w:type="dxa"/>
                  <w:vAlign w:val="center"/>
                </w:tcPr>
                <w:p w14:paraId="33D310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便携式</w:t>
                  </w:r>
                </w:p>
              </w:tc>
              <w:tc>
                <w:tcPr>
                  <w:tcW w:w="973" w:type="dxa"/>
                  <w:vAlign w:val="center"/>
                </w:tcPr>
                <w:p w14:paraId="433BF62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6E5F5B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5B58AB4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套</w:t>
                  </w:r>
                </w:p>
              </w:tc>
              <w:tc>
                <w:tcPr>
                  <w:tcW w:w="1118" w:type="dxa"/>
                  <w:tcBorders>
                    <w:left w:val="single" w:color="auto" w:sz="4" w:space="0"/>
                  </w:tcBorders>
                  <w:vAlign w:val="center"/>
                </w:tcPr>
                <w:p w14:paraId="73AF05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r>
            <w:tr w14:paraId="2D5CF3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53AA256E">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w:t>
                  </w:r>
                </w:p>
              </w:tc>
              <w:tc>
                <w:tcPr>
                  <w:tcW w:w="1735" w:type="dxa"/>
                  <w:gridSpan w:val="2"/>
                  <w:vAlign w:val="center"/>
                </w:tcPr>
                <w:p w14:paraId="537037F9">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甲醇罐</w:t>
                  </w:r>
                </w:p>
              </w:tc>
              <w:tc>
                <w:tcPr>
                  <w:tcW w:w="1861" w:type="dxa"/>
                  <w:vAlign w:val="center"/>
                </w:tcPr>
                <w:p w14:paraId="4C018E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50m</w:t>
                  </w:r>
                  <w:r>
                    <w:rPr>
                      <w:color w:val="000000" w:themeColor="text1"/>
                      <w:vertAlign w:val="superscript"/>
                      <w14:textFill>
                        <w14:solidFill>
                          <w14:schemeClr w14:val="tx1"/>
                        </w14:solidFill>
                      </w14:textFill>
                    </w:rPr>
                    <w:t>3</w:t>
                  </w:r>
                </w:p>
              </w:tc>
              <w:tc>
                <w:tcPr>
                  <w:tcW w:w="973" w:type="dxa"/>
                  <w:vAlign w:val="center"/>
                </w:tcPr>
                <w:p w14:paraId="58F45571">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54B6623F">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266CBB13">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个</w:t>
                  </w:r>
                </w:p>
              </w:tc>
              <w:tc>
                <w:tcPr>
                  <w:tcW w:w="1118" w:type="dxa"/>
                  <w:tcBorders>
                    <w:left w:val="single" w:color="auto" w:sz="4" w:space="0"/>
                  </w:tcBorders>
                  <w:vAlign w:val="center"/>
                </w:tcPr>
                <w:p w14:paraId="1FC709E9">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r>
          </w:tbl>
          <w:p w14:paraId="6DB63EA4">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4.4 钻井液体系</w:t>
            </w:r>
          </w:p>
          <w:p w14:paraId="038E01BC">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本项目H2平台萨102-124等4口井全井段钻井液要求：</w:t>
            </w:r>
            <w:r>
              <w:rPr>
                <w:rFonts w:hint="eastAsia"/>
                <w:color w:val="000000" w:themeColor="text1"/>
                <w14:textFill>
                  <w14:solidFill>
                    <w14:schemeClr w14:val="tx1"/>
                  </w14:solidFill>
                </w14:textFill>
              </w:rPr>
              <w:t>一开采用水基钻井液，二开、三开采用油基钻井液。水基钻井液主要成分为清水、膨润土、Na</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CO</w:t>
            </w:r>
            <w:r>
              <w:rPr>
                <w:rFonts w:hint="eastAsia"/>
                <w:color w:val="000000" w:themeColor="text1"/>
                <w:vertAlign w:val="subscript"/>
                <w14:textFill>
                  <w14:solidFill>
                    <w14:schemeClr w14:val="tx1"/>
                  </w14:solidFill>
                </w14:textFill>
              </w:rPr>
              <w:t>3</w:t>
            </w:r>
            <w:r>
              <w:rPr>
                <w:rFonts w:hint="eastAsia"/>
                <w:color w:val="000000" w:themeColor="text1"/>
                <w14:textFill>
                  <w14:solidFill>
                    <w14:schemeClr w14:val="tx1"/>
                  </w14:solidFill>
                </w14:textFill>
              </w:rPr>
              <w:t>、NaOH、重晶石粉等；油基钻井液主要成分为白油/柴油、CaCl</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、超细碳酸钙、CaO、重晶石粉等。本项目单井水基钻井液用量为350m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、油基钻井液用量850m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，4口井水井钻井液总量约1400m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、油基钻井液总量约3400m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p w14:paraId="79E528FD">
            <w:pPr>
              <w:pStyle w:val="8"/>
              <w:spacing w:after="0"/>
              <w:ind w:firstLine="480"/>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膨润土：</w:t>
            </w:r>
            <w:r>
              <w:rPr>
                <w:color w:val="000000" w:themeColor="text1"/>
                <w:kern w:val="0"/>
                <w:szCs w:val="21"/>
                <w14:textFill>
                  <w14:solidFill>
                    <w14:schemeClr w14:val="tx1"/>
                  </w14:solidFill>
                </w14:textFill>
              </w:rPr>
              <w:t>主要成分为蒙脱石，外观是适当粒度的粉末，因含杂质的不同，有白色、灰色、灰黄色和紫红色等颜色，易吸潮，吸潮后结块。</w:t>
            </w:r>
          </w:p>
          <w:p w14:paraId="67626BBE">
            <w:pPr>
              <w:pStyle w:val="8"/>
              <w:spacing w:after="0"/>
              <w:ind w:firstLine="480"/>
              <w:rPr>
                <w:color w:val="000000" w:themeColor="text1"/>
                <w14:textFill>
                  <w14:solidFill>
                    <w14:schemeClr w14:val="tx1"/>
                  </w14:solidFill>
                </w14:textFill>
              </w:rPr>
            </w:pPr>
            <w:r>
              <w:rPr>
                <w:color w:val="000000" w:themeColor="text1"/>
                <w14:textFill>
                  <w14:solidFill>
                    <w14:schemeClr w14:val="tx1"/>
                  </w14:solidFill>
                </w14:textFill>
              </w:rPr>
              <w:t>Na</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CO</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白色粉末，或不透明单斜晶系细微晶体，无臭、味微咸而性凉，易溶于水及甘油，水溶液呈微碱性。受热易分解，在潮湿空气中缓慢分解，产生二氧化碳，约50℃开始分解，加热至270℃完全分解。遇酸则强烈分解，产生二氧化碳。</w:t>
            </w:r>
          </w:p>
          <w:p w14:paraId="45CC3F59">
            <w:pPr>
              <w:pStyle w:val="8"/>
              <w:spacing w:after="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NaOH：氢氧化钠又称烧碱、火碱或苛性钠。白色结晶，有液体、固体片状三种产品，纯度从50%至99%不等，密度2~2.2g/cm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，易吸潮，有强烈的腐蚀性。</w:t>
            </w:r>
          </w:p>
          <w:p w14:paraId="47A725AE">
            <w:pPr>
              <w:pStyle w:val="8"/>
              <w:spacing w:after="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重晶石：成分为硫酸钡。产于低温热液矿脉中不溶于水和盐酸，无磁性和毒性。</w:t>
            </w:r>
          </w:p>
          <w:p w14:paraId="725D50B6">
            <w:pPr>
              <w:pStyle w:val="8"/>
              <w:spacing w:after="0"/>
              <w:ind w:firstLine="480"/>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白油：</w:t>
            </w:r>
            <w:r>
              <w:rPr>
                <w:color w:val="000000" w:themeColor="text1"/>
                <w:kern w:val="0"/>
                <w:szCs w:val="21"/>
                <w14:textFill>
                  <w14:solidFill>
                    <w14:schemeClr w14:val="tx1"/>
                  </w14:solidFill>
                </w14:textFill>
              </w:rPr>
              <w:t>无色透明油状液体。在日光下观察不显荧光。室温下无味。无臭。相对密度0.860～0.905(25/4℃</w:t>
            </w: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粘度（50℃）7.5～18MPa·s。着火点130℃～185℃，粘度指数90～125。凝固点-3℃～-30℃。酸价0.01～0.02mgKOH/g。色泽0°～3°。不溶于水、冷乙醇和甘油，能溶于二硫化碳、乙醚、氯仿、苯和热乙醇。樟脑、薄荷油、麝香可在白油中溶解。</w:t>
            </w:r>
          </w:p>
          <w:p w14:paraId="00EE416B">
            <w:pPr>
              <w:pStyle w:val="8"/>
              <w:spacing w:after="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CaCl</w:t>
            </w:r>
            <w:r>
              <w:rPr>
                <w:rFonts w:hint="eastAsia"/>
                <w:color w:val="000000" w:themeColor="text1"/>
                <w:vertAlign w:val="subscript"/>
                <w14:textFill>
                  <w14:solidFill>
                    <w14:schemeClr w14:val="tx1"/>
                  </w14:solidFill>
                </w14:textFill>
              </w:rPr>
              <w:t>2</w:t>
            </w:r>
            <w:r>
              <w:rPr>
                <w:color w:val="000000" w:themeColor="text1"/>
                <w14:textFill>
                  <w14:solidFill>
                    <w14:schemeClr w14:val="tx1"/>
                  </w14:solidFill>
                </w14:textFill>
              </w:rPr>
              <w:t>：CaCl₂（氯化钙）是一种典型的无机卤化物</w:t>
            </w:r>
            <w:r>
              <w:rPr>
                <w:rFonts w:hint="eastAsia"/>
                <w:color w:val="000000" w:themeColor="text1"/>
                <w14:textFill>
                  <w14:solidFill>
                    <w14:schemeClr w14:val="tx1"/>
                  </w14:solidFill>
                </w14:textFill>
              </w:rPr>
              <w:t>，无水CaCl</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为白色多孔块状、粒状或蜂窝状固体；极易溶于水，也能溶于乙醇、丙酮等有机溶剂，但溶解度低于水。具有极强的吸湿性，熔点较高，约为772℃；沸点约为1600℃。CaCl</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的化学性质由Ca</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和Cl</w:t>
            </w:r>
            <w:r>
              <w:rPr>
                <w:rFonts w:hint="eastAsia"/>
                <w:color w:val="000000" w:themeColor="text1"/>
                <w:vertAlign w:val="superscript"/>
                <w14:textFill>
                  <w14:solidFill>
                    <w14:schemeClr w14:val="tx1"/>
                  </w14:solidFill>
                </w14:textFill>
              </w:rPr>
              <w:t>-</w:t>
            </w:r>
            <w:r>
              <w:rPr>
                <w:rFonts w:hint="eastAsia"/>
                <w:color w:val="000000" w:themeColor="text1"/>
                <w14:textFill>
                  <w14:solidFill>
                    <w14:schemeClr w14:val="tx1"/>
                  </w14:solidFill>
                </w14:textFill>
              </w:rPr>
              <w:t>离子决定，表现出典型的金属氯化物特性，且反应活性相对温和。</w:t>
            </w:r>
          </w:p>
          <w:p w14:paraId="4F505D8B">
            <w:pPr>
              <w:pStyle w:val="8"/>
              <w:spacing w:after="0"/>
              <w:ind w:firstLine="480"/>
              <w:rPr>
                <w:color w:val="000000" w:themeColor="text1"/>
                <w:kern w:val="0"/>
                <w:szCs w:val="21"/>
                <w14:textFill>
                  <w14:solidFill>
                    <w14:schemeClr w14:val="tx1"/>
                  </w14:solidFill>
                </w14:textFill>
              </w:rPr>
            </w:pPr>
            <w:r>
              <w:rPr>
                <w:color w:val="000000" w:themeColor="text1"/>
                <w14:textFill>
                  <w14:solidFill>
                    <w14:schemeClr w14:val="tx1"/>
                  </w14:solidFill>
                </w14:textFill>
              </w:rPr>
              <w:t>CaO：俗名生石灰。物理性质是表面白色粉末，不纯者为灰白色，含有杂质时呈淡黄色或灰色，具有吸湿性。易从空气中吸收</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"https://baike.baidu.com/item/%E4%BA%8C%E6%B0%A7%E5%8C%96%E7%A2%B3/0?fromModule=lemma_inlink" \t "https://baike.baidu.com/item/%E6%B0%A7%E5%8C%96%E9%92%99/_blank"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二氧化碳</w:t>
            </w:r>
            <w:r>
              <w:rPr>
                <w:color w:val="000000" w:themeColor="text1"/>
                <w14:textFill>
                  <w14:solidFill>
                    <w14:schemeClr w14:val="tx1"/>
                  </w14:solidFill>
                </w14:textFill>
              </w:rPr>
              <w:fldChar w:fldCharType="end"/>
            </w:r>
            <w:r>
              <w:rPr>
                <w:color w:val="000000" w:themeColor="text1"/>
                <w14:textFill>
                  <w14:solidFill>
                    <w14:schemeClr w14:val="tx1"/>
                  </w14:solidFill>
                </w14:textFill>
              </w:rPr>
              <w:t>及水分。与水反应生成</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"https://baike.baidu.com/item/%E6%B0%A2%E6%B0%A7%E5%8C%96%E9%92%99/0?fromModule=lemma_inlink" \t "https://baike.baidu.com/item/%E6%B0%A7%E5%8C%96%E9%92%99/_blank"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氢氧化钙</w:t>
            </w:r>
            <w:r>
              <w:rPr>
                <w:color w:val="000000" w:themeColor="text1"/>
                <w14:textFill>
                  <w14:solidFill>
                    <w14:schemeClr w14:val="tx1"/>
                  </w14:solidFill>
                </w14:textFill>
              </w:rPr>
              <w:fldChar w:fldCharType="end"/>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OH</w:t>
            </w:r>
            <w:r>
              <w:rPr>
                <w:rFonts w:hint="eastAsia"/>
                <w:color w:val="000000" w:themeColor="text1"/>
                <w14:textFill>
                  <w14:solidFill>
                    <w14:schemeClr w14:val="tx1"/>
                  </w14:solidFill>
                </w14:textFill>
              </w:rPr>
              <w:t>)</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）并产生大量热，有腐蚀性。</w:t>
            </w:r>
          </w:p>
          <w:p w14:paraId="592175C3">
            <w:pPr>
              <w:keepNext/>
              <w:keepLines/>
              <w:ind w:firstLine="0" w:firstLineChars="0"/>
              <w:jc w:val="left"/>
              <w:outlineLvl w:val="1"/>
              <w:rPr>
                <w:b/>
                <w:bCs/>
                <w:color w:val="000000" w:themeColor="text1"/>
                <w14:textFill>
                  <w14:solidFill>
                    <w14:schemeClr w14:val="tx1"/>
                  </w14:solidFill>
                </w14:textFill>
              </w:rPr>
            </w:pPr>
            <w:r>
              <w:rPr>
                <w:b/>
                <w:bCs/>
                <w:color w:val="000000" w:themeColor="text1"/>
                <w14:textFill>
                  <w14:solidFill>
                    <w14:schemeClr w14:val="tx1"/>
                  </w14:solidFill>
                </w14:textFill>
              </w:rPr>
              <w:t>4.5 钻井周期</w:t>
            </w:r>
          </w:p>
          <w:p w14:paraId="73AF9E17">
            <w:pPr>
              <w:pStyle w:val="3"/>
              <w:ind w:firstLine="480"/>
              <w:rPr>
                <w:b w:val="0"/>
                <w:bCs w:val="0"/>
                <w:color w:val="000000" w:themeColor="text1"/>
                <w:sz w:val="28"/>
                <w:szCs w:val="28"/>
                <w14:textFill>
                  <w14:solidFill>
                    <w14:schemeClr w14:val="tx1"/>
                  </w14:solidFill>
                </w14:textFill>
              </w:rPr>
            </w:pPr>
            <w:r>
              <w:rPr>
                <w:b w:val="0"/>
                <w:bCs w:val="0"/>
                <w:color w:val="000000" w:themeColor="text1"/>
                <w14:textFill>
                  <w14:solidFill>
                    <w14:schemeClr w14:val="tx1"/>
                  </w14:solidFill>
                </w14:textFill>
              </w:rPr>
              <w:t>本项目</w:t>
            </w:r>
            <w:r>
              <w:rPr>
                <w:rFonts w:hint="eastAsia"/>
                <w:b w:val="0"/>
                <w:bCs w:val="0"/>
                <w:color w:val="000000" w:themeColor="text1"/>
                <w:lang w:val="en-US" w:eastAsia="zh-CN"/>
                <w14:textFill>
                  <w14:solidFill>
                    <w14:schemeClr w14:val="tx1"/>
                  </w14:solidFill>
                </w14:textFill>
              </w:rPr>
              <w:t>4口井依次开钻，</w:t>
            </w:r>
            <w:r>
              <w:rPr>
                <w:b w:val="0"/>
                <w:bCs w:val="0"/>
                <w:color w:val="000000" w:themeColor="text1"/>
                <w14:textFill>
                  <w14:solidFill>
                    <w14:schemeClr w14:val="tx1"/>
                  </w14:solidFill>
                </w14:textFill>
              </w:rPr>
              <w:t>钻井周期总计</w:t>
            </w:r>
            <w:r>
              <w:rPr>
                <w:rFonts w:hint="eastAsia"/>
                <w:b w:val="0"/>
                <w:bCs w:val="0"/>
                <w:color w:val="000000" w:themeColor="text1"/>
                <w14:textFill>
                  <w14:solidFill>
                    <w14:schemeClr w14:val="tx1"/>
                  </w14:solidFill>
                </w14:textFill>
              </w:rPr>
              <w:t>196</w:t>
            </w:r>
            <w:r>
              <w:rPr>
                <w:b w:val="0"/>
                <w:bCs w:val="0"/>
                <w:color w:val="000000" w:themeColor="text1"/>
                <w14:textFill>
                  <w14:solidFill>
                    <w14:schemeClr w14:val="tx1"/>
                  </w14:solidFill>
                </w14:textFill>
              </w:rPr>
              <w:t>天，</w:t>
            </w:r>
            <w:r>
              <w:rPr>
                <w:rFonts w:hint="eastAsia"/>
                <w:b w:val="0"/>
                <w:bCs w:val="0"/>
                <w:color w:val="000000" w:themeColor="text1"/>
                <w:lang w:val="en-US" w:eastAsia="zh-CN"/>
                <w14:textFill>
                  <w14:solidFill>
                    <w14:schemeClr w14:val="tx1"/>
                  </w14:solidFill>
                </w14:textFill>
              </w:rPr>
              <w:t>施工人数40人/井</w:t>
            </w:r>
            <w:r>
              <w:rPr>
                <w:b w:val="0"/>
                <w:bCs w:val="0"/>
                <w:color w:val="000000" w:themeColor="text1"/>
                <w14:textFill>
                  <w14:solidFill>
                    <w14:schemeClr w14:val="tx1"/>
                  </w14:solidFill>
                </w14:textFill>
              </w:rPr>
              <w:t>。</w:t>
            </w:r>
          </w:p>
          <w:p w14:paraId="3350D9E8">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 试油工程</w:t>
            </w:r>
          </w:p>
          <w:p w14:paraId="3FC4755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（1）试油设备</w:t>
            </w:r>
          </w:p>
          <w:p w14:paraId="6ED77A0D">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本项目对完钻后的新井进行试油，试油主要包括测井、油气测试、完井等工序组成，试油期单井主要设备见表2-</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w:t>
            </w:r>
          </w:p>
          <w:p w14:paraId="5B723BEF">
            <w:pPr>
              <w:overflowPunct w:val="0"/>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表2-</w:t>
            </w:r>
            <w:r>
              <w:rPr>
                <w:rFonts w:hint="eastAsia"/>
                <w:b/>
                <w:color w:val="000000" w:themeColor="text1"/>
                <w:sz w:val="21"/>
                <w:szCs w:val="21"/>
                <w14:textFill>
                  <w14:solidFill>
                    <w14:schemeClr w14:val="tx1"/>
                  </w14:solidFill>
                </w14:textFill>
              </w:rPr>
              <w:t>7</w:t>
            </w:r>
            <w:r>
              <w:rPr>
                <w:b/>
                <w:color w:val="000000" w:themeColor="text1"/>
                <w:sz w:val="21"/>
                <w:szCs w:val="21"/>
                <w14:textFill>
                  <w14:solidFill>
                    <w14:schemeClr w14:val="tx1"/>
                  </w14:solidFill>
                </w14:textFill>
              </w:rPr>
              <w:t xml:space="preserve">  试油期主要设备</w:t>
            </w:r>
          </w:p>
          <w:tbl>
            <w:tblPr>
              <w:tblStyle w:val="16"/>
              <w:tblW w:w="4995" w:type="pct"/>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1752"/>
              <w:gridCol w:w="1932"/>
              <w:gridCol w:w="848"/>
              <w:gridCol w:w="573"/>
              <w:gridCol w:w="2358"/>
            </w:tblGrid>
            <w:tr w14:paraId="54D38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42" w:type="pct"/>
                  <w:vAlign w:val="center"/>
                </w:tcPr>
                <w:p w14:paraId="4872195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1069" w:type="pct"/>
                  <w:vAlign w:val="center"/>
                </w:tcPr>
                <w:p w14:paraId="5C43E0F2">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设备名称</w:t>
                  </w:r>
                </w:p>
              </w:tc>
              <w:tc>
                <w:tcPr>
                  <w:tcW w:w="1179" w:type="pct"/>
                  <w:vAlign w:val="center"/>
                </w:tcPr>
                <w:p w14:paraId="33198DC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型号及规格</w:t>
                  </w:r>
                </w:p>
              </w:tc>
              <w:tc>
                <w:tcPr>
                  <w:tcW w:w="518" w:type="pct"/>
                  <w:vAlign w:val="center"/>
                </w:tcPr>
                <w:p w14:paraId="76614B1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单位</w:t>
                  </w:r>
                </w:p>
              </w:tc>
              <w:tc>
                <w:tcPr>
                  <w:tcW w:w="350" w:type="pct"/>
                  <w:vAlign w:val="center"/>
                </w:tcPr>
                <w:p w14:paraId="0D8B4B0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数量</w:t>
                  </w:r>
                </w:p>
              </w:tc>
              <w:tc>
                <w:tcPr>
                  <w:tcW w:w="1439" w:type="pct"/>
                  <w:vAlign w:val="center"/>
                </w:tcPr>
                <w:p w14:paraId="33C983D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备注</w:t>
                  </w:r>
                </w:p>
              </w:tc>
            </w:tr>
            <w:tr w14:paraId="1AF67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42" w:type="pct"/>
                  <w:vAlign w:val="center"/>
                </w:tcPr>
                <w:p w14:paraId="523F74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069" w:type="pct"/>
                  <w:vAlign w:val="center"/>
                </w:tcPr>
                <w:p w14:paraId="6767115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修井机</w:t>
                  </w:r>
                </w:p>
              </w:tc>
              <w:tc>
                <w:tcPr>
                  <w:tcW w:w="1179" w:type="pct"/>
                  <w:vAlign w:val="center"/>
                </w:tcPr>
                <w:p w14:paraId="7811722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60t</w:t>
                  </w:r>
                </w:p>
              </w:tc>
              <w:tc>
                <w:tcPr>
                  <w:tcW w:w="518" w:type="pct"/>
                  <w:vAlign w:val="center"/>
                </w:tcPr>
                <w:p w14:paraId="50550E7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350" w:type="pct"/>
                  <w:vAlign w:val="center"/>
                </w:tcPr>
                <w:p w14:paraId="6A1801F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360FE5F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3F5F0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7C3554F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1069" w:type="pct"/>
                  <w:vAlign w:val="center"/>
                </w:tcPr>
                <w:p w14:paraId="2508BB8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试油井架</w:t>
                  </w:r>
                </w:p>
              </w:tc>
              <w:tc>
                <w:tcPr>
                  <w:tcW w:w="1179" w:type="pct"/>
                  <w:vAlign w:val="center"/>
                </w:tcPr>
                <w:p w14:paraId="5B0F0E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518" w:type="pct"/>
                  <w:vAlign w:val="center"/>
                </w:tcPr>
                <w:p w14:paraId="6BA734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350" w:type="pct"/>
                  <w:vAlign w:val="center"/>
                </w:tcPr>
                <w:p w14:paraId="089C5C0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7182BB7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765E6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42" w:type="pct"/>
                  <w:vAlign w:val="center"/>
                </w:tcPr>
                <w:p w14:paraId="3CEB860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1069" w:type="pct"/>
                  <w:vAlign w:val="center"/>
                </w:tcPr>
                <w:p w14:paraId="32816F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液压钳</w:t>
                  </w:r>
                </w:p>
              </w:tc>
              <w:tc>
                <w:tcPr>
                  <w:tcW w:w="1179" w:type="pct"/>
                  <w:vAlign w:val="center"/>
                </w:tcPr>
                <w:p w14:paraId="2A91A58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600型或300型</w:t>
                  </w:r>
                </w:p>
              </w:tc>
              <w:tc>
                <w:tcPr>
                  <w:tcW w:w="518" w:type="pct"/>
                  <w:vAlign w:val="center"/>
                </w:tcPr>
                <w:p w14:paraId="3088D42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350" w:type="pct"/>
                  <w:vAlign w:val="center"/>
                </w:tcPr>
                <w:p w14:paraId="0C3FFCB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0DCFC25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足够长的配套管线</w:t>
                  </w:r>
                </w:p>
              </w:tc>
            </w:tr>
            <w:tr w14:paraId="7D636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42" w:type="pct"/>
                  <w:vAlign w:val="center"/>
                </w:tcPr>
                <w:p w14:paraId="1EAB190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1069" w:type="pct"/>
                  <w:vAlign w:val="center"/>
                </w:tcPr>
                <w:p w14:paraId="24ECE0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方罐</w:t>
                  </w:r>
                </w:p>
              </w:tc>
              <w:tc>
                <w:tcPr>
                  <w:tcW w:w="1179" w:type="pct"/>
                  <w:vAlign w:val="center"/>
                </w:tcPr>
                <w:p w14:paraId="2E73A4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21m</w:t>
                  </w:r>
                  <w:r>
                    <w:rPr>
                      <w:color w:val="000000" w:themeColor="text1"/>
                      <w:vertAlign w:val="superscript"/>
                      <w14:textFill>
                        <w14:solidFill>
                          <w14:schemeClr w14:val="tx1"/>
                        </w14:solidFill>
                      </w14:textFill>
                    </w:rPr>
                    <w:t>3</w:t>
                  </w:r>
                </w:p>
              </w:tc>
              <w:tc>
                <w:tcPr>
                  <w:tcW w:w="518" w:type="pct"/>
                  <w:vAlign w:val="center"/>
                </w:tcPr>
                <w:p w14:paraId="257C00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350" w:type="pct"/>
                  <w:vAlign w:val="center"/>
                </w:tcPr>
                <w:p w14:paraId="212260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1439" w:type="pct"/>
                  <w:vAlign w:val="center"/>
                </w:tcPr>
                <w:p w14:paraId="3EEF4CD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461FB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442" w:type="pct"/>
                  <w:vAlign w:val="center"/>
                </w:tcPr>
                <w:p w14:paraId="69110D7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1069" w:type="pct"/>
                  <w:vAlign w:val="center"/>
                </w:tcPr>
                <w:p w14:paraId="4E3E03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吊卡</w:t>
                  </w:r>
                </w:p>
              </w:tc>
              <w:tc>
                <w:tcPr>
                  <w:tcW w:w="1179" w:type="pct"/>
                  <w:vAlign w:val="center"/>
                </w:tcPr>
                <w:p w14:paraId="3C0E3A4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Φ73.0mm/Φ88.9mm</w:t>
                  </w:r>
                </w:p>
              </w:tc>
              <w:tc>
                <w:tcPr>
                  <w:tcW w:w="518" w:type="pct"/>
                  <w:vAlign w:val="center"/>
                </w:tcPr>
                <w:p w14:paraId="08DECC2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只</w:t>
                  </w:r>
                </w:p>
              </w:tc>
              <w:tc>
                <w:tcPr>
                  <w:tcW w:w="350" w:type="pct"/>
                  <w:vAlign w:val="center"/>
                </w:tcPr>
                <w:p w14:paraId="664BA3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2/2</w:t>
                  </w:r>
                </w:p>
              </w:tc>
              <w:tc>
                <w:tcPr>
                  <w:tcW w:w="1439" w:type="pct"/>
                  <w:vAlign w:val="center"/>
                </w:tcPr>
                <w:p w14:paraId="7EBA24B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50t</w:t>
                  </w:r>
                </w:p>
              </w:tc>
            </w:tr>
            <w:tr w14:paraId="1286C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42" w:type="pct"/>
                  <w:vAlign w:val="center"/>
                </w:tcPr>
                <w:p w14:paraId="4AB9821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1069" w:type="pct"/>
                  <w:vAlign w:val="center"/>
                </w:tcPr>
                <w:p w14:paraId="49C112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吊环</w:t>
                  </w:r>
                </w:p>
              </w:tc>
              <w:tc>
                <w:tcPr>
                  <w:tcW w:w="1179" w:type="pct"/>
                  <w:vAlign w:val="center"/>
                </w:tcPr>
                <w:p w14:paraId="0EEB2BD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SH-80</w:t>
                  </w:r>
                </w:p>
              </w:tc>
              <w:tc>
                <w:tcPr>
                  <w:tcW w:w="518" w:type="pct"/>
                  <w:vAlign w:val="center"/>
                </w:tcPr>
                <w:p w14:paraId="6EFEBD8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付</w:t>
                  </w:r>
                </w:p>
              </w:tc>
              <w:tc>
                <w:tcPr>
                  <w:tcW w:w="350" w:type="pct"/>
                  <w:vAlign w:val="center"/>
                </w:tcPr>
                <w:p w14:paraId="3DBB15F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4D4606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4DC4E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57918E0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1069" w:type="pct"/>
                  <w:vAlign w:val="center"/>
                </w:tcPr>
                <w:p w14:paraId="0601C0D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通管规</w:t>
                  </w:r>
                </w:p>
              </w:tc>
              <w:tc>
                <w:tcPr>
                  <w:tcW w:w="1179" w:type="pct"/>
                  <w:vAlign w:val="center"/>
                </w:tcPr>
                <w:p w14:paraId="0C4FB0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Φ73.0mm/58.0mm</w:t>
                  </w:r>
                </w:p>
              </w:tc>
              <w:tc>
                <w:tcPr>
                  <w:tcW w:w="518" w:type="pct"/>
                  <w:vAlign w:val="center"/>
                </w:tcPr>
                <w:p w14:paraId="68453B7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350" w:type="pct"/>
                  <w:vAlign w:val="center"/>
                </w:tcPr>
                <w:p w14:paraId="43080DF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各2</w:t>
                  </w:r>
                </w:p>
              </w:tc>
              <w:tc>
                <w:tcPr>
                  <w:tcW w:w="1439" w:type="pct"/>
                  <w:vAlign w:val="center"/>
                </w:tcPr>
                <w:p w14:paraId="270D8C1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7FF1F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42" w:type="pct"/>
                  <w:vAlign w:val="center"/>
                </w:tcPr>
                <w:p w14:paraId="16280B3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1069" w:type="pct"/>
                  <w:vAlign w:val="center"/>
                </w:tcPr>
                <w:p w14:paraId="1942E4E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提升短节</w:t>
                  </w:r>
                </w:p>
              </w:tc>
              <w:tc>
                <w:tcPr>
                  <w:tcW w:w="1179" w:type="pct"/>
                  <w:vAlign w:val="center"/>
                </w:tcPr>
                <w:p w14:paraId="3654DE1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Φ88.9mm</w:t>
                  </w:r>
                </w:p>
              </w:tc>
              <w:tc>
                <w:tcPr>
                  <w:tcW w:w="518" w:type="pct"/>
                  <w:vAlign w:val="center"/>
                </w:tcPr>
                <w:p w14:paraId="70D906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w:t>
                  </w:r>
                </w:p>
              </w:tc>
              <w:tc>
                <w:tcPr>
                  <w:tcW w:w="350" w:type="pct"/>
                  <w:vAlign w:val="center"/>
                </w:tcPr>
                <w:p w14:paraId="50DE16A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731822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30FA3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42" w:type="pct"/>
                  <w:vAlign w:val="center"/>
                </w:tcPr>
                <w:p w14:paraId="0195CFD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p>
              </w:tc>
              <w:tc>
                <w:tcPr>
                  <w:tcW w:w="1069" w:type="pct"/>
                  <w:vAlign w:val="center"/>
                </w:tcPr>
                <w:p w14:paraId="6B525C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调整短节</w:t>
                  </w:r>
                </w:p>
              </w:tc>
              <w:tc>
                <w:tcPr>
                  <w:tcW w:w="1179" w:type="pct"/>
                  <w:vAlign w:val="center"/>
                </w:tcPr>
                <w:p w14:paraId="51A2DB8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Φ73.0mm</w:t>
                  </w:r>
                </w:p>
              </w:tc>
              <w:tc>
                <w:tcPr>
                  <w:tcW w:w="518" w:type="pct"/>
                  <w:vAlign w:val="center"/>
                </w:tcPr>
                <w:p w14:paraId="6FCCD03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p>
              </w:tc>
              <w:tc>
                <w:tcPr>
                  <w:tcW w:w="350" w:type="pct"/>
                  <w:vAlign w:val="center"/>
                </w:tcPr>
                <w:p w14:paraId="1F5D9A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64F1F2B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（0.3m、0.5m、1.0m、1.5m、2.0m）</w:t>
                  </w:r>
                </w:p>
              </w:tc>
            </w:tr>
            <w:tr w14:paraId="2ACC8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442" w:type="pct"/>
                  <w:vAlign w:val="center"/>
                </w:tcPr>
                <w:p w14:paraId="0A14E67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w:t>
                  </w:r>
                </w:p>
              </w:tc>
              <w:tc>
                <w:tcPr>
                  <w:tcW w:w="1069" w:type="pct"/>
                  <w:vAlign w:val="center"/>
                </w:tcPr>
                <w:p w14:paraId="5ED8FE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值班房</w:t>
                  </w:r>
                </w:p>
              </w:tc>
              <w:tc>
                <w:tcPr>
                  <w:tcW w:w="1179" w:type="pct"/>
                  <w:vAlign w:val="center"/>
                </w:tcPr>
                <w:p w14:paraId="459EB37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518" w:type="pct"/>
                  <w:vAlign w:val="center"/>
                </w:tcPr>
                <w:p w14:paraId="7458C53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w:t>
                  </w:r>
                </w:p>
              </w:tc>
              <w:tc>
                <w:tcPr>
                  <w:tcW w:w="350" w:type="pct"/>
                  <w:vAlign w:val="center"/>
                </w:tcPr>
                <w:p w14:paraId="0C936E2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0EF6BD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12603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42" w:type="pct"/>
                  <w:vAlign w:val="center"/>
                </w:tcPr>
                <w:p w14:paraId="037C37A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11</w:t>
                  </w:r>
                </w:p>
              </w:tc>
              <w:tc>
                <w:tcPr>
                  <w:tcW w:w="1069" w:type="pct"/>
                  <w:vAlign w:val="center"/>
                </w:tcPr>
                <w:p w14:paraId="4F70E24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发电房</w:t>
                  </w:r>
                </w:p>
              </w:tc>
              <w:tc>
                <w:tcPr>
                  <w:tcW w:w="1179" w:type="pct"/>
                  <w:vAlign w:val="center"/>
                </w:tcPr>
                <w:p w14:paraId="38A5B65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518" w:type="pct"/>
                  <w:vAlign w:val="center"/>
                </w:tcPr>
                <w:p w14:paraId="48517E8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w:t>
                  </w:r>
                </w:p>
              </w:tc>
              <w:tc>
                <w:tcPr>
                  <w:tcW w:w="350" w:type="pct"/>
                  <w:vAlign w:val="center"/>
                </w:tcPr>
                <w:p w14:paraId="796ECC3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2A9E34E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6BCEB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0FED35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069" w:type="pct"/>
                  <w:vAlign w:val="center"/>
                </w:tcPr>
                <w:p w14:paraId="1A250A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柴油发电机</w:t>
                  </w:r>
                </w:p>
              </w:tc>
              <w:tc>
                <w:tcPr>
                  <w:tcW w:w="1179" w:type="pct"/>
                  <w:vAlign w:val="center"/>
                </w:tcPr>
                <w:p w14:paraId="1A042E93">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2D7B892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350" w:type="pct"/>
                  <w:vAlign w:val="center"/>
                </w:tcPr>
                <w:p w14:paraId="77498F8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1439" w:type="pct"/>
                  <w:vAlign w:val="center"/>
                </w:tcPr>
                <w:p w14:paraId="5C134F1C">
                  <w:pPr>
                    <w:pStyle w:val="26"/>
                    <w:framePr w:hSpace="0" w:wrap="auto" w:vAnchor="margin" w:hAnchor="text" w:xAlign="left" w:yAlign="inline"/>
                    <w:rPr>
                      <w:color w:val="000000" w:themeColor="text1"/>
                      <w14:textFill>
                        <w14:solidFill>
                          <w14:schemeClr w14:val="tx1"/>
                        </w14:solidFill>
                      </w14:textFill>
                    </w:rPr>
                  </w:pPr>
                </w:p>
              </w:tc>
            </w:tr>
            <w:tr w14:paraId="7BAF5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42" w:type="pct"/>
                  <w:vAlign w:val="center"/>
                </w:tcPr>
                <w:p w14:paraId="74B970D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13</w:t>
                  </w:r>
                </w:p>
              </w:tc>
              <w:tc>
                <w:tcPr>
                  <w:tcW w:w="1069" w:type="pct"/>
                  <w:vAlign w:val="center"/>
                </w:tcPr>
                <w:p w14:paraId="0929C8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气液分离装置</w:t>
                  </w:r>
                </w:p>
              </w:tc>
              <w:tc>
                <w:tcPr>
                  <w:tcW w:w="1179" w:type="pct"/>
                  <w:vAlign w:val="center"/>
                </w:tcPr>
                <w:p w14:paraId="230C608B">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2CE0713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w:t>
                  </w:r>
                </w:p>
              </w:tc>
              <w:tc>
                <w:tcPr>
                  <w:tcW w:w="350" w:type="pct"/>
                  <w:vAlign w:val="center"/>
                </w:tcPr>
                <w:p w14:paraId="39631D3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2A64E4EE">
                  <w:pPr>
                    <w:pStyle w:val="26"/>
                    <w:framePr w:hSpace="0" w:wrap="auto" w:vAnchor="margin" w:hAnchor="text" w:xAlign="left" w:yAlign="inline"/>
                    <w:rPr>
                      <w:color w:val="000000" w:themeColor="text1"/>
                      <w14:textFill>
                        <w14:solidFill>
                          <w14:schemeClr w14:val="tx1"/>
                        </w14:solidFill>
                      </w14:textFill>
                    </w:rPr>
                  </w:pPr>
                </w:p>
              </w:tc>
            </w:tr>
            <w:tr w14:paraId="56F5F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1045DA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14</w:t>
                  </w:r>
                </w:p>
              </w:tc>
              <w:tc>
                <w:tcPr>
                  <w:tcW w:w="1069" w:type="pct"/>
                  <w:vAlign w:val="center"/>
                </w:tcPr>
                <w:p w14:paraId="62D7382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泵车</w:t>
                  </w:r>
                </w:p>
              </w:tc>
              <w:tc>
                <w:tcPr>
                  <w:tcW w:w="1179" w:type="pct"/>
                  <w:vAlign w:val="center"/>
                </w:tcPr>
                <w:p w14:paraId="7592924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700型</w:t>
                  </w:r>
                </w:p>
              </w:tc>
              <w:tc>
                <w:tcPr>
                  <w:tcW w:w="518" w:type="pct"/>
                  <w:vAlign w:val="center"/>
                </w:tcPr>
                <w:p w14:paraId="1303752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350" w:type="pct"/>
                  <w:vAlign w:val="center"/>
                </w:tcPr>
                <w:p w14:paraId="06B249A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00BFBE5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3869A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362E67E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15</w:t>
                  </w:r>
                </w:p>
              </w:tc>
              <w:tc>
                <w:tcPr>
                  <w:tcW w:w="1069" w:type="pct"/>
                  <w:vAlign w:val="center"/>
                </w:tcPr>
                <w:p w14:paraId="2D53DE3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防喷器</w:t>
                  </w:r>
                </w:p>
              </w:tc>
              <w:tc>
                <w:tcPr>
                  <w:tcW w:w="1179" w:type="pct"/>
                  <w:vAlign w:val="center"/>
                </w:tcPr>
                <w:p w14:paraId="05815FD1">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4F459B5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350" w:type="pct"/>
                  <w:vAlign w:val="center"/>
                </w:tcPr>
                <w:p w14:paraId="3C65E8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2C905716">
                  <w:pPr>
                    <w:pStyle w:val="26"/>
                    <w:framePr w:hSpace="0" w:wrap="auto" w:vAnchor="margin" w:hAnchor="text" w:xAlign="left" w:yAlign="inline"/>
                    <w:rPr>
                      <w:color w:val="000000" w:themeColor="text1"/>
                      <w14:textFill>
                        <w14:solidFill>
                          <w14:schemeClr w14:val="tx1"/>
                        </w14:solidFill>
                      </w14:textFill>
                    </w:rPr>
                  </w:pPr>
                </w:p>
              </w:tc>
            </w:tr>
            <w:tr w14:paraId="2ACF6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42" w:type="pct"/>
                  <w:vAlign w:val="center"/>
                </w:tcPr>
                <w:p w14:paraId="474EF4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16</w:t>
                  </w:r>
                </w:p>
              </w:tc>
              <w:tc>
                <w:tcPr>
                  <w:tcW w:w="1069" w:type="pct"/>
                  <w:vAlign w:val="center"/>
                </w:tcPr>
                <w:p w14:paraId="3AF8FFB1">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放喷</w:t>
                  </w:r>
                  <w:r>
                    <w:rPr>
                      <w:rFonts w:hint="eastAsia"/>
                      <w:color w:val="000000" w:themeColor="text1"/>
                      <w:lang w:val="en-US" w:eastAsia="zh-CN"/>
                      <w14:textFill>
                        <w14:solidFill>
                          <w14:schemeClr w14:val="tx1"/>
                        </w14:solidFill>
                      </w14:textFill>
                    </w:rPr>
                    <w:t>池及管线</w:t>
                  </w:r>
                </w:p>
              </w:tc>
              <w:tc>
                <w:tcPr>
                  <w:tcW w:w="1179" w:type="pct"/>
                  <w:vAlign w:val="center"/>
                </w:tcPr>
                <w:p w14:paraId="7D75F161">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30BA0C67">
                  <w:pPr>
                    <w:pStyle w:val="26"/>
                    <w:framePr w:hSpace="0" w:wrap="auto" w:vAnchor="margin" w:hAnchor="text" w:xAlign="left" w:yAlign="inline"/>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350" w:type="pct"/>
                  <w:vAlign w:val="center"/>
                </w:tcPr>
                <w:p w14:paraId="6C7A9020">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1439" w:type="pct"/>
                  <w:vAlign w:val="center"/>
                </w:tcPr>
                <w:p w14:paraId="34F80B1F">
                  <w:pPr>
                    <w:pStyle w:val="26"/>
                    <w:framePr w:hSpace="0" w:wrap="auto" w:vAnchor="margin" w:hAnchor="text" w:xAlign="left" w:yAlign="inline"/>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占地面积</w:t>
                  </w:r>
                  <w:r>
                    <w:rPr>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0</w:t>
                  </w:r>
                  <w:r>
                    <w:rPr>
                      <w:color w:val="000000" w:themeColor="text1"/>
                      <w14:textFill>
                        <w14:solidFill>
                          <w14:schemeClr w14:val="tx1"/>
                        </w14:solidFill>
                      </w14:textFill>
                    </w:rPr>
                    <w:t>0m</w:t>
                  </w:r>
                  <w:r>
                    <w:rPr>
                      <w:rFonts w:hint="eastAsia"/>
                      <w:color w:val="000000" w:themeColor="text1"/>
                      <w:vertAlign w:val="superscript"/>
                      <w:lang w:val="en-US" w:eastAsia="zh-CN"/>
                      <w14:textFill>
                        <w14:solidFill>
                          <w14:schemeClr w14:val="tx1"/>
                        </w14:solidFill>
                      </w14:textFill>
                    </w:rPr>
                    <w:t>2</w:t>
                  </w:r>
                </w:p>
              </w:tc>
            </w:tr>
            <w:tr w14:paraId="3BF7C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7103ACB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17</w:t>
                  </w:r>
                </w:p>
              </w:tc>
              <w:tc>
                <w:tcPr>
                  <w:tcW w:w="1069" w:type="pct"/>
                  <w:vAlign w:val="center"/>
                </w:tcPr>
                <w:p w14:paraId="3505898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采油树</w:t>
                  </w:r>
                </w:p>
              </w:tc>
              <w:tc>
                <w:tcPr>
                  <w:tcW w:w="1179" w:type="pct"/>
                  <w:vAlign w:val="center"/>
                </w:tcPr>
                <w:p w14:paraId="3079B791">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488400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w:t>
                  </w:r>
                </w:p>
              </w:tc>
              <w:tc>
                <w:tcPr>
                  <w:tcW w:w="350" w:type="pct"/>
                  <w:vAlign w:val="center"/>
                </w:tcPr>
                <w:p w14:paraId="0B01076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41859026">
                  <w:pPr>
                    <w:pStyle w:val="26"/>
                    <w:framePr w:hSpace="0" w:wrap="auto" w:vAnchor="margin" w:hAnchor="text" w:xAlign="left" w:yAlign="inline"/>
                    <w:rPr>
                      <w:color w:val="000000" w:themeColor="text1"/>
                      <w14:textFill>
                        <w14:solidFill>
                          <w14:schemeClr w14:val="tx1"/>
                        </w14:solidFill>
                      </w14:textFill>
                    </w:rPr>
                  </w:pPr>
                </w:p>
              </w:tc>
            </w:tr>
            <w:tr w14:paraId="3B724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2CD4F01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18</w:t>
                  </w:r>
                </w:p>
              </w:tc>
              <w:tc>
                <w:tcPr>
                  <w:tcW w:w="1069" w:type="pct"/>
                  <w:vAlign w:val="center"/>
                </w:tcPr>
                <w:p w14:paraId="000B28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采出液临时储罐</w:t>
                  </w:r>
                </w:p>
              </w:tc>
              <w:tc>
                <w:tcPr>
                  <w:tcW w:w="1179" w:type="pct"/>
                  <w:vAlign w:val="center"/>
                </w:tcPr>
                <w:p w14:paraId="47206C2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60m</w:t>
                  </w:r>
                  <w:r>
                    <w:rPr>
                      <w:color w:val="000000" w:themeColor="text1"/>
                      <w:vertAlign w:val="superscript"/>
                      <w14:textFill>
                        <w14:solidFill>
                          <w14:schemeClr w14:val="tx1"/>
                        </w14:solidFill>
                      </w14:textFill>
                    </w:rPr>
                    <w:t>3</w:t>
                  </w:r>
                </w:p>
              </w:tc>
              <w:tc>
                <w:tcPr>
                  <w:tcW w:w="518" w:type="pct"/>
                  <w:vAlign w:val="center"/>
                </w:tcPr>
                <w:p w14:paraId="41E25C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座</w:t>
                  </w:r>
                </w:p>
              </w:tc>
              <w:tc>
                <w:tcPr>
                  <w:tcW w:w="350" w:type="pct"/>
                  <w:vAlign w:val="center"/>
                </w:tcPr>
                <w:p w14:paraId="23F623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34CD1A2F">
                  <w:pPr>
                    <w:pStyle w:val="26"/>
                    <w:framePr w:hSpace="0" w:wrap="auto" w:vAnchor="margin" w:hAnchor="text" w:xAlign="left" w:yAlign="inline"/>
                    <w:rPr>
                      <w:color w:val="000000" w:themeColor="text1"/>
                      <w14:textFill>
                        <w14:solidFill>
                          <w14:schemeClr w14:val="tx1"/>
                        </w14:solidFill>
                      </w14:textFill>
                    </w:rPr>
                  </w:pPr>
                </w:p>
              </w:tc>
            </w:tr>
            <w:tr w14:paraId="30D29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29A021A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19</w:t>
                  </w:r>
                </w:p>
              </w:tc>
              <w:tc>
                <w:tcPr>
                  <w:tcW w:w="1069" w:type="pct"/>
                  <w:vAlign w:val="center"/>
                </w:tcPr>
                <w:p w14:paraId="7F38127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S气体监测仪</w:t>
                  </w:r>
                </w:p>
              </w:tc>
              <w:tc>
                <w:tcPr>
                  <w:tcW w:w="1179" w:type="pct"/>
                  <w:vAlign w:val="center"/>
                </w:tcPr>
                <w:p w14:paraId="2529DA78">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51AEE2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350" w:type="pct"/>
                  <w:vAlign w:val="center"/>
                </w:tcPr>
                <w:p w14:paraId="3D3C7E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54C8A79A">
                  <w:pPr>
                    <w:pStyle w:val="26"/>
                    <w:framePr w:hSpace="0" w:wrap="auto" w:vAnchor="margin" w:hAnchor="text" w:xAlign="left" w:yAlign="inline"/>
                    <w:rPr>
                      <w:color w:val="000000" w:themeColor="text1"/>
                      <w14:textFill>
                        <w14:solidFill>
                          <w14:schemeClr w14:val="tx1"/>
                        </w14:solidFill>
                      </w14:textFill>
                    </w:rPr>
                  </w:pPr>
                </w:p>
              </w:tc>
            </w:tr>
            <w:tr w14:paraId="3C1B5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42" w:type="pct"/>
                  <w:vAlign w:val="center"/>
                </w:tcPr>
                <w:p w14:paraId="19BACE8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w:t>
                  </w:r>
                </w:p>
              </w:tc>
              <w:tc>
                <w:tcPr>
                  <w:tcW w:w="1069" w:type="pct"/>
                  <w:vAlign w:val="center"/>
                </w:tcPr>
                <w:p w14:paraId="2E914A9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可燃气体检测仪</w:t>
                  </w:r>
                </w:p>
              </w:tc>
              <w:tc>
                <w:tcPr>
                  <w:tcW w:w="1179" w:type="pct"/>
                  <w:vAlign w:val="center"/>
                </w:tcPr>
                <w:p w14:paraId="16E82667">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63160E3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350" w:type="pct"/>
                  <w:vAlign w:val="center"/>
                </w:tcPr>
                <w:p w14:paraId="602B404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764E7CEC">
                  <w:pPr>
                    <w:pStyle w:val="26"/>
                    <w:framePr w:hSpace="0" w:wrap="auto" w:vAnchor="margin" w:hAnchor="text" w:xAlign="left" w:yAlign="inline"/>
                    <w:rPr>
                      <w:color w:val="000000" w:themeColor="text1"/>
                      <w14:textFill>
                        <w14:solidFill>
                          <w14:schemeClr w14:val="tx1"/>
                        </w14:solidFill>
                      </w14:textFill>
                    </w:rPr>
                  </w:pPr>
                </w:p>
              </w:tc>
            </w:tr>
            <w:tr w14:paraId="7707D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7FF30E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21</w:t>
                  </w:r>
                </w:p>
              </w:tc>
              <w:tc>
                <w:tcPr>
                  <w:tcW w:w="1069" w:type="pct"/>
                  <w:vAlign w:val="center"/>
                </w:tcPr>
                <w:p w14:paraId="2A6D354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消防砂</w:t>
                  </w:r>
                </w:p>
              </w:tc>
              <w:tc>
                <w:tcPr>
                  <w:tcW w:w="1179" w:type="pct"/>
                  <w:vAlign w:val="center"/>
                </w:tcPr>
                <w:p w14:paraId="3AA2850B">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07D6C81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350" w:type="pct"/>
                  <w:vAlign w:val="center"/>
                </w:tcPr>
                <w:p w14:paraId="55C6228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0.5</w:t>
                  </w:r>
                </w:p>
              </w:tc>
              <w:tc>
                <w:tcPr>
                  <w:tcW w:w="1439" w:type="pct"/>
                  <w:vAlign w:val="center"/>
                </w:tcPr>
                <w:p w14:paraId="2D281DB1">
                  <w:pPr>
                    <w:pStyle w:val="26"/>
                    <w:framePr w:hSpace="0" w:wrap="auto" w:vAnchor="margin" w:hAnchor="text" w:xAlign="left" w:yAlign="inline"/>
                    <w:rPr>
                      <w:color w:val="000000" w:themeColor="text1"/>
                      <w14:textFill>
                        <w14:solidFill>
                          <w14:schemeClr w14:val="tx1"/>
                        </w14:solidFill>
                      </w14:textFill>
                    </w:rPr>
                  </w:pPr>
                </w:p>
              </w:tc>
            </w:tr>
            <w:tr w14:paraId="0FE31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02F8793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22</w:t>
                  </w:r>
                </w:p>
              </w:tc>
              <w:tc>
                <w:tcPr>
                  <w:tcW w:w="1069" w:type="pct"/>
                  <w:vAlign w:val="center"/>
                </w:tcPr>
                <w:p w14:paraId="114FDF3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推车式干粉灭火器</w:t>
                  </w:r>
                </w:p>
              </w:tc>
              <w:tc>
                <w:tcPr>
                  <w:tcW w:w="1179" w:type="pct"/>
                  <w:vAlign w:val="center"/>
                </w:tcPr>
                <w:p w14:paraId="40333A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MFZL35型</w:t>
                  </w:r>
                </w:p>
              </w:tc>
              <w:tc>
                <w:tcPr>
                  <w:tcW w:w="518" w:type="pct"/>
                  <w:vAlign w:val="center"/>
                </w:tcPr>
                <w:p w14:paraId="08643B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具</w:t>
                  </w:r>
                </w:p>
              </w:tc>
              <w:tc>
                <w:tcPr>
                  <w:tcW w:w="350" w:type="pct"/>
                  <w:vAlign w:val="center"/>
                </w:tcPr>
                <w:p w14:paraId="0854BD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35F194B8">
                  <w:pPr>
                    <w:pStyle w:val="26"/>
                    <w:framePr w:hSpace="0" w:wrap="auto" w:vAnchor="margin" w:hAnchor="text" w:xAlign="left" w:yAlign="inline"/>
                    <w:rPr>
                      <w:color w:val="000000" w:themeColor="text1"/>
                      <w14:textFill>
                        <w14:solidFill>
                          <w14:schemeClr w14:val="tx1"/>
                        </w14:solidFill>
                      </w14:textFill>
                    </w:rPr>
                  </w:pPr>
                </w:p>
              </w:tc>
            </w:tr>
            <w:tr w14:paraId="1A574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42" w:type="pct"/>
                  <w:vAlign w:val="center"/>
                </w:tcPr>
                <w:p w14:paraId="168DE0C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23</w:t>
                  </w:r>
                </w:p>
              </w:tc>
              <w:tc>
                <w:tcPr>
                  <w:tcW w:w="1069" w:type="pct"/>
                  <w:vAlign w:val="center"/>
                </w:tcPr>
                <w:p w14:paraId="5BF404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干粉灭火器</w:t>
                  </w:r>
                </w:p>
              </w:tc>
              <w:tc>
                <w:tcPr>
                  <w:tcW w:w="1179" w:type="pct"/>
                  <w:vAlign w:val="center"/>
                </w:tcPr>
                <w:p w14:paraId="3B700C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MFZL8型</w:t>
                  </w:r>
                </w:p>
              </w:tc>
              <w:tc>
                <w:tcPr>
                  <w:tcW w:w="518" w:type="pct"/>
                  <w:vAlign w:val="center"/>
                </w:tcPr>
                <w:p w14:paraId="54917D8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具</w:t>
                  </w:r>
                </w:p>
              </w:tc>
              <w:tc>
                <w:tcPr>
                  <w:tcW w:w="350" w:type="pct"/>
                  <w:vAlign w:val="center"/>
                </w:tcPr>
                <w:p w14:paraId="6C8AC0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1439" w:type="pct"/>
                  <w:vAlign w:val="center"/>
                </w:tcPr>
                <w:p w14:paraId="21FA4C8C">
                  <w:pPr>
                    <w:pStyle w:val="26"/>
                    <w:framePr w:hSpace="0" w:wrap="auto" w:vAnchor="margin" w:hAnchor="text" w:xAlign="left" w:yAlign="inline"/>
                    <w:rPr>
                      <w:color w:val="000000" w:themeColor="text1"/>
                      <w14:textFill>
                        <w14:solidFill>
                          <w14:schemeClr w14:val="tx1"/>
                        </w14:solidFill>
                      </w14:textFill>
                    </w:rPr>
                  </w:pPr>
                </w:p>
              </w:tc>
            </w:tr>
            <w:tr w14:paraId="330F0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42" w:type="pct"/>
                  <w:vAlign w:val="center"/>
                </w:tcPr>
                <w:p w14:paraId="219D98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24</w:t>
                  </w:r>
                </w:p>
              </w:tc>
              <w:tc>
                <w:tcPr>
                  <w:tcW w:w="1752" w:type="dxa"/>
                  <w:vAlign w:val="center"/>
                </w:tcPr>
                <w:p w14:paraId="3602CA2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柴油储罐</w:t>
                  </w:r>
                </w:p>
              </w:tc>
              <w:tc>
                <w:tcPr>
                  <w:tcW w:w="1932" w:type="dxa"/>
                  <w:vAlign w:val="center"/>
                </w:tcPr>
                <w:p w14:paraId="2411DC0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5m</w:t>
                  </w:r>
                  <w:r>
                    <w:rPr>
                      <w:color w:val="000000" w:themeColor="text1"/>
                      <w:vertAlign w:val="superscript"/>
                      <w14:textFill>
                        <w14:solidFill>
                          <w14:schemeClr w14:val="tx1"/>
                        </w14:solidFill>
                      </w14:textFill>
                    </w:rPr>
                    <w:t>3</w:t>
                  </w:r>
                </w:p>
              </w:tc>
              <w:tc>
                <w:tcPr>
                  <w:tcW w:w="849" w:type="dxa"/>
                  <w:vAlign w:val="center"/>
                </w:tcPr>
                <w:p w14:paraId="5C3323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574" w:type="dxa"/>
                  <w:vAlign w:val="center"/>
                </w:tcPr>
                <w:p w14:paraId="30D2C01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2021282D">
                  <w:pPr>
                    <w:pStyle w:val="26"/>
                    <w:framePr w:hSpace="0" w:wrap="auto" w:vAnchor="margin" w:hAnchor="text" w:xAlign="left" w:yAlign="inline"/>
                    <w:rPr>
                      <w:color w:val="000000" w:themeColor="text1"/>
                      <w14:textFill>
                        <w14:solidFill>
                          <w14:schemeClr w14:val="tx1"/>
                        </w14:solidFill>
                      </w14:textFill>
                    </w:rPr>
                  </w:pPr>
                </w:p>
              </w:tc>
            </w:tr>
          </w:tbl>
          <w:p w14:paraId="61C0B7BE">
            <w:pPr>
              <w:pStyle w:val="35"/>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）完井</w:t>
            </w:r>
          </w:p>
          <w:p w14:paraId="3955E910">
            <w:pPr>
              <w:pStyle w:val="35"/>
              <w:ind w:firstLine="480"/>
              <w:rPr>
                <w:color w:val="000000" w:themeColor="text1"/>
                <w14:textFill>
                  <w14:solidFill>
                    <w14:schemeClr w14:val="tx1"/>
                  </w14:solidFill>
                </w14:textFill>
              </w:rPr>
            </w:pPr>
            <w:r>
              <w:rPr>
                <w:color w:val="000000" w:themeColor="text1"/>
                <w14:textFill>
                  <w14:solidFill>
                    <w14:schemeClr w14:val="tx1"/>
                  </w14:solidFill>
                </w14:textFill>
              </w:rPr>
              <w:t>完井是钻井工程的最后环节，整个钻井工艺结束。一般情况下，完井即钻开油层，完井方式采用套管固井完井。</w:t>
            </w:r>
          </w:p>
          <w:p w14:paraId="2FDADA03">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）储层改造设备</w:t>
            </w:r>
          </w:p>
          <w:p w14:paraId="79EA7EB3">
            <w:pPr>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储层改造包括射孔和压裂两个工序。射孔时利用专用设备和射孔枪，对套管和井壁进行射孔，建立地层与井筒之间的通道；压裂时用泵车将压裂液挤入油层，当把油层压出许多裂缝后加入支撑剂（如石英砂等），使其充填进裂缝，可有效提高油气层的渗透能力等操作。</w:t>
            </w:r>
          </w:p>
          <w:p w14:paraId="340BA286">
            <w:pPr>
              <w:pStyle w:val="6"/>
              <w:keepNext/>
              <w:spacing w:line="360" w:lineRule="auto"/>
              <w:ind w:firstLine="422"/>
              <w:rPr>
                <w:rFonts w:ascii="Times New Roman" w:hAnsi="Times New Roman" w:eastAsia="宋体"/>
                <w:b/>
                <w:color w:val="000000" w:themeColor="text1"/>
                <w:sz w:val="21"/>
                <w:szCs w:val="21"/>
                <w14:textFill>
                  <w14:solidFill>
                    <w14:schemeClr w14:val="tx1"/>
                  </w14:solidFill>
                </w14:textFill>
              </w:rPr>
            </w:pPr>
            <w:r>
              <w:rPr>
                <w:rFonts w:ascii="Times New Roman" w:hAnsi="Times New Roman" w:eastAsia="宋体"/>
                <w:b/>
                <w:color w:val="000000" w:themeColor="text1"/>
                <w:sz w:val="21"/>
                <w:szCs w:val="21"/>
                <w14:textFill>
                  <w14:solidFill>
                    <w14:schemeClr w14:val="tx1"/>
                  </w14:solidFill>
                </w14:textFill>
              </w:rPr>
              <w:t>表2-</w:t>
            </w:r>
            <w:r>
              <w:rPr>
                <w:rFonts w:hint="eastAsia" w:ascii="Times New Roman" w:hAnsi="Times New Roman" w:eastAsia="宋体"/>
                <w:b/>
                <w:color w:val="000000" w:themeColor="text1"/>
                <w:sz w:val="21"/>
                <w:szCs w:val="21"/>
                <w14:textFill>
                  <w14:solidFill>
                    <w14:schemeClr w14:val="tx1"/>
                  </w14:solidFill>
                </w14:textFill>
              </w:rPr>
              <w:t>8</w:t>
            </w:r>
            <w:r>
              <w:rPr>
                <w:rFonts w:ascii="Times New Roman" w:hAnsi="Times New Roman" w:eastAsia="宋体"/>
                <w:b/>
                <w:color w:val="000000" w:themeColor="text1"/>
                <w:sz w:val="21"/>
                <w:szCs w:val="21"/>
                <w14:textFill>
                  <w14:solidFill>
                    <w14:schemeClr w14:val="tx1"/>
                  </w14:solidFill>
                </w14:textFill>
              </w:rPr>
              <w:t xml:space="preserve">  压裂主要设备（单井）</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2"/>
              <w:gridCol w:w="2269"/>
              <w:gridCol w:w="1984"/>
              <w:gridCol w:w="2677"/>
            </w:tblGrid>
            <w:tr w14:paraId="49E3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Align w:val="center"/>
                </w:tcPr>
                <w:p w14:paraId="3D66AE25">
                  <w:pPr>
                    <w:pStyle w:val="36"/>
                    <w:ind w:firstLine="0" w:firstLineChars="0"/>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阶段</w:t>
                  </w:r>
                </w:p>
              </w:tc>
              <w:tc>
                <w:tcPr>
                  <w:tcW w:w="1385" w:type="pct"/>
                  <w:vAlign w:val="center"/>
                </w:tcPr>
                <w:p w14:paraId="27339583">
                  <w:pPr>
                    <w:pStyle w:val="36"/>
                    <w:ind w:firstLine="0" w:firstLineChars="0"/>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设备名称</w:t>
                  </w:r>
                </w:p>
              </w:tc>
              <w:tc>
                <w:tcPr>
                  <w:tcW w:w="1211" w:type="pct"/>
                  <w:vAlign w:val="center"/>
                </w:tcPr>
                <w:p w14:paraId="00FB94CA">
                  <w:pPr>
                    <w:pStyle w:val="36"/>
                    <w:ind w:firstLine="0" w:firstLineChars="0"/>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主要型号</w:t>
                  </w:r>
                </w:p>
              </w:tc>
              <w:tc>
                <w:tcPr>
                  <w:tcW w:w="1634" w:type="pct"/>
                  <w:vAlign w:val="center"/>
                </w:tcPr>
                <w:p w14:paraId="4E87C6D3">
                  <w:pPr>
                    <w:pStyle w:val="36"/>
                    <w:ind w:firstLine="0" w:firstLineChars="0"/>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数量（台/座）</w:t>
                  </w:r>
                </w:p>
              </w:tc>
            </w:tr>
            <w:tr w14:paraId="76BB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restart"/>
                  <w:vAlign w:val="center"/>
                </w:tcPr>
                <w:p w14:paraId="338F5088">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压裂</w:t>
                  </w:r>
                </w:p>
              </w:tc>
              <w:tc>
                <w:tcPr>
                  <w:tcW w:w="1385" w:type="pct"/>
                  <w:vAlign w:val="center"/>
                </w:tcPr>
                <w:p w14:paraId="1C114315">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压裂车</w:t>
                  </w:r>
                </w:p>
              </w:tc>
              <w:tc>
                <w:tcPr>
                  <w:tcW w:w="1211" w:type="pct"/>
                  <w:vAlign w:val="center"/>
                </w:tcPr>
                <w:p w14:paraId="5D472FA7">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2500型</w:t>
                  </w:r>
                </w:p>
              </w:tc>
              <w:tc>
                <w:tcPr>
                  <w:tcW w:w="1634" w:type="pct"/>
                  <w:vAlign w:val="center"/>
                </w:tcPr>
                <w:p w14:paraId="0EFC0E42">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8</w:t>
                  </w:r>
                </w:p>
              </w:tc>
            </w:tr>
            <w:tr w14:paraId="1D5A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1C9D62EA">
                  <w:pPr>
                    <w:pStyle w:val="36"/>
                    <w:ind w:firstLine="420"/>
                    <w:rPr>
                      <w:rFonts w:ascii="Times New Roman" w:hAnsi="Times New Roman"/>
                      <w:color w:val="000000" w:themeColor="text1"/>
                      <w14:textFill>
                        <w14:solidFill>
                          <w14:schemeClr w14:val="tx1"/>
                        </w14:solidFill>
                      </w14:textFill>
                    </w:rPr>
                  </w:pPr>
                </w:p>
              </w:tc>
              <w:tc>
                <w:tcPr>
                  <w:tcW w:w="1385" w:type="pct"/>
                  <w:vAlign w:val="center"/>
                </w:tcPr>
                <w:p w14:paraId="5CE865AD">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混砂车</w:t>
                  </w:r>
                </w:p>
              </w:tc>
              <w:tc>
                <w:tcPr>
                  <w:tcW w:w="1211" w:type="pct"/>
                  <w:vAlign w:val="center"/>
                </w:tcPr>
                <w:p w14:paraId="5A91804D">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1634" w:type="pct"/>
                  <w:vAlign w:val="center"/>
                </w:tcPr>
                <w:p w14:paraId="1AF3FDBD">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p>
              </w:tc>
            </w:tr>
            <w:tr w14:paraId="6BD8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21DE195C">
                  <w:pPr>
                    <w:pStyle w:val="36"/>
                    <w:ind w:firstLine="420"/>
                    <w:rPr>
                      <w:rFonts w:ascii="Times New Roman" w:hAnsi="Times New Roman"/>
                      <w:color w:val="000000" w:themeColor="text1"/>
                      <w14:textFill>
                        <w14:solidFill>
                          <w14:schemeClr w14:val="tx1"/>
                        </w14:solidFill>
                      </w14:textFill>
                    </w:rPr>
                  </w:pPr>
                </w:p>
              </w:tc>
              <w:tc>
                <w:tcPr>
                  <w:tcW w:w="1385" w:type="pct"/>
                  <w:vAlign w:val="center"/>
                </w:tcPr>
                <w:p w14:paraId="607F94D1">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仪表车</w:t>
                  </w:r>
                </w:p>
              </w:tc>
              <w:tc>
                <w:tcPr>
                  <w:tcW w:w="1211" w:type="pct"/>
                  <w:vAlign w:val="center"/>
                </w:tcPr>
                <w:p w14:paraId="197D112F">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1634" w:type="pct"/>
                  <w:vAlign w:val="center"/>
                </w:tcPr>
                <w:p w14:paraId="6E090A31">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p>
              </w:tc>
            </w:tr>
            <w:tr w14:paraId="02B3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7E6EC4EF">
                  <w:pPr>
                    <w:pStyle w:val="36"/>
                    <w:ind w:firstLine="420"/>
                    <w:rPr>
                      <w:rFonts w:ascii="Times New Roman" w:hAnsi="Times New Roman"/>
                      <w:color w:val="000000" w:themeColor="text1"/>
                      <w14:textFill>
                        <w14:solidFill>
                          <w14:schemeClr w14:val="tx1"/>
                        </w14:solidFill>
                      </w14:textFill>
                    </w:rPr>
                  </w:pPr>
                </w:p>
              </w:tc>
              <w:tc>
                <w:tcPr>
                  <w:tcW w:w="1385" w:type="pct"/>
                  <w:vAlign w:val="center"/>
                </w:tcPr>
                <w:p w14:paraId="7A86003A">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砂罐车</w:t>
                  </w:r>
                </w:p>
              </w:tc>
              <w:tc>
                <w:tcPr>
                  <w:tcW w:w="1211" w:type="pct"/>
                  <w:vAlign w:val="center"/>
                </w:tcPr>
                <w:p w14:paraId="01C3B792">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1634" w:type="pct"/>
                  <w:vAlign w:val="center"/>
                </w:tcPr>
                <w:p w14:paraId="4C661150">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w:t>
                  </w:r>
                </w:p>
              </w:tc>
            </w:tr>
            <w:tr w14:paraId="093F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restart"/>
                  <w:vAlign w:val="center"/>
                </w:tcPr>
                <w:p w14:paraId="298133E5">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射孔</w:t>
                  </w:r>
                </w:p>
              </w:tc>
              <w:tc>
                <w:tcPr>
                  <w:tcW w:w="1385" w:type="pct"/>
                  <w:vAlign w:val="center"/>
                </w:tcPr>
                <w:p w14:paraId="5CB0A658">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射孔车</w:t>
                  </w:r>
                </w:p>
              </w:tc>
              <w:tc>
                <w:tcPr>
                  <w:tcW w:w="1211" w:type="pct"/>
                  <w:vAlign w:val="center"/>
                </w:tcPr>
                <w:p w14:paraId="7FEA59C1">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1634" w:type="pct"/>
                  <w:vAlign w:val="center"/>
                </w:tcPr>
                <w:p w14:paraId="5C822E82">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p>
              </w:tc>
            </w:tr>
            <w:tr w14:paraId="5759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53B7CFEA">
                  <w:pPr>
                    <w:pStyle w:val="36"/>
                    <w:ind w:firstLine="420"/>
                    <w:rPr>
                      <w:rFonts w:ascii="Times New Roman" w:hAnsi="Times New Roman"/>
                      <w:color w:val="000000" w:themeColor="text1"/>
                      <w14:textFill>
                        <w14:solidFill>
                          <w14:schemeClr w14:val="tx1"/>
                        </w14:solidFill>
                      </w14:textFill>
                    </w:rPr>
                  </w:pPr>
                </w:p>
              </w:tc>
              <w:tc>
                <w:tcPr>
                  <w:tcW w:w="1385" w:type="pct"/>
                  <w:vAlign w:val="center"/>
                </w:tcPr>
                <w:p w14:paraId="4DB0274A">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射孔工具车</w:t>
                  </w:r>
                </w:p>
              </w:tc>
              <w:tc>
                <w:tcPr>
                  <w:tcW w:w="1211" w:type="pct"/>
                  <w:vAlign w:val="center"/>
                </w:tcPr>
                <w:p w14:paraId="79E00F35">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1634" w:type="pct"/>
                  <w:vAlign w:val="center"/>
                </w:tcPr>
                <w:p w14:paraId="23B44F7A">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p>
              </w:tc>
            </w:tr>
          </w:tbl>
          <w:p w14:paraId="2BEBDC39">
            <w:pPr>
              <w:adjustRightInd/>
              <w:snapToGrid/>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（4）压裂液成分</w:t>
            </w:r>
          </w:p>
          <w:p w14:paraId="126C4B01">
            <w:pPr>
              <w:adjustRightInd/>
              <w:snapToGrid/>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根据建设单位提供的钻井工程设计资料，试油期压裂液单井使用量为</w:t>
            </w:r>
            <w:r>
              <w:rPr>
                <w:color w:val="000000" w:themeColor="text1"/>
                <w14:textFill>
                  <w14:solidFill>
                    <w14:schemeClr w14:val="tx1"/>
                  </w14:solidFill>
                </w14:textFill>
              </w:rPr>
              <w:t>306.42m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，4口井压裂液用量共计为1225.68</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，主要成分为胍胶、复合添加剂及交联剂等，压裂液成分见表</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9。</w:t>
            </w:r>
          </w:p>
          <w:p w14:paraId="5F86261A">
            <w:pPr>
              <w:adjustRightInd/>
              <w:snapToGrid/>
              <w:ind w:firstLine="0" w:firstLineChars="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表</w:t>
            </w:r>
            <w:r>
              <w:rPr>
                <w:b/>
                <w:bCs/>
                <w:color w:val="000000" w:themeColor="text1"/>
                <w:sz w:val="21"/>
                <w:szCs w:val="21"/>
                <w14:textFill>
                  <w14:solidFill>
                    <w14:schemeClr w14:val="tx1"/>
                  </w14:solidFill>
                </w14:textFill>
              </w:rPr>
              <w:t>2-</w:t>
            </w:r>
            <w:r>
              <w:rPr>
                <w:rFonts w:hint="eastAsia"/>
                <w:b/>
                <w:bCs/>
                <w:color w:val="000000" w:themeColor="text1"/>
                <w:sz w:val="21"/>
                <w:szCs w:val="21"/>
                <w14:textFill>
                  <w14:solidFill>
                    <w14:schemeClr w14:val="tx1"/>
                  </w14:solidFill>
                </w14:textFill>
              </w:rPr>
              <w:t>9</w:t>
            </w:r>
            <w:r>
              <w:rPr>
                <w:b/>
                <w:bCs/>
                <w:color w:val="000000" w:themeColor="text1"/>
                <w:sz w:val="21"/>
                <w:szCs w:val="21"/>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压裂液成分表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2675"/>
              <w:gridCol w:w="4359"/>
            </w:tblGrid>
            <w:tr w14:paraId="5461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38708AE3">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w:t>
                  </w:r>
                </w:p>
              </w:tc>
              <w:tc>
                <w:tcPr>
                  <w:tcW w:w="2675" w:type="dxa"/>
                </w:tcPr>
                <w:p w14:paraId="508CFF54">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压裂基液配方</w:t>
                  </w:r>
                </w:p>
              </w:tc>
              <w:tc>
                <w:tcPr>
                  <w:tcW w:w="4359" w:type="dxa"/>
                </w:tcPr>
                <w:p w14:paraId="4C2C23B0">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0.4%胍胶+0.2%复合添加剂</w:t>
                  </w:r>
                  <w:r>
                    <w:rPr>
                      <w:rFonts w:ascii="Times New Roman" w:hAnsi="Times New Roman"/>
                      <w:color w:val="000000" w:themeColor="text1"/>
                      <w14:textFill>
                        <w14:solidFill>
                          <w14:schemeClr w14:val="tx1"/>
                        </w14:solidFill>
                      </w14:textFill>
                    </w:rPr>
                    <w:t>+0.3%</w:t>
                  </w:r>
                  <w:r>
                    <w:rPr>
                      <w:rFonts w:hint="eastAsia" w:ascii="Times New Roman" w:hAnsi="Times New Roman"/>
                      <w:color w:val="000000" w:themeColor="text1"/>
                      <w14:textFill>
                        <w14:solidFill>
                          <w14:schemeClr w14:val="tx1"/>
                        </w14:solidFill>
                      </w14:textFill>
                    </w:rPr>
                    <w:t>交联剂</w:t>
                  </w:r>
                </w:p>
              </w:tc>
            </w:tr>
            <w:tr w14:paraId="2A4F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4E951A7D">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w:t>
                  </w:r>
                </w:p>
              </w:tc>
              <w:tc>
                <w:tcPr>
                  <w:tcW w:w="2675" w:type="dxa"/>
                </w:tcPr>
                <w:p w14:paraId="49260095">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交联比</w:t>
                  </w:r>
                </w:p>
              </w:tc>
              <w:tc>
                <w:tcPr>
                  <w:tcW w:w="4359" w:type="dxa"/>
                </w:tcPr>
                <w:p w14:paraId="51F11F6E">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0.3%</w:t>
                  </w:r>
                  <w:r>
                    <w:rPr>
                      <w:rFonts w:hint="eastAsia" w:ascii="Times New Roman" w:hAnsi="Times New Roman"/>
                      <w:color w:val="000000" w:themeColor="text1"/>
                      <w14:textFill>
                        <w14:solidFill>
                          <w14:schemeClr w14:val="tx1"/>
                        </w14:solidFill>
                      </w14:textFill>
                    </w:rPr>
                    <w:t>交联剂</w:t>
                  </w:r>
                </w:p>
              </w:tc>
            </w:tr>
            <w:tr w14:paraId="3076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4DCD7DCE">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w:t>
                  </w:r>
                </w:p>
              </w:tc>
              <w:tc>
                <w:tcPr>
                  <w:tcW w:w="2675" w:type="dxa"/>
                </w:tcPr>
                <w:p w14:paraId="5F601A1B">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基液粘度</w:t>
                  </w:r>
                </w:p>
              </w:tc>
              <w:tc>
                <w:tcPr>
                  <w:tcW w:w="4359" w:type="dxa"/>
                </w:tcPr>
                <w:p w14:paraId="04D66896">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30~40mPa·s</w:t>
                  </w:r>
                </w:p>
              </w:tc>
            </w:tr>
            <w:tr w14:paraId="6344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5DD86780">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w:t>
                  </w:r>
                </w:p>
              </w:tc>
              <w:tc>
                <w:tcPr>
                  <w:tcW w:w="2675" w:type="dxa"/>
                </w:tcPr>
                <w:p w14:paraId="52076FAB">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冻胶粘度</w:t>
                  </w:r>
                </w:p>
              </w:tc>
              <w:tc>
                <w:tcPr>
                  <w:tcW w:w="4359" w:type="dxa"/>
                </w:tcPr>
                <w:p w14:paraId="0253C89E">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220mPa·s</w:t>
                  </w:r>
                </w:p>
              </w:tc>
            </w:tr>
            <w:tr w14:paraId="2BEF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45881A5E">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w:t>
                  </w:r>
                </w:p>
              </w:tc>
              <w:tc>
                <w:tcPr>
                  <w:tcW w:w="2675" w:type="dxa"/>
                </w:tcPr>
                <w:p w14:paraId="116857A7">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pH</w:t>
                  </w:r>
                  <w:r>
                    <w:rPr>
                      <w:rFonts w:hint="eastAsia" w:ascii="Times New Roman" w:hAnsi="Times New Roman"/>
                      <w:color w:val="000000" w:themeColor="text1"/>
                      <w14:textFill>
                        <w14:solidFill>
                          <w14:schemeClr w14:val="tx1"/>
                        </w14:solidFill>
                      </w14:textFill>
                    </w:rPr>
                    <w:t>值</w:t>
                  </w:r>
                </w:p>
              </w:tc>
              <w:tc>
                <w:tcPr>
                  <w:tcW w:w="4359" w:type="dxa"/>
                </w:tcPr>
                <w:p w14:paraId="6AF74A6D">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9~10</w:t>
                  </w:r>
                </w:p>
              </w:tc>
            </w:tr>
            <w:tr w14:paraId="5D2F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122891A3">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6</w:t>
                  </w:r>
                </w:p>
              </w:tc>
              <w:tc>
                <w:tcPr>
                  <w:tcW w:w="2675" w:type="dxa"/>
                </w:tcPr>
                <w:p w14:paraId="3967E033">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滑溜水配方</w:t>
                  </w:r>
                </w:p>
              </w:tc>
              <w:tc>
                <w:tcPr>
                  <w:tcW w:w="4359" w:type="dxa"/>
                </w:tcPr>
                <w:p w14:paraId="6110D107">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0.05%</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0.2%</w:t>
                  </w:r>
                  <w:r>
                    <w:rPr>
                      <w:rFonts w:hint="eastAsia" w:ascii="Times New Roman" w:hAnsi="Times New Roman"/>
                      <w:color w:val="000000" w:themeColor="text1"/>
                      <w14:textFill>
                        <w14:solidFill>
                          <w14:schemeClr w14:val="tx1"/>
                        </w14:solidFill>
                      </w14:textFill>
                    </w:rPr>
                    <w:t>环保型减阻剂</w:t>
                  </w:r>
                </w:p>
              </w:tc>
            </w:tr>
          </w:tbl>
          <w:p w14:paraId="116AEA25">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）试油周期</w:t>
            </w:r>
          </w:p>
          <w:p w14:paraId="4DA53F58">
            <w:pPr>
              <w:pStyle w:val="3"/>
              <w:ind w:firstLine="480"/>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本项目试油周期</w:t>
            </w:r>
            <w:r>
              <w:rPr>
                <w:rFonts w:hint="eastAsia"/>
                <w:b w:val="0"/>
                <w:bCs w:val="0"/>
                <w:color w:val="000000" w:themeColor="text1"/>
                <w14:textFill>
                  <w14:solidFill>
                    <w14:schemeClr w14:val="tx1"/>
                  </w14:solidFill>
                </w14:textFill>
              </w:rPr>
              <w:t>180</w:t>
            </w:r>
            <w:r>
              <w:rPr>
                <w:b w:val="0"/>
                <w:bCs w:val="0"/>
                <w:color w:val="000000" w:themeColor="text1"/>
                <w14:textFill>
                  <w14:solidFill>
                    <w14:schemeClr w14:val="tx1"/>
                  </w14:solidFill>
                </w14:textFill>
              </w:rPr>
              <w:t>天，试油作业人数2人。</w:t>
            </w:r>
          </w:p>
          <w:p w14:paraId="577BEBC2">
            <w:pPr>
              <w:ind w:firstLine="0" w:firstLineChars="0"/>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6 钻后工程</w:t>
            </w:r>
          </w:p>
          <w:p w14:paraId="481054AE">
            <w:pPr>
              <w:pStyle w:val="8"/>
              <w:ind w:firstLine="480"/>
              <w:rPr>
                <w:color w:val="000000" w:themeColor="text1"/>
                <w14:textFill>
                  <w14:solidFill>
                    <w14:schemeClr w14:val="tx1"/>
                  </w14:solidFill>
                </w14:textFill>
              </w:rPr>
            </w:pPr>
            <w:r>
              <w:rPr>
                <w:color w:val="000000" w:themeColor="text1"/>
                <w14:textFill>
                  <w14:solidFill>
                    <w14:schemeClr w14:val="tx1"/>
                  </w14:solidFill>
                </w14:textFill>
              </w:rPr>
              <w:t>试油结束后视试油结果决定是否转为生产井，若可转为生产井，则应当在产能开发建设前开展环境影响评价工作。如发现该井不具开发价值或目的层不含油，则进行封井，拆除井口装置，截去地下1m内管头，最后清理场地，清除各种固体废弃物，自然恢复至相对自然的地貌。封井后，人员撤离，区域内没有了人为的扰动，井场范围内的自然植被会逐渐得以恢复，有助于区域生态环境的改善。</w:t>
            </w:r>
          </w:p>
          <w:p w14:paraId="358D83EF">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7 公用工程</w:t>
            </w:r>
          </w:p>
          <w:p w14:paraId="110B30CF">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7.1 给水</w:t>
            </w:r>
          </w:p>
          <w:p w14:paraId="755C258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w:t>
            </w:r>
            <w:r>
              <w:rPr>
                <w:color w:val="000000" w:themeColor="text1"/>
                <w14:textFill>
                  <w14:solidFill>
                    <w14:schemeClr w14:val="tx1"/>
                  </w14:solidFill>
                </w14:textFill>
              </w:rPr>
              <w:t>本项目在钻井过程中生产用水主要为泥浆配比用水，根据建设单位提供的资料，泥浆配比用水约为泥浆用量的</w:t>
            </w:r>
            <w:r>
              <w:rPr>
                <w:rFonts w:hint="eastAsia"/>
                <w:color w:val="000000" w:themeColor="text1"/>
                <w14:textFill>
                  <w14:solidFill>
                    <w14:schemeClr w14:val="tx1"/>
                  </w14:solidFill>
                </w14:textFill>
              </w:rPr>
              <w:t>8</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本项目钻井期需水基钻井液1400m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，则钻井液配比用水1120m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，项目油基钻井液直接将成品钻井液拉运至所需地，不进行现场配置。</w:t>
            </w:r>
          </w:p>
          <w:p w14:paraId="6B188BF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②根据建设单位提供的资料，压裂液配比用水约为压裂液的</w:t>
            </w:r>
            <w:r>
              <w:rPr>
                <w:color w:val="000000" w:themeColor="text1"/>
                <w14:textFill>
                  <w14:solidFill>
                    <w14:schemeClr w14:val="tx1"/>
                  </w14:solidFill>
                </w14:textFill>
              </w:rPr>
              <w:t>99%</w:t>
            </w:r>
            <w:r>
              <w:rPr>
                <w:rFonts w:hint="eastAsia"/>
                <w:color w:val="000000" w:themeColor="text1"/>
                <w14:textFill>
                  <w14:solidFill>
                    <w14:schemeClr w14:val="tx1"/>
                  </w14:solidFill>
                </w14:textFill>
              </w:rPr>
              <w:t>，本项目共需压裂液1225.68</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，则压裂液配比用水1213.42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p w14:paraId="27BDD64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w:t>
            </w:r>
            <w:r>
              <w:rPr>
                <w:color w:val="000000" w:themeColor="text1"/>
                <w14:textFill>
                  <w14:solidFill>
                    <w14:schemeClr w14:val="tx1"/>
                  </w14:solidFill>
                </w14:textFill>
              </w:rPr>
              <w:t>钻井期钻井人数</w:t>
            </w:r>
            <w:r>
              <w:rPr>
                <w:rFonts w:hint="eastAsia"/>
                <w:color w:val="000000" w:themeColor="text1"/>
                <w:lang w:val="en-US" w:eastAsia="zh-CN"/>
                <w14:textFill>
                  <w14:solidFill>
                    <w14:schemeClr w14:val="tx1"/>
                  </w14:solidFill>
                </w14:textFill>
              </w:rPr>
              <w:t>40</w:t>
            </w:r>
            <w:r>
              <w:rPr>
                <w:color w:val="000000" w:themeColor="text1"/>
                <w14:textFill>
                  <w14:solidFill>
                    <w14:schemeClr w14:val="tx1"/>
                  </w14:solidFill>
                </w14:textFill>
              </w:rPr>
              <w:t>人/井，钻井周期为</w:t>
            </w:r>
            <w:r>
              <w:rPr>
                <w:rFonts w:hint="eastAsia"/>
                <w:color w:val="000000" w:themeColor="text1"/>
                <w14:textFill>
                  <w14:solidFill>
                    <w14:schemeClr w14:val="tx1"/>
                  </w14:solidFill>
                </w14:textFill>
              </w:rPr>
              <w:t>196</w:t>
            </w:r>
            <w:r>
              <w:rPr>
                <w:color w:val="000000" w:themeColor="text1"/>
                <w14:textFill>
                  <w14:solidFill>
                    <w14:schemeClr w14:val="tx1"/>
                  </w14:solidFill>
                </w14:textFill>
              </w:rPr>
              <w:t>天，按每人每天用水80L计算，钻井期生活用水</w:t>
            </w:r>
            <w:r>
              <w:rPr>
                <w:rFonts w:hint="eastAsia"/>
                <w:color w:val="000000" w:themeColor="text1"/>
                <w:lang w:eastAsia="zh-CN"/>
                <w14:textFill>
                  <w14:solidFill>
                    <w14:schemeClr w14:val="tx1"/>
                  </w14:solidFill>
                </w14:textFill>
              </w:rPr>
              <w:t>627.2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p>
          <w:p w14:paraId="38D3068A">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⑤本项目洗井用水为120.6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（每口井按</w:t>
            </w:r>
            <w:r>
              <w:rPr>
                <w:color w:val="000000" w:themeColor="text1"/>
                <w14:textFill>
                  <w14:solidFill>
                    <w14:schemeClr w14:val="tx1"/>
                  </w14:solidFill>
                </w14:textFill>
              </w:rPr>
              <w:t>30.15m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计）。</w:t>
            </w:r>
          </w:p>
          <w:p w14:paraId="6FF5E16F">
            <w:pPr>
              <w:ind w:firstLine="480"/>
              <w:rPr>
                <w:rFonts w:hint="default" w:eastAsia="宋体"/>
                <w:color w:val="000000" w:themeColor="text1"/>
                <w:lang w:val="en-US" w:eastAsia="zh-CN"/>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⑥</w:t>
            </w:r>
            <w:r>
              <w:rPr>
                <w:rFonts w:ascii="Times New Roman" w:hAnsi="Times New Roman"/>
                <w:color w:val="000000" w:themeColor="text1"/>
                <w:sz w:val="24"/>
                <w:szCs w:val="24"/>
                <w14:textFill>
                  <w14:solidFill>
                    <w14:schemeClr w14:val="tx1"/>
                  </w14:solidFill>
                </w14:textFill>
              </w:rPr>
              <w:t>建设期进场道路修建、施工营地及井场场地平整、运输车辆行驶均会产生扬尘，在施工场地实施每天洒水抑尘作业1次，</w:t>
            </w:r>
            <w:r>
              <w:rPr>
                <w:rFonts w:hint="eastAsia" w:ascii="Times New Roman" w:hAnsi="Times New Roman"/>
                <w:color w:val="000000" w:themeColor="text1"/>
                <w:sz w:val="24"/>
                <w:szCs w:val="24"/>
                <w:lang w:val="en-US" w:eastAsia="zh-CN"/>
                <w14:textFill>
                  <w14:solidFill>
                    <w14:schemeClr w14:val="tx1"/>
                  </w14:solidFill>
                </w14:textFill>
              </w:rPr>
              <w:t>单次洒水定额1.8L/m</w:t>
            </w:r>
            <w:r>
              <w:rPr>
                <w:rFonts w:hint="eastAsia" w:ascii="Times New Roman" w:hAnsi="Times New Roman"/>
                <w:color w:val="000000" w:themeColor="text1"/>
                <w:sz w:val="24"/>
                <w:szCs w:val="24"/>
                <w:vertAlign w:val="superscript"/>
                <w:lang w:val="en-US" w:eastAsia="zh-CN"/>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本项目占地面积29072m2，则洒水抑尘用水量为52329.6L（52.33m</w:t>
            </w:r>
            <w:r>
              <w:rPr>
                <w:rFonts w:hint="eastAsia" w:ascii="Times New Roman" w:hAnsi="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olor w:val="000000" w:themeColor="text1"/>
                <w:sz w:val="24"/>
                <w:szCs w:val="24"/>
                <w:lang w:val="en-US" w:eastAsia="zh-CN"/>
                <w14:textFill>
                  <w14:solidFill>
                    <w14:schemeClr w14:val="tx1"/>
                  </w14:solidFill>
                </w14:textFill>
              </w:rPr>
              <w:t>）。</w:t>
            </w:r>
          </w:p>
          <w:p w14:paraId="3D818B6F">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综上所述，本项目总用水量为30</w:t>
            </w:r>
            <w:r>
              <w:rPr>
                <w:rFonts w:hint="eastAsia"/>
                <w:color w:val="000000" w:themeColor="text1"/>
                <w:lang w:val="en-US" w:eastAsia="zh-CN"/>
                <w14:textFill>
                  <w14:solidFill>
                    <w14:schemeClr w14:val="tx1"/>
                  </w14:solidFill>
                </w14:textFill>
              </w:rPr>
              <w:t>85.15</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p w14:paraId="51A218FC">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7.2 排水</w:t>
            </w:r>
          </w:p>
          <w:p w14:paraId="52A55ADB">
            <w:pPr>
              <w:ind w:firstLine="480"/>
              <w:rPr>
                <w:rFonts w:hint="default"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钻井过程中采用“钻井泥浆不落地技术”，分离出的液相</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废水主要为钻井期生活污水和井下作业废水（洗井废水和压裂返排液）。</w:t>
            </w:r>
            <w:r>
              <w:rPr>
                <w:rFonts w:hint="eastAsia"/>
                <w:color w:val="000000" w:themeColor="text1"/>
                <w:lang w:val="en-US" w:eastAsia="zh-CN"/>
                <w14:textFill>
                  <w14:solidFill>
                    <w14:schemeClr w14:val="tx1"/>
                  </w14:solidFill>
                </w14:textFill>
              </w:rPr>
              <w:t>洒水抑尘后自然蒸发。</w:t>
            </w:r>
          </w:p>
          <w:p w14:paraId="2C9B5F3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（1）生活污水：</w:t>
            </w:r>
            <w:r>
              <w:rPr>
                <w:color w:val="000000" w:themeColor="text1"/>
                <w14:textFill>
                  <w14:solidFill>
                    <w14:schemeClr w14:val="tx1"/>
                  </w14:solidFill>
                </w14:textFill>
              </w:rPr>
              <w:t>本项目施工期生活污水产生量为用水量的80%，预计生活污水产生量为</w:t>
            </w:r>
            <w:r>
              <w:rPr>
                <w:rFonts w:hint="eastAsia"/>
                <w:color w:val="000000" w:themeColor="text1"/>
                <w:lang w:eastAsia="zh-CN"/>
                <w14:textFill>
                  <w14:solidFill>
                    <w14:schemeClr w14:val="tx1"/>
                  </w14:solidFill>
                </w14:textFill>
              </w:rPr>
              <w:t>501.76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。施工期生活污水排入防渗收集池，定期</w:t>
            </w:r>
            <w:r>
              <w:rPr>
                <w:rFonts w:hint="eastAsia"/>
                <w:color w:val="000000" w:themeColor="text1"/>
                <w14:textFill>
                  <w14:solidFill>
                    <w14:schemeClr w14:val="tx1"/>
                  </w14:solidFill>
                </w14:textFill>
              </w:rPr>
              <w:t>采用密闭式吸污罐车定期拉运至吉木萨尔县生活污水处理厂进行处理</w:t>
            </w:r>
            <w:r>
              <w:rPr>
                <w:color w:val="000000" w:themeColor="text1"/>
                <w14:textFill>
                  <w14:solidFill>
                    <w14:schemeClr w14:val="tx1"/>
                  </w14:solidFill>
                </w14:textFill>
              </w:rPr>
              <w:t>。</w:t>
            </w:r>
          </w:p>
          <w:p w14:paraId="5F9FE09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（2）压裂返排液：根据《排放源统计调查产排污核算方法和系数手册》中的“</w:t>
            </w:r>
            <w:r>
              <w:rPr>
                <w:color w:val="000000" w:themeColor="text1"/>
                <w14:textFill>
                  <w14:solidFill>
                    <w14:schemeClr w14:val="tx1"/>
                  </w14:solidFill>
                </w14:textFill>
              </w:rPr>
              <w:t>1120</w:t>
            </w:r>
            <w:r>
              <w:rPr>
                <w:rFonts w:hint="eastAsia"/>
                <w:color w:val="000000" w:themeColor="text1"/>
                <w14:textFill>
                  <w14:solidFill>
                    <w14:schemeClr w14:val="tx1"/>
                  </w14:solidFill>
                </w14:textFill>
              </w:rPr>
              <w:t>石油和天然气开采专业及辅助性活动行业系数手册”，低渗透油井洗井作业废压裂液排放量为</w:t>
            </w:r>
            <w:r>
              <w:rPr>
                <w:color w:val="000000" w:themeColor="text1"/>
                <w14:textFill>
                  <w14:solidFill>
                    <w14:schemeClr w14:val="tx1"/>
                  </w14:solidFill>
                </w14:textFill>
              </w:rPr>
              <w:t>153.21m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井。本项目产生压裂返排液612.84</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，产生的废压裂液由罐车送至吉康脱水站处理后全部回注，不外排。</w:t>
            </w:r>
          </w:p>
          <w:p w14:paraId="13791D57">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）洗井废水：根据《排放源统计调查产排污核算方法和系数手册》中的 “1120石油和天然气开采专业及辅助性活动行业系数手册”，低渗透油井洗井作业洗井废水产排放量为27.13t/井，本项目产生洗井废水108.52t。井下作业过程中，作业单位自带回收罐回收作业废水，运至吉康脱水站污水处理系统处理达标后，上清液回注含油层，底泥依托吉康脱水站污泥罐暂存，定期交由新疆中建环能北庭环保科技有限公司进行无害化处置。</w:t>
            </w:r>
          </w:p>
          <w:p w14:paraId="01D243B4">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本项目水平衡见表2-1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w:t>
            </w:r>
          </w:p>
          <w:p w14:paraId="480E31A9">
            <w:pPr>
              <w:ind w:left="0" w:leftChars="0" w:firstLine="0" w:firstLineChars="0"/>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表2-1</w:t>
            </w:r>
            <w:r>
              <w:rPr>
                <w:rFonts w:hint="eastAsia"/>
                <w:b/>
                <w:bCs/>
                <w:color w:val="000000" w:themeColor="text1"/>
                <w:sz w:val="21"/>
                <w:szCs w:val="21"/>
                <w:lang w:val="en-US" w:eastAsia="zh-CN"/>
                <w14:textFill>
                  <w14:solidFill>
                    <w14:schemeClr w14:val="tx1"/>
                  </w14:solidFill>
                </w14:textFill>
              </w:rPr>
              <w:t>0</w:t>
            </w:r>
            <w:r>
              <w:rPr>
                <w:rFonts w:hint="eastAsia"/>
                <w:b/>
                <w:bCs/>
                <w:color w:val="000000" w:themeColor="text1"/>
                <w:sz w:val="21"/>
                <w:szCs w:val="21"/>
                <w14:textFill>
                  <w14:solidFill>
                    <w14:schemeClr w14:val="tx1"/>
                  </w14:solidFill>
                </w14:textFill>
              </w:rPr>
              <w:t xml:space="preserve"> 项目水平衡一览表单位：m</w:t>
            </w:r>
            <w:r>
              <w:rPr>
                <w:rFonts w:hint="eastAsia"/>
                <w:b/>
                <w:bCs/>
                <w:color w:val="000000" w:themeColor="text1"/>
                <w:sz w:val="21"/>
                <w:szCs w:val="21"/>
                <w:vertAlign w:val="superscript"/>
                <w14:textFill>
                  <w14:solidFill>
                    <w14:schemeClr w14:val="tx1"/>
                  </w14:solidFill>
                </w14:textFill>
              </w:rPr>
              <w:t>3</w:t>
            </w:r>
          </w:p>
          <w:tbl>
            <w:tblPr>
              <w:tblStyle w:val="17"/>
              <w:tblW w:w="8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0"/>
              <w:gridCol w:w="1283"/>
              <w:gridCol w:w="1317"/>
              <w:gridCol w:w="1517"/>
              <w:gridCol w:w="2445"/>
            </w:tblGrid>
            <w:tr w14:paraId="392B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14CF76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项目</w:t>
                  </w:r>
                </w:p>
              </w:tc>
              <w:tc>
                <w:tcPr>
                  <w:tcW w:w="1283" w:type="dxa"/>
                  <w:vAlign w:val="center"/>
                </w:tcPr>
                <w:p w14:paraId="2D40B5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新鲜水</w:t>
                  </w:r>
                </w:p>
              </w:tc>
              <w:tc>
                <w:tcPr>
                  <w:tcW w:w="1317" w:type="dxa"/>
                  <w:vAlign w:val="center"/>
                </w:tcPr>
                <w:p w14:paraId="1E456D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损失量</w:t>
                  </w:r>
                </w:p>
              </w:tc>
              <w:tc>
                <w:tcPr>
                  <w:tcW w:w="1517" w:type="dxa"/>
                  <w:vAlign w:val="center"/>
                </w:tcPr>
                <w:p w14:paraId="4C0379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废水量</w:t>
                  </w:r>
                </w:p>
              </w:tc>
              <w:tc>
                <w:tcPr>
                  <w:tcW w:w="2445" w:type="dxa"/>
                  <w:vAlign w:val="center"/>
                </w:tcPr>
                <w:p w14:paraId="4B73FA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备注</w:t>
                  </w:r>
                </w:p>
              </w:tc>
            </w:tr>
            <w:tr w14:paraId="3C00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314726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钻井液用水</w:t>
                  </w:r>
                </w:p>
              </w:tc>
              <w:tc>
                <w:tcPr>
                  <w:tcW w:w="1283" w:type="dxa"/>
                  <w:vAlign w:val="center"/>
                </w:tcPr>
                <w:p w14:paraId="765B79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1120</w:t>
                  </w:r>
                </w:p>
              </w:tc>
              <w:tc>
                <w:tcPr>
                  <w:tcW w:w="1317" w:type="dxa"/>
                  <w:vAlign w:val="center"/>
                </w:tcPr>
                <w:p w14:paraId="38BF48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517" w:type="dxa"/>
                  <w:vAlign w:val="center"/>
                </w:tcPr>
                <w:p w14:paraId="0D41BC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2445" w:type="dxa"/>
                  <w:vAlign w:val="center"/>
                </w:tcPr>
                <w:p w14:paraId="41592F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themeColor="text1"/>
                      <w:sz w:val="21"/>
                      <w:szCs w:val="21"/>
                      <w:vertAlign w:val="baseline"/>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1120</w:t>
                  </w:r>
                  <w:r>
                    <w:rPr>
                      <w:rFonts w:hint="eastAsia"/>
                      <w:color w:val="000000" w:themeColor="text1"/>
                      <w:sz w:val="21"/>
                      <w:szCs w:val="21"/>
                      <w:vertAlign w:val="baseline"/>
                      <w14:textFill>
                        <w14:solidFill>
                          <w14:schemeClr w14:val="tx1"/>
                        </w14:solidFill>
                      </w14:textFill>
                    </w:rPr>
                    <w:t>全部用于钻井液</w:t>
                  </w:r>
                </w:p>
              </w:tc>
            </w:tr>
            <w:tr w14:paraId="118A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1BC271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压裂液用水</w:t>
                  </w:r>
                </w:p>
              </w:tc>
              <w:tc>
                <w:tcPr>
                  <w:tcW w:w="1283" w:type="dxa"/>
                  <w:vAlign w:val="center"/>
                </w:tcPr>
                <w:p w14:paraId="16169B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1213.42</w:t>
                  </w:r>
                </w:p>
              </w:tc>
              <w:tc>
                <w:tcPr>
                  <w:tcW w:w="1317" w:type="dxa"/>
                  <w:vAlign w:val="center"/>
                </w:tcPr>
                <w:p w14:paraId="56E6AD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600.58</w:t>
                  </w:r>
                </w:p>
              </w:tc>
              <w:tc>
                <w:tcPr>
                  <w:tcW w:w="1517" w:type="dxa"/>
                  <w:vAlign w:val="center"/>
                </w:tcPr>
                <w:p w14:paraId="1E7540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612.84</w:t>
                  </w:r>
                </w:p>
              </w:tc>
              <w:tc>
                <w:tcPr>
                  <w:tcW w:w="2445" w:type="dxa"/>
                  <w:vAlign w:val="center"/>
                </w:tcPr>
                <w:p w14:paraId="43509B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w:t>
                  </w:r>
                </w:p>
              </w:tc>
            </w:tr>
            <w:tr w14:paraId="1828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7DB3D8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洗井用水</w:t>
                  </w:r>
                </w:p>
              </w:tc>
              <w:tc>
                <w:tcPr>
                  <w:tcW w:w="1283" w:type="dxa"/>
                  <w:vAlign w:val="center"/>
                </w:tcPr>
                <w:p w14:paraId="7BA9FA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120.6</w:t>
                  </w:r>
                </w:p>
              </w:tc>
              <w:tc>
                <w:tcPr>
                  <w:tcW w:w="1317" w:type="dxa"/>
                  <w:vAlign w:val="center"/>
                </w:tcPr>
                <w:p w14:paraId="5C72BF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12.08</w:t>
                  </w:r>
                </w:p>
              </w:tc>
              <w:tc>
                <w:tcPr>
                  <w:tcW w:w="1517" w:type="dxa"/>
                  <w:vAlign w:val="center"/>
                </w:tcPr>
                <w:p w14:paraId="1566F7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108.52</w:t>
                  </w:r>
                </w:p>
              </w:tc>
              <w:tc>
                <w:tcPr>
                  <w:tcW w:w="2445" w:type="dxa"/>
                  <w:vAlign w:val="center"/>
                </w:tcPr>
                <w:p w14:paraId="153CC0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w:t>
                  </w:r>
                </w:p>
              </w:tc>
            </w:tr>
            <w:tr w14:paraId="6DFC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081CC3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生活用水</w:t>
                  </w:r>
                </w:p>
              </w:tc>
              <w:tc>
                <w:tcPr>
                  <w:tcW w:w="1283" w:type="dxa"/>
                  <w:vAlign w:val="center"/>
                </w:tcPr>
                <w:p w14:paraId="6C13D4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627.3</w:t>
                  </w:r>
                </w:p>
              </w:tc>
              <w:tc>
                <w:tcPr>
                  <w:tcW w:w="1317" w:type="dxa"/>
                  <w:vAlign w:val="center"/>
                </w:tcPr>
                <w:p w14:paraId="35D126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125.54</w:t>
                  </w:r>
                </w:p>
              </w:tc>
              <w:tc>
                <w:tcPr>
                  <w:tcW w:w="1517" w:type="dxa"/>
                  <w:vAlign w:val="center"/>
                </w:tcPr>
                <w:p w14:paraId="2D7CF9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501.76</w:t>
                  </w:r>
                </w:p>
              </w:tc>
              <w:tc>
                <w:tcPr>
                  <w:tcW w:w="2445" w:type="dxa"/>
                  <w:vAlign w:val="center"/>
                </w:tcPr>
                <w:p w14:paraId="51EC2A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w:t>
                  </w:r>
                </w:p>
              </w:tc>
            </w:tr>
            <w:tr w14:paraId="1889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2A6922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洒水抑尘用水</w:t>
                  </w:r>
                </w:p>
              </w:tc>
              <w:tc>
                <w:tcPr>
                  <w:tcW w:w="1283" w:type="dxa"/>
                  <w:vAlign w:val="center"/>
                </w:tcPr>
                <w:p w14:paraId="2BFBA1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52.33</w:t>
                  </w:r>
                </w:p>
              </w:tc>
              <w:tc>
                <w:tcPr>
                  <w:tcW w:w="1317" w:type="dxa"/>
                  <w:vAlign w:val="center"/>
                </w:tcPr>
                <w:p w14:paraId="5FED25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52.33</w:t>
                  </w:r>
                </w:p>
              </w:tc>
              <w:tc>
                <w:tcPr>
                  <w:tcW w:w="1517" w:type="dxa"/>
                  <w:vAlign w:val="center"/>
                </w:tcPr>
                <w:p w14:paraId="4222C6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2445" w:type="dxa"/>
                  <w:vAlign w:val="center"/>
                </w:tcPr>
                <w:p w14:paraId="7E7FF3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自然蒸发</w:t>
                  </w:r>
                </w:p>
              </w:tc>
            </w:tr>
            <w:tr w14:paraId="44D2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4CF6DA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合计</w:t>
                  </w:r>
                </w:p>
              </w:tc>
              <w:tc>
                <w:tcPr>
                  <w:tcW w:w="1283" w:type="dxa"/>
                  <w:vAlign w:val="center"/>
                </w:tcPr>
                <w:p w14:paraId="380CF6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3133.65</w:t>
                  </w:r>
                </w:p>
              </w:tc>
              <w:tc>
                <w:tcPr>
                  <w:tcW w:w="1317" w:type="dxa"/>
                  <w:vAlign w:val="center"/>
                </w:tcPr>
                <w:p w14:paraId="1F0158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790.53</w:t>
                  </w:r>
                </w:p>
              </w:tc>
              <w:tc>
                <w:tcPr>
                  <w:tcW w:w="1517" w:type="dxa"/>
                  <w:vAlign w:val="center"/>
                </w:tcPr>
                <w:p w14:paraId="686ECA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1223.12</w:t>
                  </w:r>
                </w:p>
              </w:tc>
              <w:tc>
                <w:tcPr>
                  <w:tcW w:w="2445" w:type="dxa"/>
                  <w:vAlign w:val="center"/>
                </w:tcPr>
                <w:p w14:paraId="58E25A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1120</w:t>
                  </w:r>
                </w:p>
              </w:tc>
            </w:tr>
          </w:tbl>
          <w:p w14:paraId="28674376">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7.3 供暖</w:t>
            </w:r>
          </w:p>
          <w:p w14:paraId="1C93C9D4">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本项目钻井期不在冬季，无需供暖。</w:t>
            </w:r>
          </w:p>
          <w:p w14:paraId="6CB29A30">
            <w:pPr>
              <w:ind w:firstLine="0" w:firstLineChars="0"/>
              <w:rPr>
                <w:rStyle w:val="37"/>
                <w:color w:val="000000" w:themeColor="text1"/>
                <w14:textFill>
                  <w14:solidFill>
                    <w14:schemeClr w14:val="tx1"/>
                  </w14:solidFill>
                </w14:textFill>
              </w:rPr>
            </w:pPr>
            <w:r>
              <w:rPr>
                <w:b/>
                <w:bCs/>
                <w:color w:val="000000" w:themeColor="text1"/>
                <w14:textFill>
                  <w14:solidFill>
                    <w14:schemeClr w14:val="tx1"/>
                  </w14:solidFill>
                </w14:textFill>
              </w:rPr>
              <w:t>7.4 供电</w:t>
            </w:r>
          </w:p>
          <w:p w14:paraId="1AD20AEB">
            <w:pPr>
              <w:ind w:firstLine="480"/>
              <w:rPr>
                <w:rFonts w:hint="default" w:eastAsia="宋体"/>
                <w:color w:val="000000" w:themeColor="text1"/>
                <w:highlight w:val="yellow"/>
                <w:lang w:val="en-US" w:eastAsia="zh-CN"/>
                <w14:textFill>
                  <w14:solidFill>
                    <w14:schemeClr w14:val="tx1"/>
                  </w14:solidFill>
                </w14:textFill>
              </w:rPr>
            </w:pPr>
            <w:r>
              <w:rPr>
                <w:color w:val="000000" w:themeColor="text1"/>
                <w14:textFill>
                  <w14:solidFill>
                    <w14:schemeClr w14:val="tx1"/>
                  </w14:solidFill>
                </w14:textFill>
              </w:rPr>
              <w:t>钻井作业和试油作业使用柴油机和柴油发电机供电，每井钻井队配备钻井柴油机</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台，</w:t>
            </w:r>
            <w:r>
              <w:rPr>
                <w:rFonts w:hint="eastAsia"/>
                <w:color w:val="000000" w:themeColor="text1"/>
                <w:lang w:val="en-US" w:eastAsia="zh-CN"/>
                <w14:textFill>
                  <w14:solidFill>
                    <w14:schemeClr w14:val="tx1"/>
                  </w14:solidFill>
                </w14:textFill>
              </w:rPr>
              <w:t>甲醇发电机12台（250kW/机），</w:t>
            </w:r>
            <w:r>
              <w:rPr>
                <w:color w:val="000000" w:themeColor="text1"/>
                <w14:textFill>
                  <w14:solidFill>
                    <w14:schemeClr w14:val="tx1"/>
                  </w14:solidFill>
                </w14:textFill>
              </w:rPr>
              <w:t>试油期柴油发电机2台（1用1备），钻井及试油期共</w:t>
            </w:r>
            <w:r>
              <w:rPr>
                <w:rFonts w:hint="eastAsia"/>
                <w:color w:val="000000" w:themeColor="text1"/>
                <w14:textFill>
                  <w14:solidFill>
                    <w14:schemeClr w14:val="tx1"/>
                  </w14:solidFill>
                </w14:textFill>
              </w:rPr>
              <w:t>916</w:t>
            </w:r>
            <w:r>
              <w:rPr>
                <w:color w:val="000000" w:themeColor="text1"/>
                <w14:textFill>
                  <w14:solidFill>
                    <w14:schemeClr w14:val="tx1"/>
                  </w14:solidFill>
                </w14:textFill>
              </w:rPr>
              <w:t>天，预计消耗柴油量</w:t>
            </w:r>
            <w:r>
              <w:rPr>
                <w:rFonts w:hint="eastAsia"/>
                <w:color w:val="000000" w:themeColor="text1"/>
                <w14:textFill>
                  <w14:solidFill>
                    <w14:schemeClr w14:val="tx1"/>
                  </w14:solidFill>
                </w14:textFill>
              </w:rPr>
              <w:t>409.2</w:t>
            </w:r>
            <w:r>
              <w:rPr>
                <w:color w:val="000000" w:themeColor="text1"/>
                <w14:textFill>
                  <w14:solidFill>
                    <w14:schemeClr w14:val="tx1"/>
                  </w14:solidFill>
                </w14:textFill>
              </w:rPr>
              <w:t>t</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甲醇消耗量109.33kg/h。</w:t>
            </w:r>
          </w:p>
          <w:p w14:paraId="06F98702">
            <w:pPr>
              <w:pStyle w:val="3"/>
              <w:ind w:firstLine="0" w:firstLineChars="0"/>
              <w:rPr>
                <w:rFonts w:hint="default" w:eastAsia="宋体"/>
                <w:color w:val="000000" w:themeColor="text1"/>
                <w:sz w:val="28"/>
                <w:szCs w:val="28"/>
                <w:highlight w:val="yellow"/>
                <w:lang w:val="en-US" w:eastAsia="zh-CN"/>
                <w14:textFill>
                  <w14:solidFill>
                    <w14:schemeClr w14:val="tx1"/>
                  </w14:solidFill>
                </w14:textFill>
              </w:rPr>
            </w:pPr>
            <w:r>
              <w:rPr>
                <w:color w:val="000000" w:themeColor="text1"/>
                <w:sz w:val="28"/>
                <w:szCs w:val="28"/>
                <w14:textFill>
                  <w14:solidFill>
                    <w14:schemeClr w14:val="tx1"/>
                  </w14:solidFill>
                </w14:textFill>
              </w:rPr>
              <w:t>8 工程占地</w:t>
            </w:r>
            <w:r>
              <w:rPr>
                <w:rFonts w:hint="eastAsia"/>
                <w:color w:val="000000" w:themeColor="text1"/>
                <w:sz w:val="28"/>
                <w:szCs w:val="28"/>
                <w:lang w:val="en-US" w:eastAsia="zh-CN"/>
                <w14:textFill>
                  <w14:solidFill>
                    <w14:schemeClr w14:val="tx1"/>
                  </w14:solidFill>
                </w14:textFill>
              </w:rPr>
              <w:t>及土石方平衡</w:t>
            </w:r>
          </w:p>
          <w:p w14:paraId="66A64032">
            <w:pPr>
              <w:ind w:left="0" w:leftChars="0" w:firstLine="0" w:firstLineChars="0"/>
              <w:rPr>
                <w:rFonts w:hint="default"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8.1 工程占地</w:t>
            </w:r>
          </w:p>
          <w:p w14:paraId="2DBCFC98">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本项目总占地面积</w:t>
            </w:r>
            <w:r>
              <w:rPr>
                <w:rFonts w:hint="eastAsia"/>
                <w:color w:val="000000" w:themeColor="text1"/>
                <w14:textFill>
                  <w14:solidFill>
                    <w14:schemeClr w14:val="tx1"/>
                  </w14:solidFill>
                </w14:textFill>
              </w:rPr>
              <w:t>29072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，均为临时占地，本项目占地情况见表2-</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w:t>
            </w:r>
          </w:p>
          <w:p w14:paraId="463314C8">
            <w:pPr>
              <w:overflowPunct w:val="0"/>
              <w:adjustRightInd/>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表2-</w:t>
            </w:r>
            <w:r>
              <w:rPr>
                <w:rFonts w:hint="eastAsia"/>
                <w:b/>
                <w:color w:val="000000" w:themeColor="text1"/>
                <w:sz w:val="21"/>
                <w:szCs w:val="21"/>
                <w14:textFill>
                  <w14:solidFill>
                    <w14:schemeClr w14:val="tx1"/>
                  </w14:solidFill>
                </w14:textFill>
              </w:rPr>
              <w:t>1</w:t>
            </w:r>
            <w:r>
              <w:rPr>
                <w:rFonts w:hint="eastAsia"/>
                <w:b/>
                <w:color w:val="000000" w:themeColor="text1"/>
                <w:sz w:val="21"/>
                <w:szCs w:val="21"/>
                <w:lang w:val="en-US" w:eastAsia="zh-CN"/>
                <w14:textFill>
                  <w14:solidFill>
                    <w14:schemeClr w14:val="tx1"/>
                  </w14:solidFill>
                </w14:textFill>
              </w:rPr>
              <w:t>1</w:t>
            </w:r>
            <w:r>
              <w:rPr>
                <w:rFonts w:hint="eastAsia"/>
                <w:b/>
                <w:color w:val="000000" w:themeColor="text1"/>
                <w:sz w:val="21"/>
                <w:szCs w:val="21"/>
                <w14:textFill>
                  <w14:solidFill>
                    <w14:schemeClr w14:val="tx1"/>
                  </w14:solidFill>
                </w14:textFill>
              </w:rPr>
              <w:t xml:space="preserve"> </w:t>
            </w:r>
            <w:r>
              <w:rPr>
                <w:b/>
                <w:color w:val="000000" w:themeColor="text1"/>
                <w:sz w:val="21"/>
                <w:szCs w:val="21"/>
                <w14:textFill>
                  <w14:solidFill>
                    <w14:schemeClr w14:val="tx1"/>
                  </w14:solidFill>
                </w14:textFill>
              </w:rPr>
              <w:t xml:space="preserve"> 项目占地情况一览表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334"/>
              <w:gridCol w:w="1612"/>
              <w:gridCol w:w="1110"/>
              <w:gridCol w:w="3043"/>
            </w:tblGrid>
            <w:tr w14:paraId="31F6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9" w:hRule="atLeast"/>
                <w:jc w:val="center"/>
              </w:trPr>
              <w:tc>
                <w:tcPr>
                  <w:tcW w:w="665" w:type="pct"/>
                  <w:vAlign w:val="center"/>
                </w:tcPr>
                <w:p w14:paraId="30B1140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井号</w:t>
                  </w:r>
                </w:p>
              </w:tc>
              <w:tc>
                <w:tcPr>
                  <w:tcW w:w="814" w:type="pct"/>
                  <w:vAlign w:val="center"/>
                </w:tcPr>
                <w:p w14:paraId="1459FC1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区域</w:t>
                  </w:r>
                </w:p>
              </w:tc>
              <w:tc>
                <w:tcPr>
                  <w:tcW w:w="984" w:type="pct"/>
                  <w:vAlign w:val="center"/>
                </w:tcPr>
                <w:p w14:paraId="5B285332">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临时占地（m</w:t>
                  </w:r>
                  <w:r>
                    <w:rPr>
                      <w:b/>
                      <w:bCs/>
                      <w:color w:val="000000" w:themeColor="text1"/>
                      <w:vertAlign w:val="superscript"/>
                      <w14:textFill>
                        <w14:solidFill>
                          <w14:schemeClr w14:val="tx1"/>
                        </w14:solidFill>
                      </w14:textFill>
                    </w:rPr>
                    <w:t>2</w:t>
                  </w:r>
                  <w:r>
                    <w:rPr>
                      <w:b/>
                      <w:bCs/>
                      <w:color w:val="000000" w:themeColor="text1"/>
                      <w14:textFill>
                        <w14:solidFill>
                          <w14:schemeClr w14:val="tx1"/>
                        </w14:solidFill>
                      </w14:textFill>
                    </w:rPr>
                    <w:t>）</w:t>
                  </w:r>
                </w:p>
              </w:tc>
              <w:tc>
                <w:tcPr>
                  <w:tcW w:w="678" w:type="pct"/>
                  <w:vAlign w:val="center"/>
                </w:tcPr>
                <w:p w14:paraId="350C8D6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用地类型</w:t>
                  </w:r>
                </w:p>
              </w:tc>
              <w:tc>
                <w:tcPr>
                  <w:tcW w:w="1858" w:type="pct"/>
                  <w:vAlign w:val="center"/>
                </w:tcPr>
                <w:p w14:paraId="3D99023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备注</w:t>
                  </w:r>
                </w:p>
              </w:tc>
            </w:tr>
            <w:tr w14:paraId="6214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65" w:type="pct"/>
                  <w:vMerge w:val="restart"/>
                  <w:vAlign w:val="center"/>
                </w:tcPr>
                <w:p w14:paraId="55B3A58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平台井（</w:t>
                  </w:r>
                  <w:r>
                    <w:rPr>
                      <w:color w:val="000000" w:themeColor="text1"/>
                      <w14:textFill>
                        <w14:solidFill>
                          <w14:schemeClr w14:val="tx1"/>
                        </w14:solidFill>
                      </w14:textFill>
                    </w:rPr>
                    <w:t>萨102-124井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萨102-224井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萨102-115井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萨102-215井</w:t>
                  </w:r>
                  <w:r>
                    <w:rPr>
                      <w:rFonts w:hint="eastAsia"/>
                      <w:color w:val="000000" w:themeColor="text1"/>
                      <w14:textFill>
                        <w14:solidFill>
                          <w14:schemeClr w14:val="tx1"/>
                        </w14:solidFill>
                      </w14:textFill>
                    </w:rPr>
                    <w:t>）</w:t>
                  </w:r>
                </w:p>
              </w:tc>
              <w:tc>
                <w:tcPr>
                  <w:tcW w:w="814" w:type="pct"/>
                  <w:vAlign w:val="center"/>
                </w:tcPr>
                <w:p w14:paraId="67E2EC5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w:t>
                  </w:r>
                </w:p>
              </w:tc>
              <w:tc>
                <w:tcPr>
                  <w:tcW w:w="984" w:type="pct"/>
                  <w:vAlign w:val="center"/>
                </w:tcPr>
                <w:p w14:paraId="079272F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10564</w:t>
                  </w:r>
                </w:p>
              </w:tc>
              <w:tc>
                <w:tcPr>
                  <w:tcW w:w="678" w:type="pct"/>
                  <w:vMerge w:val="restart"/>
                  <w:vAlign w:val="center"/>
                </w:tcPr>
                <w:p w14:paraId="18515D0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其他草地</w:t>
                  </w:r>
                </w:p>
              </w:tc>
              <w:tc>
                <w:tcPr>
                  <w:tcW w:w="1858" w:type="pct"/>
                  <w:vAlign w:val="center"/>
                </w:tcPr>
                <w:p w14:paraId="046998B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根据勘界单位提供</w:t>
                  </w:r>
                </w:p>
              </w:tc>
            </w:tr>
            <w:tr w14:paraId="16CF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65" w:type="pct"/>
                  <w:vMerge w:val="continue"/>
                  <w:vAlign w:val="center"/>
                </w:tcPr>
                <w:p w14:paraId="54454B71">
                  <w:pPr>
                    <w:pStyle w:val="26"/>
                    <w:framePr w:hSpace="0" w:wrap="auto" w:vAnchor="margin" w:hAnchor="text" w:xAlign="left" w:yAlign="inline"/>
                    <w:rPr>
                      <w:color w:val="000000" w:themeColor="text1"/>
                      <w14:textFill>
                        <w14:solidFill>
                          <w14:schemeClr w14:val="tx1"/>
                        </w14:solidFill>
                      </w14:textFill>
                    </w:rPr>
                  </w:pPr>
                </w:p>
              </w:tc>
              <w:tc>
                <w:tcPr>
                  <w:tcW w:w="814" w:type="pct"/>
                  <w:vAlign w:val="center"/>
                </w:tcPr>
                <w:p w14:paraId="016C16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道路</w:t>
                  </w:r>
                </w:p>
              </w:tc>
              <w:tc>
                <w:tcPr>
                  <w:tcW w:w="984" w:type="pct"/>
                  <w:vAlign w:val="center"/>
                </w:tcPr>
                <w:p w14:paraId="2AA52E6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1708</w:t>
                  </w:r>
                </w:p>
              </w:tc>
              <w:tc>
                <w:tcPr>
                  <w:tcW w:w="678" w:type="pct"/>
                  <w:vMerge w:val="continue"/>
                  <w:vAlign w:val="center"/>
                </w:tcPr>
                <w:p w14:paraId="1DF251AF">
                  <w:pPr>
                    <w:pStyle w:val="26"/>
                    <w:framePr w:hSpace="0" w:wrap="auto" w:vAnchor="margin" w:hAnchor="text" w:xAlign="left" w:yAlign="inline"/>
                    <w:rPr>
                      <w:color w:val="000000" w:themeColor="text1"/>
                      <w14:textFill>
                        <w14:solidFill>
                          <w14:schemeClr w14:val="tx1"/>
                        </w14:solidFill>
                      </w14:textFill>
                    </w:rPr>
                  </w:pPr>
                </w:p>
              </w:tc>
              <w:tc>
                <w:tcPr>
                  <w:tcW w:w="1858" w:type="pct"/>
                  <w:vAlign w:val="center"/>
                </w:tcPr>
                <w:p w14:paraId="743455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井场道路长度</w:t>
                  </w:r>
                  <w:r>
                    <w:rPr>
                      <w:rFonts w:hint="eastAsia"/>
                      <w:color w:val="000000" w:themeColor="text1"/>
                      <w14:textFill>
                        <w14:solidFill>
                          <w14:schemeClr w14:val="tx1"/>
                        </w14:solidFill>
                      </w14:textFill>
                    </w:rPr>
                    <w:t>244</w:t>
                  </w:r>
                  <w:r>
                    <w:rPr>
                      <w:color w:val="000000" w:themeColor="text1"/>
                      <w14:textFill>
                        <w14:solidFill>
                          <w14:schemeClr w14:val="tx1"/>
                        </w14:solidFill>
                      </w14:textFill>
                    </w:rPr>
                    <w:t>m，宽度</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m</w:t>
                  </w:r>
                </w:p>
              </w:tc>
            </w:tr>
            <w:tr w14:paraId="0C38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65" w:type="pct"/>
                  <w:vMerge w:val="continue"/>
                  <w:vAlign w:val="center"/>
                </w:tcPr>
                <w:p w14:paraId="41D9E543">
                  <w:pPr>
                    <w:pStyle w:val="26"/>
                    <w:framePr w:hSpace="0" w:wrap="auto" w:vAnchor="margin" w:hAnchor="text" w:xAlign="left" w:yAlign="inline"/>
                    <w:rPr>
                      <w:color w:val="000000" w:themeColor="text1"/>
                      <w14:textFill>
                        <w14:solidFill>
                          <w14:schemeClr w14:val="tx1"/>
                        </w14:solidFill>
                      </w14:textFill>
                    </w:rPr>
                  </w:pPr>
                </w:p>
              </w:tc>
              <w:tc>
                <w:tcPr>
                  <w:tcW w:w="814" w:type="pct"/>
                  <w:vAlign w:val="center"/>
                </w:tcPr>
                <w:p w14:paraId="5F3D126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生活营地</w:t>
                  </w:r>
                </w:p>
              </w:tc>
              <w:tc>
                <w:tcPr>
                  <w:tcW w:w="984" w:type="pct"/>
                  <w:vAlign w:val="center"/>
                </w:tcPr>
                <w:p w14:paraId="44F7FC2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lang w:bidi="ar"/>
                      <w14:textFill>
                        <w14:solidFill>
                          <w14:schemeClr w14:val="tx1"/>
                        </w14:solidFill>
                      </w14:textFill>
                    </w:rPr>
                    <w:t>150</w:t>
                  </w:r>
                  <w:r>
                    <w:rPr>
                      <w:color w:val="000000" w:themeColor="text1"/>
                      <w:lang w:bidi="ar"/>
                      <w14:textFill>
                        <w14:solidFill>
                          <w14:schemeClr w14:val="tx1"/>
                        </w14:solidFill>
                      </w14:textFill>
                    </w:rPr>
                    <w:t>00</w:t>
                  </w:r>
                </w:p>
              </w:tc>
              <w:tc>
                <w:tcPr>
                  <w:tcW w:w="678" w:type="pct"/>
                  <w:vMerge w:val="continue"/>
                  <w:vAlign w:val="center"/>
                </w:tcPr>
                <w:p w14:paraId="7891D609">
                  <w:pPr>
                    <w:pStyle w:val="26"/>
                    <w:framePr w:hSpace="0" w:wrap="auto" w:vAnchor="margin" w:hAnchor="text" w:xAlign="left" w:yAlign="inline"/>
                    <w:rPr>
                      <w:color w:val="000000" w:themeColor="text1"/>
                      <w14:textFill>
                        <w14:solidFill>
                          <w14:schemeClr w14:val="tx1"/>
                        </w14:solidFill>
                      </w14:textFill>
                    </w:rPr>
                  </w:pPr>
                </w:p>
              </w:tc>
              <w:tc>
                <w:tcPr>
                  <w:tcW w:w="1858" w:type="pct"/>
                  <w:vAlign w:val="center"/>
                </w:tcPr>
                <w:p w14:paraId="0DCCFE0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15</w:t>
                  </w:r>
                  <w:r>
                    <w:rPr>
                      <w:color w:val="000000" w:themeColor="text1"/>
                      <w14:textFill>
                        <w14:solidFill>
                          <w14:schemeClr w14:val="tx1"/>
                        </w14:solidFill>
                      </w14:textFill>
                    </w:rPr>
                    <w:t>0m×</w:t>
                  </w:r>
                  <w:r>
                    <w:rPr>
                      <w:rFonts w:hint="eastAsia"/>
                      <w:color w:val="000000" w:themeColor="text1"/>
                      <w14:textFill>
                        <w14:solidFill>
                          <w14:schemeClr w14:val="tx1"/>
                        </w14:solidFill>
                      </w14:textFill>
                    </w:rPr>
                    <w:t>10</w:t>
                  </w:r>
                  <w:r>
                    <w:rPr>
                      <w:color w:val="000000" w:themeColor="text1"/>
                      <w14:textFill>
                        <w14:solidFill>
                          <w14:schemeClr w14:val="tx1"/>
                        </w14:solidFill>
                      </w14:textFill>
                    </w:rPr>
                    <w:t>0m</w:t>
                  </w:r>
                  <w:r>
                    <w:rPr>
                      <w:rFonts w:hint="eastAsia"/>
                      <w:color w:val="000000" w:themeColor="text1"/>
                      <w14:textFill>
                        <w14:solidFill>
                          <w14:schemeClr w14:val="tx1"/>
                        </w14:solidFill>
                      </w14:textFill>
                    </w:rPr>
                    <w:t>，包含H2平台井14口井，本次实施其中的4口井，生活营地设在一起，本次一起办理征地手续</w:t>
                  </w:r>
                </w:p>
              </w:tc>
            </w:tr>
            <w:tr w14:paraId="15D9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65" w:type="pct"/>
                  <w:vMerge w:val="continue"/>
                  <w:vAlign w:val="center"/>
                </w:tcPr>
                <w:p w14:paraId="00F58CED">
                  <w:pPr>
                    <w:pStyle w:val="26"/>
                    <w:framePr w:hSpace="0" w:wrap="auto" w:vAnchor="margin" w:hAnchor="text" w:xAlign="left" w:yAlign="inline"/>
                    <w:rPr>
                      <w:color w:val="000000" w:themeColor="text1"/>
                      <w14:textFill>
                        <w14:solidFill>
                          <w14:schemeClr w14:val="tx1"/>
                        </w14:solidFill>
                      </w14:textFill>
                    </w:rPr>
                  </w:pPr>
                </w:p>
              </w:tc>
              <w:tc>
                <w:tcPr>
                  <w:tcW w:w="814" w:type="pct"/>
                  <w:vAlign w:val="center"/>
                </w:tcPr>
                <w:p w14:paraId="672C1DE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堆土区</w:t>
                  </w:r>
                </w:p>
              </w:tc>
              <w:tc>
                <w:tcPr>
                  <w:tcW w:w="984" w:type="pct"/>
                  <w:vAlign w:val="center"/>
                </w:tcPr>
                <w:p w14:paraId="22846E3B">
                  <w:pPr>
                    <w:pStyle w:val="26"/>
                    <w:framePr w:hSpace="0" w:wrap="auto" w:vAnchor="margin" w:hAnchor="text" w:xAlign="left" w:yAlign="inline"/>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1500</w:t>
                  </w:r>
                </w:p>
              </w:tc>
              <w:tc>
                <w:tcPr>
                  <w:tcW w:w="678" w:type="pct"/>
                  <w:vMerge w:val="continue"/>
                  <w:vAlign w:val="center"/>
                </w:tcPr>
                <w:p w14:paraId="4D8592AB">
                  <w:pPr>
                    <w:pStyle w:val="26"/>
                    <w:framePr w:hSpace="0" w:wrap="auto" w:vAnchor="margin" w:hAnchor="text" w:xAlign="left" w:yAlign="inline"/>
                    <w:rPr>
                      <w:color w:val="000000" w:themeColor="text1"/>
                      <w14:textFill>
                        <w14:solidFill>
                          <w14:schemeClr w14:val="tx1"/>
                        </w14:solidFill>
                      </w14:textFill>
                    </w:rPr>
                  </w:pPr>
                </w:p>
              </w:tc>
              <w:tc>
                <w:tcPr>
                  <w:tcW w:w="1858" w:type="pct"/>
                  <w:vAlign w:val="center"/>
                </w:tcPr>
                <w:p w14:paraId="18587DA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100</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15</w:t>
                  </w:r>
                  <w:r>
                    <w:rPr>
                      <w:color w:val="000000" w:themeColor="text1"/>
                      <w14:textFill>
                        <w14:solidFill>
                          <w14:schemeClr w14:val="tx1"/>
                        </w14:solidFill>
                      </w14:textFill>
                    </w:rPr>
                    <w:t>m</w:t>
                  </w:r>
                </w:p>
              </w:tc>
            </w:tr>
            <w:tr w14:paraId="69CC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65" w:type="pct"/>
                  <w:vMerge w:val="continue"/>
                  <w:vAlign w:val="center"/>
                </w:tcPr>
                <w:p w14:paraId="60300834">
                  <w:pPr>
                    <w:pStyle w:val="26"/>
                    <w:framePr w:hSpace="0" w:wrap="auto" w:vAnchor="margin" w:hAnchor="text" w:xAlign="left" w:yAlign="inline"/>
                    <w:rPr>
                      <w:color w:val="000000" w:themeColor="text1"/>
                      <w14:textFill>
                        <w14:solidFill>
                          <w14:schemeClr w14:val="tx1"/>
                        </w14:solidFill>
                      </w14:textFill>
                    </w:rPr>
                  </w:pPr>
                </w:p>
              </w:tc>
              <w:tc>
                <w:tcPr>
                  <w:tcW w:w="814" w:type="pct"/>
                  <w:vAlign w:val="center"/>
                </w:tcPr>
                <w:p w14:paraId="2DB7AE60">
                  <w:pPr>
                    <w:pStyle w:val="26"/>
                    <w:framePr w:hSpace="0" w:wrap="auto" w:vAnchor="margin" w:hAnchor="text" w:xAlign="left" w:yAlign="inline"/>
                    <w:rPr>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放喷池及放喷管线</w:t>
                  </w:r>
                </w:p>
              </w:tc>
              <w:tc>
                <w:tcPr>
                  <w:tcW w:w="984" w:type="pct"/>
                  <w:vAlign w:val="center"/>
                </w:tcPr>
                <w:p w14:paraId="7AA95989">
                  <w:pPr>
                    <w:pStyle w:val="26"/>
                    <w:framePr w:hSpace="0" w:wrap="auto" w:vAnchor="margin" w:hAnchor="text" w:xAlign="left" w:yAlign="inline"/>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300</w:t>
                  </w:r>
                </w:p>
              </w:tc>
              <w:tc>
                <w:tcPr>
                  <w:tcW w:w="678" w:type="pct"/>
                  <w:vMerge w:val="continue"/>
                  <w:vAlign w:val="center"/>
                </w:tcPr>
                <w:p w14:paraId="4DDCD39B">
                  <w:pPr>
                    <w:pStyle w:val="26"/>
                    <w:framePr w:hSpace="0" w:wrap="auto" w:vAnchor="margin" w:hAnchor="text" w:xAlign="left" w:yAlign="inline"/>
                    <w:rPr>
                      <w:color w:val="000000" w:themeColor="text1"/>
                      <w14:textFill>
                        <w14:solidFill>
                          <w14:schemeClr w14:val="tx1"/>
                        </w14:solidFill>
                      </w14:textFill>
                    </w:rPr>
                  </w:pPr>
                </w:p>
              </w:tc>
              <w:tc>
                <w:tcPr>
                  <w:tcW w:w="1858" w:type="pct"/>
                  <w:vAlign w:val="center"/>
                </w:tcPr>
                <w:p w14:paraId="2BAEBE7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根据勘界单位提供</w:t>
                  </w:r>
                </w:p>
              </w:tc>
            </w:tr>
            <w:tr w14:paraId="1241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479" w:type="pct"/>
                  <w:gridSpan w:val="2"/>
                  <w:vAlign w:val="center"/>
                </w:tcPr>
                <w:p w14:paraId="75A4BE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984" w:type="pct"/>
                  <w:vAlign w:val="center"/>
                </w:tcPr>
                <w:p w14:paraId="4C3C5C4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29072</w:t>
                  </w:r>
                </w:p>
              </w:tc>
              <w:tc>
                <w:tcPr>
                  <w:tcW w:w="678" w:type="pct"/>
                  <w:vMerge w:val="continue"/>
                  <w:vAlign w:val="center"/>
                </w:tcPr>
                <w:p w14:paraId="42AC66F5">
                  <w:pPr>
                    <w:pStyle w:val="26"/>
                    <w:framePr w:hSpace="0" w:wrap="auto" w:vAnchor="margin" w:hAnchor="text" w:xAlign="left" w:yAlign="inline"/>
                    <w:rPr>
                      <w:color w:val="000000" w:themeColor="text1"/>
                      <w14:textFill>
                        <w14:solidFill>
                          <w14:schemeClr w14:val="tx1"/>
                        </w14:solidFill>
                      </w14:textFill>
                    </w:rPr>
                  </w:pPr>
                </w:p>
              </w:tc>
              <w:tc>
                <w:tcPr>
                  <w:tcW w:w="1858" w:type="pct"/>
                  <w:vAlign w:val="center"/>
                </w:tcPr>
                <w:p w14:paraId="6AF69F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bl>
          <w:p w14:paraId="131B8AA4">
            <w:pPr>
              <w:pStyle w:val="3"/>
              <w:ind w:firstLine="0" w:firstLineChars="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8.2 土石方平衡</w:t>
            </w:r>
          </w:p>
          <w:p w14:paraId="64534F69">
            <w:pP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各</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井场</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和</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探临道路平整过程中需要对占地范围内表土进行剥离，剥离后用砂石料对井场和探临道路进行铺垫，剥离表土单独堆放，用于完井后临时占地的恢复，无弃方产生。土石方平衡分析具体如下：</w:t>
            </w:r>
          </w:p>
          <w:p w14:paraId="497F053D">
            <w:pPr>
              <w:keepNext w:val="0"/>
              <w:keepLines w:val="0"/>
              <w:pageBreakBefore w:val="0"/>
              <w:widowControl w:val="0"/>
              <w:numPr>
                <w:ilvl w:val="0"/>
                <w:numId w:val="0"/>
              </w:numPr>
              <w:wordWrap/>
              <w:topLinePunct w:val="0"/>
              <w:autoSpaceDE w:val="0"/>
              <w:autoSpaceDN w:val="0"/>
              <w:bidi w:val="0"/>
              <w:adjustRightInd w:val="0"/>
              <w:snapToGrid w:val="0"/>
              <w:spacing w:line="360" w:lineRule="auto"/>
              <w:ind w:left="0" w:right="0" w:firstLine="472" w:firstLineChars="200"/>
              <w:jc w:val="both"/>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钻前工程挖方作业为井场</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及探临道路</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平整、铺垫过程中表层土的剥离，表层土剥离厚度约0.2m，本项目</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口</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井</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临时占地总面积为</w:t>
            </w:r>
            <w:r>
              <w:rPr>
                <w:rFonts w:hint="eastAsia" w:ascii="Times New Roman" w:hAnsi="Times New Roman" w:eastAsia="宋体" w:cs="Times New Roman"/>
                <w:color w:val="000000" w:themeColor="text1"/>
                <w:kern w:val="0"/>
                <w:sz w:val="24"/>
                <w:lang w:val="en-US" w:eastAsia="zh-CN"/>
                <w14:textFill>
                  <w14:solidFill>
                    <w14:schemeClr w14:val="tx1"/>
                  </w14:solidFill>
                </w14:textFill>
              </w:rPr>
              <w:t>29072</w:t>
            </w:r>
            <w:r>
              <w:rPr>
                <w:rFonts w:hint="eastAsia" w:ascii="Times New Roman" w:hAnsi="Times New Roman" w:eastAsia="宋体" w:cs="Times New Roman"/>
                <w:color w:val="000000" w:themeColor="text1"/>
                <w:kern w:val="0"/>
                <w:sz w:val="24"/>
                <w14:textFill>
                  <w14:solidFill>
                    <w14:schemeClr w14:val="tx1"/>
                  </w14:solidFill>
                </w14:textFill>
              </w:rPr>
              <w:t>m</w:t>
            </w:r>
            <w:r>
              <w:rPr>
                <w:rFonts w:hint="eastAsia" w:ascii="Times New Roman" w:hAnsi="Times New Roman" w:eastAsia="宋体" w:cs="Times New Roman"/>
                <w:color w:val="000000" w:themeColor="text1"/>
                <w:kern w:val="0"/>
                <w:sz w:val="24"/>
                <w:vertAlign w:val="superscript"/>
                <w14:textFill>
                  <w14:solidFill>
                    <w14:schemeClr w14:val="tx1"/>
                  </w14:solidFill>
                </w14:textFill>
              </w:rPr>
              <w:t>2</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，计算</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可得</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本项目总</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挖</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方量约为</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5814.4</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color w:val="000000" w:themeColor="text1"/>
                <w:spacing w:val="-2"/>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w:t>
            </w:r>
          </w:p>
          <w:p w14:paraId="6DC56241">
            <w:pPr>
              <w:keepNext w:val="0"/>
              <w:keepLines w:val="0"/>
              <w:pageBreakBefore w:val="0"/>
              <w:widowControl w:val="0"/>
              <w:numPr>
                <w:ilvl w:val="0"/>
                <w:numId w:val="0"/>
              </w:numPr>
              <w:wordWrap/>
              <w:topLinePunct w:val="0"/>
              <w:autoSpaceDE w:val="0"/>
              <w:autoSpaceDN w:val="0"/>
              <w:bidi w:val="0"/>
              <w:adjustRightInd w:val="0"/>
              <w:snapToGrid w:val="0"/>
              <w:spacing w:line="360" w:lineRule="auto"/>
              <w:ind w:left="0" w:right="0" w:firstLine="480" w:firstLineChars="200"/>
              <w:jc w:val="both"/>
              <w:rPr>
                <w:rFonts w:hint="default" w:ascii="Times New Roman" w:hAnsi="Times New Roman" w:eastAsia="宋体" w:cs="Times New Roman"/>
                <w:b w:val="0"/>
                <w:bCs w:val="0"/>
                <w:color w:val="000000" w:themeColor="text1"/>
                <w:spacing w:val="-2"/>
                <w:kern w:val="2"/>
                <w:sz w:val="24"/>
                <w:szCs w:val="24"/>
                <w:highlight w:val="none"/>
                <w:lang w:val="en-US" w:eastAsia="zh-CN" w:bidi="ar-SA"/>
                <w14:textFill>
                  <w14:solidFill>
                    <w14:schemeClr w14:val="tx1"/>
                  </w14:solidFill>
                </w14:textFill>
              </w:rPr>
            </w:pPr>
            <w:r>
              <w:rPr>
                <w:rFonts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其中，挖方主要发生在井场平整、生活营地整平、临时道路修筑过程中表层土剥离及局部场地整形等工程部位；填方主要用于井场铺垫、生活营地整平、临时道路路基铺垫及施工结束后的场地恢复等工程部位。项目土石方在施工范围内综合平衡，剥离的清洁表土全部用于后期场地恢复和表土回覆，</w:t>
            </w:r>
            <w:r>
              <w:rPr>
                <w:rStyle w:val="19"/>
                <w:rFonts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无弃方外排，原则上不涉及借方</w:t>
            </w:r>
            <w:r>
              <w:rPr>
                <w:rFonts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。如施工过程中局部道路铺垫需补充少量砂砾料，由建设单位从合法料场购买，不单独设置取土场。</w:t>
            </w:r>
          </w:p>
          <w:p w14:paraId="3FEFDDB3">
            <w:pPr>
              <w:widowControl w:val="0"/>
              <w:kinsoku/>
              <w:spacing w:line="360" w:lineRule="auto"/>
              <w:ind w:firstLine="472" w:firstLineChars="200"/>
              <w:jc w:val="both"/>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项目土石方平衡见表</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2-12</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w:t>
            </w:r>
          </w:p>
          <w:p w14:paraId="2C3F7F2A">
            <w:pPr>
              <w:widowControl w:val="0"/>
              <w:kinsoku/>
              <w:jc w:val="cente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2"/>
                <w:kern w:val="2"/>
                <w:sz w:val="21"/>
                <w:szCs w:val="21"/>
                <w:highlight w:val="none"/>
                <w:lang w:val="en-US" w:eastAsia="zh-CN" w:bidi="ar-SA"/>
                <w14:textFill>
                  <w14:solidFill>
                    <w14:schemeClr w14:val="tx1"/>
                  </w14:solidFill>
                </w14:textFill>
              </w:rPr>
              <w:t>表2-1</w:t>
            </w:r>
            <w:r>
              <w:rPr>
                <w:rFonts w:hint="eastAsia" w:ascii="Times New Roman" w:hAnsi="Times New Roman" w:eastAsia="宋体" w:cs="Times New Roman"/>
                <w:b/>
                <w:bCs/>
                <w:color w:val="000000" w:themeColor="text1"/>
                <w:spacing w:val="-2"/>
                <w:kern w:val="2"/>
                <w:sz w:val="21"/>
                <w:szCs w:val="21"/>
                <w:highlight w:val="none"/>
                <w:lang w:val="en-US" w:eastAsia="zh-CN" w:bidi="ar-SA"/>
                <w14:textFill>
                  <w14:solidFill>
                    <w14:schemeClr w14:val="tx1"/>
                  </w14:solidFill>
                </w14:textFill>
              </w:rPr>
              <w:t xml:space="preserve">2 </w:t>
            </w:r>
            <w:r>
              <w:rPr>
                <w:rFonts w:hint="default" w:ascii="Times New Roman" w:hAnsi="Times New Roman" w:eastAsia="宋体" w:cs="Times New Roman"/>
                <w:b/>
                <w:bCs/>
                <w:color w:val="000000" w:themeColor="text1"/>
                <w:spacing w:val="-2"/>
                <w:kern w:val="2"/>
                <w:sz w:val="21"/>
                <w:szCs w:val="21"/>
                <w:highlight w:val="none"/>
                <w:lang w:val="en-US" w:eastAsia="zh-CN" w:bidi="ar-SA"/>
                <w14:textFill>
                  <w14:solidFill>
                    <w14:schemeClr w14:val="tx1"/>
                  </w14:solidFill>
                </w14:textFill>
              </w:rPr>
              <w:t>土石方平衡一览表</w:t>
            </w:r>
            <w:r>
              <w:rPr>
                <w:rFonts w:hint="eastAsia" w:ascii="Times New Roman" w:hAnsi="Times New Roman" w:eastAsia="宋体" w:cs="Times New Roman"/>
                <w:b/>
                <w:bCs/>
                <w:color w:val="000000" w:themeColor="text1"/>
                <w:spacing w:val="-2"/>
                <w:kern w:val="2"/>
                <w:sz w:val="21"/>
                <w:szCs w:val="21"/>
                <w:highlight w:val="none"/>
                <w:lang w:val="en-US" w:eastAsia="zh-CN" w:bidi="ar-SA"/>
                <w14:textFill>
                  <w14:solidFill>
                    <w14:schemeClr w14:val="tx1"/>
                  </w14:solidFill>
                </w14:textFill>
              </w:rPr>
              <w:t xml:space="preserve"> 单位：</w:t>
            </w:r>
            <w:r>
              <w:rPr>
                <w:rFonts w:hint="default" w:ascii="Times New Roman" w:hAnsi="Times New Roman" w:eastAsia="宋体" w:cs="Times New Roman"/>
                <w:b/>
                <w:bCs/>
                <w:color w:val="000000" w:themeColor="text1"/>
                <w:spacing w:val="5"/>
                <w:kern w:val="2"/>
                <w:sz w:val="21"/>
                <w:szCs w:val="21"/>
                <w:highlight w:val="none"/>
                <w:lang w:val="en-US" w:eastAsia="zh-CN" w:bidi="ar-SA"/>
                <w14:textFill>
                  <w14:solidFill>
                    <w14:schemeClr w14:val="tx1"/>
                  </w14:solidFill>
                </w14:textFill>
              </w:rPr>
              <w:t>m</w:t>
            </w:r>
            <w:r>
              <w:rPr>
                <w:rFonts w:hint="default" w:ascii="Times New Roman" w:hAnsi="Times New Roman" w:eastAsia="宋体" w:cs="Times New Roman"/>
                <w:b/>
                <w:bCs/>
                <w:color w:val="000000" w:themeColor="text1"/>
                <w:spacing w:val="5"/>
                <w:kern w:val="2"/>
                <w:sz w:val="21"/>
                <w:szCs w:val="21"/>
                <w:highlight w:val="none"/>
                <w:vertAlign w:val="superscript"/>
                <w:lang w:val="en-US" w:eastAsia="zh-CN" w:bidi="ar-SA"/>
                <w14:textFill>
                  <w14:solidFill>
                    <w14:schemeClr w14:val="tx1"/>
                  </w14:solidFill>
                </w14:textFill>
              </w:rPr>
              <w:t>3</w:t>
            </w:r>
          </w:p>
          <w:tbl>
            <w:tblPr>
              <w:tblStyle w:val="38"/>
              <w:tblW w:w="81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1215"/>
              <w:gridCol w:w="1455"/>
              <w:gridCol w:w="1744"/>
              <w:gridCol w:w="1274"/>
              <w:gridCol w:w="1416"/>
            </w:tblGrid>
            <w:tr w14:paraId="5F885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93" w:hRule="atLeast"/>
                <w:jc w:val="center"/>
              </w:trPr>
              <w:tc>
                <w:tcPr>
                  <w:tcW w:w="1014" w:type="dxa"/>
                  <w:vMerge w:val="restart"/>
                  <w:noWrap w:val="0"/>
                  <w:vAlign w:val="center"/>
                </w:tcPr>
                <w:p w14:paraId="1050016F">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pacing w:val="5"/>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5"/>
                      <w:kern w:val="2"/>
                      <w:sz w:val="21"/>
                      <w:szCs w:val="21"/>
                      <w:highlight w:val="none"/>
                      <w:lang w:val="en-US" w:eastAsia="zh-CN" w:bidi="ar-SA"/>
                      <w14:textFill>
                        <w14:solidFill>
                          <w14:schemeClr w14:val="tx1"/>
                        </w14:solidFill>
                      </w14:textFill>
                    </w:rPr>
                    <w:t>类别</w:t>
                  </w:r>
                </w:p>
              </w:tc>
              <w:tc>
                <w:tcPr>
                  <w:tcW w:w="1215" w:type="dxa"/>
                  <w:vMerge w:val="restart"/>
                  <w:tcBorders>
                    <w:bottom w:val="nil"/>
                  </w:tcBorders>
                  <w:noWrap w:val="0"/>
                  <w:vAlign w:val="center"/>
                </w:tcPr>
                <w:p w14:paraId="7B25A56B">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pacing w:val="8"/>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8"/>
                      <w:kern w:val="2"/>
                      <w:sz w:val="21"/>
                      <w:szCs w:val="21"/>
                      <w:highlight w:val="none"/>
                      <w:lang w:val="en-US" w:eastAsia="zh-CN" w:bidi="ar-SA"/>
                      <w14:textFill>
                        <w14:solidFill>
                          <w14:schemeClr w14:val="tx1"/>
                        </w14:solidFill>
                      </w14:textFill>
                    </w:rPr>
                    <w:t>挖方</w:t>
                  </w:r>
                </w:p>
              </w:tc>
              <w:tc>
                <w:tcPr>
                  <w:tcW w:w="1455" w:type="dxa"/>
                  <w:vMerge w:val="restart"/>
                  <w:tcBorders>
                    <w:bottom w:val="nil"/>
                  </w:tcBorders>
                  <w:noWrap w:val="0"/>
                  <w:vAlign w:val="center"/>
                </w:tcPr>
                <w:p w14:paraId="67DDE4C4">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pacing w:val="8"/>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8"/>
                      <w:kern w:val="2"/>
                      <w:sz w:val="21"/>
                      <w:szCs w:val="21"/>
                      <w:highlight w:val="none"/>
                      <w:lang w:val="en-US" w:eastAsia="zh-CN" w:bidi="ar-SA"/>
                      <w14:textFill>
                        <w14:solidFill>
                          <w14:schemeClr w14:val="tx1"/>
                        </w14:solidFill>
                      </w14:textFill>
                    </w:rPr>
                    <w:t>填方</w:t>
                  </w:r>
                </w:p>
              </w:tc>
              <w:tc>
                <w:tcPr>
                  <w:tcW w:w="1744" w:type="dxa"/>
                  <w:vMerge w:val="restart"/>
                  <w:tcBorders>
                    <w:bottom w:val="nil"/>
                  </w:tcBorders>
                  <w:noWrap w:val="0"/>
                  <w:vAlign w:val="center"/>
                </w:tcPr>
                <w:p w14:paraId="30C6684D">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8"/>
                      <w:kern w:val="2"/>
                      <w:sz w:val="21"/>
                      <w:szCs w:val="21"/>
                      <w:highlight w:val="none"/>
                      <w:lang w:val="en-US" w:eastAsia="zh-CN" w:bidi="ar-SA"/>
                      <w14:textFill>
                        <w14:solidFill>
                          <w14:schemeClr w14:val="tx1"/>
                        </w14:solidFill>
                      </w14:textFill>
                    </w:rPr>
                    <w:t>借方</w:t>
                  </w:r>
                </w:p>
              </w:tc>
              <w:tc>
                <w:tcPr>
                  <w:tcW w:w="2690" w:type="dxa"/>
                  <w:gridSpan w:val="2"/>
                  <w:tcBorders>
                    <w:right w:val="single" w:color="000000" w:sz="4" w:space="0"/>
                  </w:tcBorders>
                  <w:noWrap w:val="0"/>
                  <w:vAlign w:val="center"/>
                </w:tcPr>
                <w:p w14:paraId="530F250A">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5"/>
                      <w:kern w:val="2"/>
                      <w:sz w:val="21"/>
                      <w:szCs w:val="21"/>
                      <w:highlight w:val="none"/>
                      <w:lang w:val="en-US" w:eastAsia="zh-CN" w:bidi="ar-SA"/>
                      <w14:textFill>
                        <w14:solidFill>
                          <w14:schemeClr w14:val="tx1"/>
                        </w14:solidFill>
                      </w14:textFill>
                    </w:rPr>
                    <w:t>弃方</w:t>
                  </w:r>
                </w:p>
              </w:tc>
            </w:tr>
            <w:tr w14:paraId="1AEF3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jc w:val="center"/>
              </w:trPr>
              <w:tc>
                <w:tcPr>
                  <w:tcW w:w="1014" w:type="dxa"/>
                  <w:vMerge w:val="continue"/>
                  <w:noWrap w:val="0"/>
                  <w:vAlign w:val="center"/>
                </w:tcPr>
                <w:p w14:paraId="36B33866">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p>
              </w:tc>
              <w:tc>
                <w:tcPr>
                  <w:tcW w:w="1215" w:type="dxa"/>
                  <w:vMerge w:val="continue"/>
                  <w:tcBorders>
                    <w:top w:val="nil"/>
                  </w:tcBorders>
                  <w:noWrap w:val="0"/>
                  <w:vAlign w:val="center"/>
                </w:tcPr>
                <w:p w14:paraId="7E681F55">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p>
              </w:tc>
              <w:tc>
                <w:tcPr>
                  <w:tcW w:w="1455" w:type="dxa"/>
                  <w:vMerge w:val="continue"/>
                  <w:tcBorders>
                    <w:top w:val="nil"/>
                  </w:tcBorders>
                  <w:noWrap w:val="0"/>
                  <w:vAlign w:val="center"/>
                </w:tcPr>
                <w:p w14:paraId="1A943595">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p>
              </w:tc>
              <w:tc>
                <w:tcPr>
                  <w:tcW w:w="1744" w:type="dxa"/>
                  <w:vMerge w:val="continue"/>
                  <w:tcBorders>
                    <w:top w:val="nil"/>
                  </w:tcBorders>
                  <w:noWrap w:val="0"/>
                  <w:vAlign w:val="center"/>
                </w:tcPr>
                <w:p w14:paraId="1FBE9798">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p>
              </w:tc>
              <w:tc>
                <w:tcPr>
                  <w:tcW w:w="1274" w:type="dxa"/>
                  <w:noWrap w:val="0"/>
                  <w:vAlign w:val="center"/>
                </w:tcPr>
                <w:p w14:paraId="3EBB66B6">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3"/>
                      <w:kern w:val="2"/>
                      <w:sz w:val="21"/>
                      <w:szCs w:val="21"/>
                      <w:highlight w:val="none"/>
                      <w:lang w:val="en-US" w:eastAsia="zh-CN" w:bidi="ar-SA"/>
                      <w14:textFill>
                        <w14:solidFill>
                          <w14:schemeClr w14:val="tx1"/>
                        </w14:solidFill>
                      </w14:textFill>
                    </w:rPr>
                    <w:t>数量</w:t>
                  </w:r>
                </w:p>
              </w:tc>
              <w:tc>
                <w:tcPr>
                  <w:tcW w:w="1416" w:type="dxa"/>
                  <w:tcBorders>
                    <w:right w:val="single" w:color="000000" w:sz="4" w:space="0"/>
                  </w:tcBorders>
                  <w:noWrap w:val="0"/>
                  <w:vAlign w:val="center"/>
                </w:tcPr>
                <w:p w14:paraId="6D8CD25F">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3"/>
                      <w:kern w:val="2"/>
                      <w:sz w:val="21"/>
                      <w:szCs w:val="21"/>
                      <w:highlight w:val="none"/>
                      <w:lang w:val="en-US" w:eastAsia="zh-CN" w:bidi="ar-SA"/>
                      <w14:textFill>
                        <w14:solidFill>
                          <w14:schemeClr w14:val="tx1"/>
                        </w14:solidFill>
                      </w14:textFill>
                    </w:rPr>
                    <w:t>去向</w:t>
                  </w:r>
                </w:p>
              </w:tc>
            </w:tr>
            <w:tr w14:paraId="748DC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jc w:val="center"/>
              </w:trPr>
              <w:tc>
                <w:tcPr>
                  <w:tcW w:w="1014" w:type="dxa"/>
                  <w:noWrap w:val="0"/>
                  <w:vAlign w:val="bottom"/>
                </w:tcPr>
                <w:p w14:paraId="6D40667A">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right="0" w:firstLine="0" w:firstLineChars="0"/>
                    <w:jc w:val="center"/>
                    <w:textAlignment w:val="bottom"/>
                    <w:rPr>
                      <w:rFonts w:hint="default" w:ascii="Times New Roman" w:hAnsi="Times New Roman" w:eastAsia="宋体" w:cs="Times New Roman"/>
                      <w:color w:val="000000" w:themeColor="text1"/>
                      <w:spacing w:val="3"/>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lang w:val="en-US" w:eastAsia="zh-CN" w:bidi="ar"/>
                      <w14:textFill>
                        <w14:solidFill>
                          <w14:schemeClr w14:val="tx1"/>
                        </w14:solidFill>
                      </w14:textFill>
                    </w:rPr>
                    <w:t>合计</w:t>
                  </w:r>
                </w:p>
              </w:tc>
              <w:tc>
                <w:tcPr>
                  <w:tcW w:w="1215" w:type="dxa"/>
                  <w:noWrap w:val="0"/>
                  <w:vAlign w:val="bottom"/>
                </w:tcPr>
                <w:p w14:paraId="56BC05EC">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right="0" w:firstLine="0" w:firstLineChars="0"/>
                    <w:jc w:val="center"/>
                    <w:textAlignment w:val="bottom"/>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5814.4</w:t>
                  </w:r>
                </w:p>
              </w:tc>
              <w:tc>
                <w:tcPr>
                  <w:tcW w:w="1455" w:type="dxa"/>
                  <w:noWrap w:val="0"/>
                  <w:vAlign w:val="bottom"/>
                </w:tcPr>
                <w:p w14:paraId="4A4DF6D0">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right="0" w:firstLine="0" w:firstLineChars="0"/>
                    <w:jc w:val="center"/>
                    <w:textAlignment w:val="bottom"/>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5814.4</w:t>
                  </w:r>
                </w:p>
              </w:tc>
              <w:tc>
                <w:tcPr>
                  <w:tcW w:w="1744" w:type="dxa"/>
                  <w:noWrap w:val="0"/>
                  <w:vAlign w:val="bottom"/>
                </w:tcPr>
                <w:p w14:paraId="4D183260">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right="0" w:firstLine="0" w:firstLineChars="0"/>
                    <w:jc w:val="center"/>
                    <w:textAlignment w:val="bottom"/>
                    <w:rPr>
                      <w:rFonts w:hint="default" w:ascii="Times New Roman" w:hAnsi="Times New Roman" w:eastAsia="宋体" w:cs="Times New Roman"/>
                      <w:color w:val="000000" w:themeColor="text1"/>
                      <w:spacing w:val="8"/>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lang w:val="en-US" w:eastAsia="zh-CN" w:bidi="ar"/>
                      <w14:textFill>
                        <w14:solidFill>
                          <w14:schemeClr w14:val="tx1"/>
                        </w14:solidFill>
                      </w14:textFill>
                    </w:rPr>
                    <w:t>0</w:t>
                  </w:r>
                </w:p>
              </w:tc>
              <w:tc>
                <w:tcPr>
                  <w:tcW w:w="1274" w:type="dxa"/>
                  <w:noWrap w:val="0"/>
                  <w:vAlign w:val="bottom"/>
                </w:tcPr>
                <w:p w14:paraId="453B3A98">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right="0" w:firstLine="0" w:firstLineChars="0"/>
                    <w:jc w:val="center"/>
                    <w:textAlignment w:val="bottom"/>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lang w:val="en-US" w:eastAsia="zh-CN" w:bidi="ar"/>
                      <w14:textFill>
                        <w14:solidFill>
                          <w14:schemeClr w14:val="tx1"/>
                        </w14:solidFill>
                      </w14:textFill>
                    </w:rPr>
                    <w:t>0</w:t>
                  </w:r>
                </w:p>
              </w:tc>
              <w:tc>
                <w:tcPr>
                  <w:tcW w:w="1416" w:type="dxa"/>
                  <w:tcBorders>
                    <w:right w:val="single" w:color="000000" w:sz="4" w:space="0"/>
                  </w:tcBorders>
                  <w:noWrap w:val="0"/>
                  <w:vAlign w:val="center"/>
                </w:tcPr>
                <w:p w14:paraId="6D2CED71">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color w:val="000000" w:themeColor="text1"/>
                      <w:spacing w:val="2"/>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eastAsia="zh-CN"/>
                      <w14:textFill>
                        <w14:solidFill>
                          <w14:schemeClr w14:val="tx1"/>
                        </w14:solidFill>
                      </w14:textFill>
                    </w:rPr>
                    <w:t>/</w:t>
                  </w:r>
                </w:p>
              </w:tc>
            </w:tr>
          </w:tbl>
          <w:p w14:paraId="6AB7FA36">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9 依托工程</w:t>
            </w:r>
          </w:p>
          <w:p w14:paraId="0C931A0B">
            <w:pPr>
              <w:pStyle w:val="4"/>
              <w:ind w:firstLine="480" w:firstLineChars="200"/>
              <w:rPr>
                <w:b w:val="0"/>
                <w:bCs/>
                <w:color w:val="000000" w:themeColor="text1"/>
                <w14:textFill>
                  <w14:solidFill>
                    <w14:schemeClr w14:val="tx1"/>
                  </w14:solidFill>
                </w14:textFill>
              </w:rPr>
            </w:pPr>
            <w:r>
              <w:rPr>
                <w:rFonts w:hint="eastAsia"/>
                <w:b w:val="0"/>
                <w:bCs/>
                <w:color w:val="000000" w:themeColor="text1"/>
                <w:lang w:val="en-US" w:eastAsia="zh-CN"/>
                <w14:textFill>
                  <w14:solidFill>
                    <w14:schemeClr w14:val="tx1"/>
                  </w14:solidFill>
                </w14:textFill>
              </w:rPr>
              <w:t>本项目生活污水和生活垃圾依托吉木萨尔县污水处理厂和吉木萨尔县生活垃圾填埋场处理，</w:t>
            </w:r>
            <w:r>
              <w:rPr>
                <w:rFonts w:hint="eastAsia"/>
                <w:b w:val="0"/>
                <w:bCs/>
                <w:color w:val="000000" w:themeColor="text1"/>
                <w14:textFill>
                  <w14:solidFill>
                    <w14:schemeClr w14:val="tx1"/>
                  </w14:solidFill>
                </w14:textFill>
              </w:rPr>
              <w:t>依托工程均为吉木萨尔县，</w:t>
            </w:r>
            <w:r>
              <w:rPr>
                <w:rFonts w:hint="eastAsia"/>
                <w:b w:val="0"/>
                <w:bCs/>
                <w:color w:val="000000" w:themeColor="text1"/>
                <w:lang w:val="en-US" w:eastAsia="zh-CN"/>
                <w14:textFill>
                  <w14:solidFill>
                    <w14:schemeClr w14:val="tx1"/>
                  </w14:solidFill>
                </w14:textFill>
              </w:rPr>
              <w:t>吐哈油田</w:t>
            </w:r>
            <w:r>
              <w:rPr>
                <w:rFonts w:hint="eastAsia"/>
                <w:b w:val="0"/>
                <w:bCs/>
                <w:color w:val="000000" w:themeColor="text1"/>
                <w14:textFill>
                  <w14:solidFill>
                    <w14:schemeClr w14:val="tx1"/>
                  </w14:solidFill>
                </w14:textFill>
              </w:rPr>
              <w:t>管理区主要生产区域、已建生产设施、管理机构等均在吉木萨尔县，本项目均可依托已有条件。</w:t>
            </w:r>
          </w:p>
          <w:p w14:paraId="2F06E64D">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 xml:space="preserve">9.1 </w:t>
            </w:r>
            <w:r>
              <w:rPr>
                <w:rFonts w:hint="eastAsia"/>
                <w:color w:val="000000" w:themeColor="text1"/>
                <w14:textFill>
                  <w14:solidFill>
                    <w14:schemeClr w14:val="tx1"/>
                  </w14:solidFill>
                </w14:textFill>
              </w:rPr>
              <w:t>吉康脱水站</w:t>
            </w:r>
          </w:p>
          <w:p w14:paraId="36BDD50A">
            <w:pPr>
              <w:pStyle w:val="32"/>
              <w:jc w:val="both"/>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（1）基本概况及环保手续</w:t>
            </w:r>
          </w:p>
          <w:p w14:paraId="2BA2BBE6">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吉康脱水站主要服务于吉康油田萨探1块二叠系井井子沟组油藏开发先导试验工程项目，根据新疆维吾尔自治区生态环境厅《关于吉康油田萨探1块二叠系井井子沟组油藏开发先导试验工程环境影响报告书的批复》（新环审〔2024〕200号）及环评文件，吉康油田萨探1块二叠系井井子沟组油藏开发先导试验工程位于昌吉州吉木萨尔县境内，中心地理坐标为：</w:t>
            </w:r>
            <w:r>
              <w:rPr>
                <w:rFonts w:hint="eastAsia" w:ascii="Times New Roman" w:hAnsi="Times New Roman"/>
                <w:color w:val="000000" w:themeColor="text1"/>
                <w:sz w:val="24"/>
                <w:szCs w:val="24"/>
                <w:lang w:val="en-US" w:eastAsia="zh-CN"/>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，主要建设内容包括扩建吉康脱水站（新建设计日处理规模2000立方米的一体化污水处理撬装装置，新建日注水能力700立方米的注水站），原油处理规模为19.3×10</w:t>
            </w:r>
            <w:r>
              <w:rPr>
                <w:rFonts w:ascii="Times New Roman" w:hAnsi="Times New Roman"/>
                <w:color w:val="000000" w:themeColor="text1"/>
                <w:sz w:val="24"/>
                <w:szCs w:val="24"/>
                <w:vertAlign w:val="superscript"/>
                <w14:textFill>
                  <w14:solidFill>
                    <w14:schemeClr w14:val="tx1"/>
                  </w14:solidFill>
                </w14:textFill>
              </w:rPr>
              <w:t>4</w:t>
            </w:r>
            <w:r>
              <w:rPr>
                <w:rFonts w:ascii="Times New Roman" w:hAnsi="Times New Roman"/>
                <w:color w:val="000000" w:themeColor="text1"/>
                <w:sz w:val="24"/>
                <w:szCs w:val="24"/>
                <w14:textFill>
                  <w14:solidFill>
                    <w14:schemeClr w14:val="tx1"/>
                  </w14:solidFill>
                </w14:textFill>
              </w:rPr>
              <w:t>t/a。一体化污水处理撬装装置位于吉康脱水站内，该撬装装置设计处理规模2000m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/d，采用“预除油+GEM三相涡流混合气浮＋石英砂、核桃壳、超滤膜三级过滤”工艺，废水处理达到《碎屑岩油藏注水水质指标技术要求及分析方法》（SY/T5329-2022）中</w:t>
            </w:r>
            <w:r>
              <w:rPr>
                <w:rFonts w:hint="eastAsia" w:ascii="Times New Roman" w:hAnsi="Times New Roman"/>
                <w:color w:val="000000" w:themeColor="text1"/>
                <w:sz w:val="24"/>
                <w:szCs w:val="24"/>
                <w:lang w:val="en-US" w:eastAsia="zh-CN"/>
                <w14:textFill>
                  <w14:solidFill>
                    <w14:schemeClr w14:val="tx1"/>
                  </w14:solidFill>
                </w14:textFill>
              </w:rPr>
              <w:t>相关</w:t>
            </w:r>
            <w:r>
              <w:rPr>
                <w:rFonts w:ascii="Times New Roman" w:hAnsi="Times New Roman"/>
                <w:color w:val="000000" w:themeColor="text1"/>
                <w:sz w:val="24"/>
                <w:szCs w:val="24"/>
                <w14:textFill>
                  <w14:solidFill>
                    <w14:schemeClr w14:val="tx1"/>
                  </w14:solidFill>
                </w14:textFill>
              </w:rPr>
              <w:t>标准后（储层空气渗透率0.5-2.0μm</w:t>
            </w:r>
            <w:r>
              <w:rPr>
                <w:rFonts w:ascii="Times New Roman" w:hAnsi="Times New Roman"/>
                <w:color w:val="000000" w:themeColor="text1"/>
                <w:sz w:val="24"/>
                <w:szCs w:val="24"/>
                <w:vertAlign w:val="superscript"/>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），回注吉康油田萨探1井区（回注层储层空气渗透率1.6-1.8μm</w:t>
            </w:r>
            <w:r>
              <w:rPr>
                <w:rFonts w:ascii="Times New Roman" w:hAnsi="Times New Roman"/>
                <w:color w:val="000000" w:themeColor="text1"/>
                <w:sz w:val="24"/>
                <w:szCs w:val="24"/>
                <w:vertAlign w:val="superscript"/>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），回注后多余污水进行注水吞吐或外运。该脱水站工程于2024年9月18日取得环评批复，截至目前进入调试运营自主验收阶段。</w:t>
            </w:r>
          </w:p>
          <w:p w14:paraId="1D0F232D">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）依托可行性</w:t>
            </w:r>
          </w:p>
          <w:p w14:paraId="68C526CC">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本项目洗井废水和压裂返排液均排至钻试场专用储罐储存由密闭罐车拉运至吉康脱水站污水处理系统处理。本项目</w:t>
            </w:r>
            <w:r>
              <w:rPr>
                <w:rFonts w:hint="eastAsia" w:ascii="Times New Roman" w:hAnsi="Times New Roman"/>
                <w:color w:val="000000" w:themeColor="text1"/>
                <w:sz w:val="24"/>
                <w:szCs w:val="24"/>
                <w14:textFill>
                  <w14:solidFill>
                    <w14:schemeClr w14:val="tx1"/>
                  </w14:solidFill>
                </w14:textFill>
              </w:rPr>
              <w:t>4</w:t>
            </w:r>
            <w:r>
              <w:rPr>
                <w:rFonts w:ascii="Times New Roman" w:hAnsi="Times New Roman"/>
                <w:color w:val="000000" w:themeColor="text1"/>
                <w:sz w:val="24"/>
                <w:szCs w:val="24"/>
                <w14:textFill>
                  <w14:solidFill>
                    <w14:schemeClr w14:val="tx1"/>
                  </w14:solidFill>
                </w14:textFill>
              </w:rPr>
              <w:t>口探井井下作业废压裂液产生量为</w:t>
            </w:r>
            <w:r>
              <w:rPr>
                <w:rFonts w:hint="eastAsia" w:ascii="Times New Roman" w:hAnsi="Times New Roman"/>
                <w:color w:val="000000" w:themeColor="text1"/>
                <w:sz w:val="24"/>
                <w:szCs w:val="24"/>
                <w14:textFill>
                  <w14:solidFill>
                    <w14:schemeClr w14:val="tx1"/>
                  </w14:solidFill>
                </w14:textFill>
              </w:rPr>
              <w:t>612.84</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，洗井废水产生量为</w:t>
            </w:r>
            <w:r>
              <w:rPr>
                <w:rFonts w:hint="eastAsia" w:ascii="Times New Roman" w:hAnsi="Times New Roman"/>
                <w:color w:val="000000" w:themeColor="text1"/>
                <w:sz w:val="24"/>
                <w:szCs w:val="24"/>
                <w14:textFill>
                  <w14:solidFill>
                    <w14:schemeClr w14:val="tx1"/>
                  </w14:solidFill>
                </w14:textFill>
              </w:rPr>
              <w:t>108.52</w:t>
            </w:r>
            <w:r>
              <w:rPr>
                <w:rFonts w:ascii="Times New Roman" w:hAnsi="Times New Roman"/>
                <w:color w:val="000000" w:themeColor="text1"/>
                <w:sz w:val="24"/>
                <w:szCs w:val="24"/>
                <w14:textFill>
                  <w14:solidFill>
                    <w14:schemeClr w14:val="tx1"/>
                  </w14:solidFill>
                </w14:textFill>
              </w:rPr>
              <w:t>t，吉康脱水站一体化污水处理撬装装置处理能力2000m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/d，随着准东区块的滚动开发，该区域会有新增探井或</w:t>
            </w:r>
            <w:r>
              <w:rPr>
                <w:rFonts w:hint="eastAsia" w:ascii="Times New Roman" w:hAnsi="Times New Roman"/>
                <w:color w:val="000000" w:themeColor="text1"/>
                <w:sz w:val="24"/>
                <w:szCs w:val="24"/>
                <w14:textFill>
                  <w14:solidFill>
                    <w14:schemeClr w14:val="tx1"/>
                  </w14:solidFill>
                </w14:textFill>
              </w:rPr>
              <w:t>预探井</w:t>
            </w:r>
            <w:r>
              <w:rPr>
                <w:rFonts w:ascii="Times New Roman" w:hAnsi="Times New Roman"/>
                <w:color w:val="000000" w:themeColor="text1"/>
                <w:sz w:val="24"/>
                <w:szCs w:val="24"/>
                <w14:textFill>
                  <w14:solidFill>
                    <w14:schemeClr w14:val="tx1"/>
                  </w14:solidFill>
                </w14:textFill>
              </w:rPr>
              <w:t>陆续实施。吉康脱水站作为区域中心站，在设计之初已充分考虑了萨探区块滚动开发的废液处理需求（2000m</w:t>
            </w:r>
            <w:r>
              <w:rPr>
                <w:rFonts w:hint="eastAsia"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的设计规模具有较大余量）。目前，该区域开发尚处于先导试验和评价阶段，尚未形成大规模全面投产的生产井网，现状汇入该站的废液量远未达到其设计满负荷。分析结论：即使考虑本项目实施后新增的废水量，以及近期区块内其他滚动开发井位的废液汇入，吉康脱水站现有的2000m</w:t>
            </w:r>
            <w:r>
              <w:rPr>
                <w:rFonts w:hint="eastAsia"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/d处理能力仍有较大富余（目前剩余处理能力大于1000m</w:t>
            </w:r>
            <w:r>
              <w:rPr>
                <w:rFonts w:hint="eastAsia"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/d），完全具备接纳本项目及周边滚动开发项目废液并处理达标回注的能力。依托该站进行处理在技术上可行，容量上充足。</w:t>
            </w:r>
          </w:p>
          <w:p w14:paraId="6E6E5BD0">
            <w:pPr>
              <w:pStyle w:val="39"/>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 xml:space="preserve">9.2 </w:t>
            </w:r>
            <w:r>
              <w:rPr>
                <w:rFonts w:hint="eastAsia"/>
                <w:bCs/>
                <w:color w:val="000000" w:themeColor="text1"/>
                <w14:textFill>
                  <w14:solidFill>
                    <w14:schemeClr w14:val="tx1"/>
                  </w14:solidFill>
                </w14:textFill>
              </w:rPr>
              <w:t>吉木萨尔县污水处理厂</w:t>
            </w:r>
          </w:p>
          <w:p w14:paraId="1AC5367F">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本项目生活污水经收集后由钻井技术服务公司拉运至吉木萨尔县污水处理厂</w:t>
            </w:r>
            <w:r>
              <w:rPr>
                <w:rFonts w:hint="eastAsia"/>
                <w:color w:val="000000" w:themeColor="text1"/>
                <w14:textFill>
                  <w14:solidFill>
                    <w14:schemeClr w14:val="tx1"/>
                  </w14:solidFill>
                </w14:textFill>
              </w:rPr>
              <w:t>处理</w:t>
            </w:r>
            <w:r>
              <w:rPr>
                <w:color w:val="000000" w:themeColor="text1"/>
                <w14:textFill>
                  <w14:solidFill>
                    <w14:schemeClr w14:val="tx1"/>
                  </w14:solidFill>
                </w14:textFill>
              </w:rPr>
              <w:t>。吉木萨尔县污水处理厂工程位于吉木萨尔县城东北15km处（张家庄子村北500m）。设计规模为处理污水量3万m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/d处理设施，实际建设规模为处理污水量1万m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污水处理工艺采用“强化脱氮改良A2/O+絮凝沉淀滤布滤池工艺”，污泥处理工艺采用带式压榨脱水一体机浓缩脱水，消毒工艺采用紫外线消毒。工程于2015年6月动工开建，2017年10月初建成，2017年10月16日进入试运行。项目处理能力1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/d，目前实际处理量在0.6~0.7万m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尾水输入北部荒漠地带做生态林用水。吉木萨尔县污水处理厂由新疆绿格洁瑞环境检测技术有限公司进行验收，验收监测期间，尾水排放浓度符合《城镇污水处理厂污染物排放标准》（GB18918-2002）中的一级A标准的要求。本项目施工期生活污水量</w:t>
            </w:r>
            <w:r>
              <w:rPr>
                <w:rFonts w:hint="eastAsia"/>
                <w:color w:val="000000" w:themeColor="text1"/>
                <w:lang w:eastAsia="zh-CN"/>
                <w14:textFill>
                  <w14:solidFill>
                    <w14:schemeClr w14:val="tx1"/>
                  </w14:solidFill>
                </w14:textFill>
              </w:rPr>
              <w:t>501.76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/a，吉木萨尔县污水处理厂剩余处理能力0.3~0.4万m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/d，可以满足本工程施工期生活污水处理需求。</w:t>
            </w:r>
          </w:p>
          <w:p w14:paraId="1AC86A66">
            <w:pPr>
              <w:pStyle w:val="39"/>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 xml:space="preserve">9.3 </w:t>
            </w:r>
            <w:r>
              <w:rPr>
                <w:rFonts w:ascii="宋体" w:hAnsi="宋体" w:cs="宋体"/>
                <w:color w:val="000000" w:themeColor="text1"/>
                <w14:textFill>
                  <w14:solidFill>
                    <w14:schemeClr w14:val="tx1"/>
                  </w14:solidFill>
                </w14:textFill>
              </w:rPr>
              <w:t>吉木萨尔县</w:t>
            </w:r>
            <w:r>
              <w:rPr>
                <w:rFonts w:hint="eastAsia" w:ascii="宋体" w:hAnsi="宋体" w:cs="宋体"/>
                <w:color w:val="000000" w:themeColor="text1"/>
                <w14:textFill>
                  <w14:solidFill>
                    <w14:schemeClr w14:val="tx1"/>
                  </w14:solidFill>
                </w14:textFill>
              </w:rPr>
              <w:t>生活</w:t>
            </w:r>
            <w:r>
              <w:rPr>
                <w:rFonts w:ascii="宋体" w:hAnsi="宋体" w:cs="宋体"/>
                <w:color w:val="000000" w:themeColor="text1"/>
                <w14:textFill>
                  <w14:solidFill>
                    <w14:schemeClr w14:val="tx1"/>
                  </w14:solidFill>
                </w14:textFill>
              </w:rPr>
              <w:t>垃圾填埋场</w:t>
            </w:r>
          </w:p>
          <w:p w14:paraId="15A690BE">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（1）基本情况及环保手续</w:t>
            </w:r>
          </w:p>
          <w:p w14:paraId="320B79A7">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bookmarkStart w:id="6" w:name="OLE_LINK8"/>
            <w:r>
              <w:rPr>
                <w:rFonts w:ascii="Times New Roman" w:cs="Times New Roman"/>
                <w:b w:val="0"/>
                <w:bCs/>
                <w:color w:val="000000" w:themeColor="text1"/>
                <w14:textFill>
                  <w14:solidFill>
                    <w14:schemeClr w14:val="tx1"/>
                  </w14:solidFill>
                </w14:textFill>
              </w:rPr>
              <w:t>吉木萨尔县生活垃圾填埋场位于吉木萨尔县新地乡，距吉木萨尔县城西南约9.5km，北距乌奇南路约2km处。整个卫生填埋场占地面积约21.94×10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2</w:t>
            </w:r>
            <w:r>
              <w:rPr>
                <w:rFonts w:ascii="Times New Roman" w:cs="Times New Roman"/>
                <w:b w:val="0"/>
                <w:bCs/>
                <w:color w:val="000000" w:themeColor="text1"/>
                <w14:textFill>
                  <w14:solidFill>
                    <w14:schemeClr w14:val="tx1"/>
                  </w14:solidFill>
                </w14:textFill>
              </w:rPr>
              <w:t>，其中近期为7.0×10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2</w:t>
            </w:r>
            <w:r>
              <w:rPr>
                <w:rFonts w:ascii="Times New Roman" w:cs="Times New Roman"/>
                <w:b w:val="0"/>
                <w:bCs/>
                <w:color w:val="000000" w:themeColor="text1"/>
                <w14:textFill>
                  <w14:solidFill>
                    <w14:schemeClr w14:val="tx1"/>
                  </w14:solidFill>
                </w14:textFill>
              </w:rPr>
              <w:t>，远期约10.5×10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2</w:t>
            </w:r>
            <w:r>
              <w:rPr>
                <w:rFonts w:ascii="Times New Roman" w:cs="Times New Roman"/>
                <w:b w:val="0"/>
                <w:bCs/>
                <w:color w:val="000000" w:themeColor="text1"/>
                <w14:textFill>
                  <w14:solidFill>
                    <w14:schemeClr w14:val="tx1"/>
                  </w14:solidFill>
                </w14:textFill>
              </w:rPr>
              <w:t>，管理站区0.64×10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2</w:t>
            </w:r>
            <w:r>
              <w:rPr>
                <w:rFonts w:ascii="Times New Roman" w:cs="Times New Roman"/>
                <w:b w:val="0"/>
                <w:bCs/>
                <w:color w:val="000000" w:themeColor="text1"/>
                <w14:textFill>
                  <w14:solidFill>
                    <w14:schemeClr w14:val="tx1"/>
                  </w14:solidFill>
                </w14:textFill>
              </w:rPr>
              <w:t>，绿化面积3.8×10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2</w:t>
            </w:r>
            <w:r>
              <w:rPr>
                <w:rFonts w:ascii="Times New Roman" w:cs="Times New Roman"/>
                <w:b w:val="0"/>
                <w:bCs/>
                <w:color w:val="000000" w:themeColor="text1"/>
                <w14:textFill>
                  <w14:solidFill>
                    <w14:schemeClr w14:val="tx1"/>
                  </w14:solidFill>
                </w14:textFill>
              </w:rPr>
              <w:t>。近期工程设计规模：生活垃圾清运处理量100t/d，总库容63×10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3</w:t>
            </w:r>
            <w:r>
              <w:rPr>
                <w:rFonts w:ascii="Times New Roman" w:cs="Times New Roman"/>
                <w:b w:val="0"/>
                <w:bCs/>
                <w:color w:val="000000" w:themeColor="text1"/>
                <w14:textFill>
                  <w14:solidFill>
                    <w14:schemeClr w14:val="tx1"/>
                  </w14:solidFill>
                </w14:textFill>
              </w:rPr>
              <w:t>，服务年限11年。远期工程设计规模：生活垃圾清运处理量130t/d，总库容94.5×10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3</w:t>
            </w:r>
            <w:r>
              <w:rPr>
                <w:rFonts w:ascii="Times New Roman" w:cs="Times New Roman"/>
                <w:b w:val="0"/>
                <w:bCs/>
                <w:color w:val="000000" w:themeColor="text1"/>
                <w14:textFill>
                  <w14:solidFill>
                    <w14:schemeClr w14:val="tx1"/>
                  </w14:solidFill>
                </w14:textFill>
              </w:rPr>
              <w:t>，服务年限12年。主要由填埋场、生产管理区、道路、垃圾收集系统等组成。填埋场主要处置城镇生活垃圾，不作为工业固体废物和危险废弃物处置场所。</w:t>
            </w:r>
          </w:p>
          <w:bookmarkEnd w:id="6"/>
          <w:p w14:paraId="7D46D115">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该垃圾填埋场已于2010年8月取得原新疆维吾尔自治区环保厅《关于吉木萨尔县生活垃圾处理工程环境影响报告书的批复》（新环函评价〔2010〕452号），2015年9月29日</w:t>
            </w:r>
            <w:r>
              <w:rPr>
                <w:rFonts w:hint="eastAsia" w:ascii="Times New Roman" w:cs="Times New Roman"/>
                <w:b w:val="0"/>
                <w:bCs/>
                <w:color w:val="000000" w:themeColor="text1"/>
                <w:lang w:val="en-US" w:eastAsia="zh-CN"/>
                <w14:textFill>
                  <w14:solidFill>
                    <w14:schemeClr w14:val="tx1"/>
                  </w14:solidFill>
                </w14:textFill>
              </w:rPr>
              <w:t>原</w:t>
            </w:r>
            <w:r>
              <w:rPr>
                <w:rFonts w:ascii="Times New Roman" w:cs="Times New Roman"/>
                <w:b w:val="0"/>
                <w:bCs/>
                <w:color w:val="000000" w:themeColor="text1"/>
                <w14:textFill>
                  <w14:solidFill>
                    <w14:schemeClr w14:val="tx1"/>
                  </w14:solidFill>
                </w14:textFill>
              </w:rPr>
              <w:t>昌吉回族自治州环境保护局以昌州环函81〔2015〕358号文对吉木萨尔县生活垃圾处理工程作出竣工环境保护意见，同意通过竣工环境保护验收。</w:t>
            </w:r>
          </w:p>
          <w:p w14:paraId="20D01588">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（2）处理工艺</w:t>
            </w:r>
          </w:p>
          <w:p w14:paraId="69D6C278">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垃圾填埋场总投资2352.81万元。主要采用卫生填埋工艺，推进式填埋法，工艺过程主要包括机械卸料、铺平、压实、覆土、喷水降尘、灭虫等。渗滤液经场底收集系统排至渗滤液收集池，经处理后回喷垃圾堆体；填埋气经导气石笼收集后导出。填埋场底部和边坡采取严格防渗的设计方案。</w:t>
            </w:r>
          </w:p>
          <w:p w14:paraId="6EEF5B0B">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（3）依托可行性</w:t>
            </w:r>
          </w:p>
          <w:p w14:paraId="6F84B2F3">
            <w:pPr>
              <w:widowControl/>
              <w:ind w:firstLine="480"/>
              <w:rPr>
                <w:color w:val="000000" w:themeColor="text1"/>
                <w14:textFill>
                  <w14:solidFill>
                    <w14:schemeClr w14:val="tx1"/>
                  </w14:solidFill>
                </w14:textFill>
              </w:rPr>
            </w:pPr>
            <w:r>
              <w:rPr>
                <w:bCs/>
                <w:color w:val="000000" w:themeColor="text1"/>
                <w14:textFill>
                  <w14:solidFill>
                    <w14:schemeClr w14:val="tx1"/>
                  </w14:solidFill>
                </w14:textFill>
              </w:rPr>
              <w:t>目前该垃圾填埋场日处理量约40t左右，本项目施工期产生生活垃圾量为</w:t>
            </w:r>
            <w:r>
              <w:rPr>
                <w:rFonts w:hint="eastAsia"/>
                <w:bCs/>
                <w:color w:val="000000" w:themeColor="text1"/>
                <w:lang w:eastAsia="zh-CN"/>
                <w14:textFill>
                  <w14:solidFill>
                    <w14:schemeClr w14:val="tx1"/>
                  </w14:solidFill>
                </w14:textFill>
              </w:rPr>
              <w:t>3.92</w:t>
            </w:r>
            <w:r>
              <w:rPr>
                <w:bCs/>
                <w:color w:val="000000" w:themeColor="text1"/>
                <w14:textFill>
                  <w14:solidFill>
                    <w14:schemeClr w14:val="tx1"/>
                  </w14:solidFill>
                </w14:textFill>
              </w:rPr>
              <w:t>t，</w:t>
            </w:r>
            <w:r>
              <w:rPr>
                <w:rFonts w:hint="eastAsia"/>
                <w:bCs/>
                <w:color w:val="000000" w:themeColor="text1"/>
                <w14:textFill>
                  <w14:solidFill>
                    <w14:schemeClr w14:val="tx1"/>
                  </w14:solidFill>
                </w14:textFill>
              </w:rPr>
              <w:t>试油期</w:t>
            </w:r>
            <w:r>
              <w:rPr>
                <w:bCs/>
                <w:color w:val="000000" w:themeColor="text1"/>
                <w14:textFill>
                  <w14:solidFill>
                    <w14:schemeClr w14:val="tx1"/>
                  </w14:solidFill>
                </w14:textFill>
              </w:rPr>
              <w:t>不新增劳动定员故不新增生活垃圾，依托可行。</w:t>
            </w:r>
          </w:p>
          <w:p w14:paraId="50D1FB27">
            <w:pPr>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 xml:space="preserve">9.4 </w:t>
            </w:r>
            <w:r>
              <w:rPr>
                <w:b/>
                <w:bCs/>
                <w:color w:val="000000" w:themeColor="text1"/>
                <w14:textFill>
                  <w14:solidFill>
                    <w14:schemeClr w14:val="tx1"/>
                  </w14:solidFill>
                </w14:textFill>
              </w:rPr>
              <w:t>新疆中建环能北庭环保科技有限公司</w:t>
            </w:r>
          </w:p>
          <w:p w14:paraId="229CF025">
            <w:pPr>
              <w:numPr>
                <w:ilvl w:val="0"/>
                <w:numId w:val="1"/>
              </w:num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基本</w:t>
            </w:r>
            <w:r>
              <w:rPr>
                <w:color w:val="000000" w:themeColor="text1"/>
                <w14:textFill>
                  <w14:solidFill>
                    <w14:schemeClr w14:val="tx1"/>
                  </w14:solidFill>
                </w14:textFill>
              </w:rPr>
              <w:t>概况</w:t>
            </w:r>
          </w:p>
          <w:p w14:paraId="79B58145">
            <w:pPr>
              <w:ind w:firstLine="480"/>
              <w:rPr>
                <w:color w:val="000000" w:themeColor="text1"/>
                <w14:textFill>
                  <w14:solidFill>
                    <w14:schemeClr w14:val="tx1"/>
                  </w14:solidFill>
                </w14:textFill>
              </w:rPr>
            </w:pPr>
            <w:r>
              <w:rPr>
                <w:rFonts w:ascii="宋体" w:hAnsi="宋体" w:cs="宋体"/>
                <w:color w:val="000000" w:themeColor="text1"/>
                <w:kern w:val="0"/>
                <w14:textFill>
                  <w14:solidFill>
                    <w14:schemeClr w14:val="tx1"/>
                  </w14:solidFill>
                </w14:textFill>
              </w:rPr>
              <w:t>新疆中建环能北庭环保科技有限公司位于吉木萨尔县北三台循环经济工业园区，中心地理坐标为：</w:t>
            </w:r>
            <w:r>
              <w:rPr>
                <w:rFonts w:hint="eastAsia"/>
                <w:color w:val="000000" w:themeColor="text1"/>
                <w:kern w:val="0"/>
                <w:lang w:val="en-US" w:eastAsia="zh-CN"/>
                <w14:textFill>
                  <w14:solidFill>
                    <w14:schemeClr w14:val="tx1"/>
                  </w14:solidFill>
                </w14:textFill>
              </w:rPr>
              <w:t>***</w:t>
            </w:r>
            <w:r>
              <w:rPr>
                <w:color w:val="000000" w:themeColor="text1"/>
                <w:kern w:val="0"/>
                <w14:textFill>
                  <w14:solidFill>
                    <w14:schemeClr w14:val="tx1"/>
                  </w14:solidFill>
                </w14:textFill>
              </w:rPr>
              <w:t>。</w:t>
            </w:r>
            <w:r>
              <w:rPr>
                <w:rFonts w:hint="eastAsia"/>
                <w:color w:val="000000" w:themeColor="text1"/>
                <w:kern w:val="0"/>
                <w14:textFill>
                  <w14:solidFill>
                    <w14:schemeClr w14:val="tx1"/>
                  </w14:solidFill>
                </w14:textFill>
              </w:rPr>
              <w:t>建设</w:t>
            </w:r>
            <w:r>
              <w:rPr>
                <w:color w:val="000000" w:themeColor="text1"/>
                <w:kern w:val="0"/>
                <w14:textFill>
                  <w14:solidFill>
                    <w14:schemeClr w14:val="tx1"/>
                  </w14:solidFill>
                </w14:textFill>
              </w:rPr>
              <w:t>3套热相分离处理装置（单套处置规模为8t/h），年处置油基岩屑、含油污泥以及油泥渣20万t，采用热相分离工艺，油基岩屑、含</w:t>
            </w:r>
            <w:r>
              <w:rPr>
                <w:color w:val="000000" w:themeColor="text1"/>
                <w14:textFill>
                  <w14:solidFill>
                    <w14:schemeClr w14:val="tx1"/>
                  </w14:solidFill>
                </w14:textFill>
              </w:rPr>
              <w:t>油</w:t>
            </w:r>
            <w:r>
              <w:rPr>
                <w:rFonts w:ascii="宋体" w:hAnsi="宋体" w:cs="宋体"/>
                <w:color w:val="000000" w:themeColor="text1"/>
                <w14:textFill>
                  <w14:solidFill>
                    <w14:schemeClr w14:val="tx1"/>
                  </w14:solidFill>
                </w14:textFill>
              </w:rPr>
              <w:t>污泥和油泥渣</w:t>
            </w:r>
            <w:r>
              <w:rPr>
                <w:color w:val="000000" w:themeColor="text1"/>
                <w14:textFill>
                  <w14:solidFill>
                    <w14:schemeClr w14:val="tx1"/>
                  </w14:solidFill>
                </w14:textFill>
              </w:rPr>
              <w:t>贮存在具顶的贮存池中，处置时，使用装于挖掘机或装载机上的移动式筛分破碎设备进行物料筛分、破碎，筛分破碎后的物料通过装载机上料，上料系统采用开放式料斗，密闭的裙边皮带进行物料输送，含油污泥和油泥渣贮存在危险废物贮存库中，处置时，使用短倒车拉运至上料区，通过移动式筛分破碎设备，进行物料筛分、破碎成较松散的状态，然后通过装载机上料，上料系统采用开放式料斗，密闭的裙边皮带进行物料输送。物料进入热相分离设备后经过隔氧间接加热（炉内温度控制在350-550℃可调）分解为固态物和气态物，固态物即还原土（或废渣），气态物即为热相分离混合气体；还原土（或废渣）经出料密封装置进入排料设备，由喷淋螺旋输送机冷却80℃以下输出。热相分离混合气体进入冷凝设备经过喷淋塔内急速冷却（三级冷凝），冷却后液相循环至沉降分离设备中的分离罐进行沉降分离，分离的水经污水处理设施处理达标后回用于冷凝设备喷淋塔补水、排料设备喷淋螺旋输送机冷却以及还原土抑尘用水，不外排；分离的油品进入回收油罐；分离罐底部的底泥经刮渣机、排泥泵送入底泥储存罐，从而实现油、水、渣的分离。经过冷凝设备喷淋塔的不凝气（不凝气出口温度约40℃）经工艺风机增压，经过气处理设备气液分离罐对不凝气进行脱水（脱水后的积液进入沉降分离设备）及净化处理返回供热系统与天然气掺烧。</w:t>
            </w:r>
          </w:p>
          <w:p w14:paraId="432D3F5C">
            <w:pPr>
              <w:ind w:left="480" w:leftChars="200"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（2）环保手续</w:t>
            </w:r>
          </w:p>
          <w:p w14:paraId="39E479AC">
            <w:pPr>
              <w:ind w:firstLine="480"/>
              <w:rPr>
                <w:color w:val="000000" w:themeColor="text1"/>
                <w14:textFill>
                  <w14:solidFill>
                    <w14:schemeClr w14:val="tx1"/>
                  </w14:solidFill>
                </w14:textFill>
              </w:rPr>
            </w:pPr>
            <w:r>
              <w:rPr>
                <w:color w:val="000000" w:themeColor="text1"/>
                <w14:textFill>
                  <w14:solidFill>
                    <w14:schemeClr w14:val="tx1"/>
                  </w14:solidFill>
                </w14:textFill>
              </w:rPr>
              <w:t>新疆中建环能北庭环保科技有限公司建设项目环保手续履行情况</w:t>
            </w:r>
            <w:r>
              <w:rPr>
                <w:rFonts w:hint="eastAsia"/>
                <w:color w:val="000000" w:themeColor="text1"/>
                <w14:textFill>
                  <w14:solidFill>
                    <w14:schemeClr w14:val="tx1"/>
                  </w14:solidFill>
                </w14:textFill>
              </w:rPr>
              <w:t>见表2-1</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w:t>
            </w:r>
          </w:p>
          <w:p w14:paraId="0D1C9FBE">
            <w:pPr>
              <w:ind w:firstLine="0" w:firstLineChars="0"/>
              <w:jc w:val="center"/>
              <w:rPr>
                <w:color w:val="000000" w:themeColor="text1"/>
                <w14:textFill>
                  <w14:solidFill>
                    <w14:schemeClr w14:val="tx1"/>
                  </w14:solidFill>
                </w14:textFill>
              </w:rPr>
            </w:pPr>
            <w:r>
              <w:rPr>
                <w:b/>
                <w:bCs/>
                <w:color w:val="000000" w:themeColor="text1"/>
                <w:sz w:val="21"/>
                <w:szCs w:val="21"/>
                <w14:textFill>
                  <w14:solidFill>
                    <w14:schemeClr w14:val="tx1"/>
                  </w14:solidFill>
                </w14:textFill>
              </w:rPr>
              <w:t>表</w:t>
            </w:r>
            <w:r>
              <w:rPr>
                <w:rFonts w:hint="eastAsia"/>
                <w:b/>
                <w:bCs/>
                <w:color w:val="000000" w:themeColor="text1"/>
                <w:sz w:val="21"/>
                <w:szCs w:val="21"/>
                <w14:textFill>
                  <w14:solidFill>
                    <w14:schemeClr w14:val="tx1"/>
                  </w14:solidFill>
                </w14:textFill>
              </w:rPr>
              <w:t>2-1</w:t>
            </w:r>
            <w:r>
              <w:rPr>
                <w:rFonts w:hint="eastAsia"/>
                <w:b/>
                <w:bCs/>
                <w:color w:val="000000" w:themeColor="text1"/>
                <w:sz w:val="21"/>
                <w:szCs w:val="21"/>
                <w:lang w:val="en-US" w:eastAsia="zh-CN"/>
                <w14:textFill>
                  <w14:solidFill>
                    <w14:schemeClr w14:val="tx1"/>
                  </w14:solidFill>
                </w14:textFill>
              </w:rPr>
              <w:t>3</w:t>
            </w:r>
            <w:r>
              <w:rPr>
                <w:rFonts w:hint="eastAsia"/>
                <w:b/>
                <w:bCs/>
                <w:color w:val="000000" w:themeColor="text1"/>
                <w:sz w:val="21"/>
                <w:szCs w:val="21"/>
                <w14:textFill>
                  <w14:solidFill>
                    <w14:schemeClr w14:val="tx1"/>
                  </w14:solidFill>
                </w14:textFill>
              </w:rPr>
              <w:t xml:space="preserve">  </w:t>
            </w:r>
            <w:r>
              <w:rPr>
                <w:b/>
                <w:bCs/>
                <w:color w:val="000000" w:themeColor="text1"/>
                <w:sz w:val="21"/>
                <w:szCs w:val="21"/>
                <w14:textFill>
                  <w14:solidFill>
                    <w14:schemeClr w14:val="tx1"/>
                  </w14:solidFill>
                </w14:textFill>
              </w:rPr>
              <w:t>新疆中建环能北庭环保科技有限公司建设项目环保手续履行情况一览表</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1070"/>
              <w:gridCol w:w="970"/>
              <w:gridCol w:w="1120"/>
              <w:gridCol w:w="2160"/>
              <w:gridCol w:w="1080"/>
            </w:tblGrid>
            <w:tr w14:paraId="3954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pct"/>
                  <w:vMerge w:val="restart"/>
                  <w:vAlign w:val="center"/>
                </w:tcPr>
                <w:p w14:paraId="1E28F0DA">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名称</w:t>
                  </w:r>
                </w:p>
              </w:tc>
              <w:tc>
                <w:tcPr>
                  <w:tcW w:w="1928" w:type="pct"/>
                  <w:gridSpan w:val="3"/>
                  <w:vAlign w:val="center"/>
                </w:tcPr>
                <w:p w14:paraId="23AC90D9">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环境影响评价</w:t>
                  </w:r>
                </w:p>
              </w:tc>
              <w:tc>
                <w:tcPr>
                  <w:tcW w:w="1318" w:type="pct"/>
                  <w:vMerge w:val="restart"/>
                  <w:vAlign w:val="center"/>
                </w:tcPr>
                <w:p w14:paraId="2E3D8A68">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竣工环境保护验收</w:t>
                  </w:r>
                </w:p>
              </w:tc>
              <w:tc>
                <w:tcPr>
                  <w:tcW w:w="659" w:type="pct"/>
                  <w:vMerge w:val="restart"/>
                  <w:vAlign w:val="center"/>
                </w:tcPr>
                <w:p w14:paraId="09F38CC1">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排污许可</w:t>
                  </w:r>
                </w:p>
              </w:tc>
            </w:tr>
            <w:tr w14:paraId="678F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pct"/>
                  <w:vMerge w:val="continue"/>
                  <w:vAlign w:val="center"/>
                </w:tcPr>
                <w:p w14:paraId="755FEE86">
                  <w:pPr>
                    <w:spacing w:line="240" w:lineRule="auto"/>
                    <w:ind w:firstLine="0" w:firstLineChars="0"/>
                    <w:jc w:val="center"/>
                    <w:rPr>
                      <w:color w:val="000000" w:themeColor="text1"/>
                      <w:sz w:val="21"/>
                      <w:szCs w:val="21"/>
                      <w14:textFill>
                        <w14:solidFill>
                          <w14:schemeClr w14:val="tx1"/>
                        </w14:solidFill>
                      </w14:textFill>
                    </w:rPr>
                  </w:pPr>
                </w:p>
              </w:tc>
              <w:tc>
                <w:tcPr>
                  <w:tcW w:w="653" w:type="pct"/>
                  <w:vAlign w:val="center"/>
                </w:tcPr>
                <w:p w14:paraId="7C4E7B85">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审批单位</w:t>
                  </w:r>
                </w:p>
              </w:tc>
              <w:tc>
                <w:tcPr>
                  <w:tcW w:w="592" w:type="pct"/>
                  <w:vAlign w:val="center"/>
                </w:tcPr>
                <w:p w14:paraId="69E58C6F">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批准文号</w:t>
                  </w:r>
                </w:p>
              </w:tc>
              <w:tc>
                <w:tcPr>
                  <w:tcW w:w="683" w:type="pct"/>
                  <w:vAlign w:val="center"/>
                </w:tcPr>
                <w:p w14:paraId="2649668D">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批准时间</w:t>
                  </w:r>
                </w:p>
              </w:tc>
              <w:tc>
                <w:tcPr>
                  <w:tcW w:w="1318" w:type="pct"/>
                  <w:vMerge w:val="continue"/>
                  <w:vAlign w:val="center"/>
                </w:tcPr>
                <w:p w14:paraId="68EFFC19">
                  <w:pPr>
                    <w:spacing w:line="240" w:lineRule="auto"/>
                    <w:ind w:firstLine="0" w:firstLineChars="0"/>
                    <w:jc w:val="center"/>
                    <w:rPr>
                      <w:color w:val="000000" w:themeColor="text1"/>
                      <w:sz w:val="21"/>
                      <w:szCs w:val="21"/>
                      <w14:textFill>
                        <w14:solidFill>
                          <w14:schemeClr w14:val="tx1"/>
                        </w14:solidFill>
                      </w14:textFill>
                    </w:rPr>
                  </w:pPr>
                </w:p>
              </w:tc>
              <w:tc>
                <w:tcPr>
                  <w:tcW w:w="659" w:type="pct"/>
                  <w:vMerge w:val="continue"/>
                  <w:vAlign w:val="center"/>
                </w:tcPr>
                <w:p w14:paraId="59A732DB">
                  <w:pPr>
                    <w:spacing w:line="240" w:lineRule="auto"/>
                    <w:ind w:firstLine="0" w:firstLineChars="0"/>
                    <w:jc w:val="center"/>
                    <w:rPr>
                      <w:color w:val="000000" w:themeColor="text1"/>
                      <w:sz w:val="21"/>
                      <w:szCs w:val="21"/>
                      <w14:textFill>
                        <w14:solidFill>
                          <w14:schemeClr w14:val="tx1"/>
                        </w14:solidFill>
                      </w14:textFill>
                    </w:rPr>
                  </w:pPr>
                </w:p>
              </w:tc>
            </w:tr>
            <w:tr w14:paraId="30BB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pct"/>
                  <w:vAlign w:val="center"/>
                </w:tcPr>
                <w:p w14:paraId="0F3F9A0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新疆中建环能北庭环保科技有限公司含油废物资源化处置项目</w:t>
                  </w:r>
                </w:p>
              </w:tc>
              <w:tc>
                <w:tcPr>
                  <w:tcW w:w="653" w:type="pct"/>
                  <w:vAlign w:val="center"/>
                </w:tcPr>
                <w:p w14:paraId="1603C1E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新疆维吾尔自治区生态环境厅</w:t>
                  </w:r>
                </w:p>
              </w:tc>
              <w:tc>
                <w:tcPr>
                  <w:tcW w:w="592" w:type="pct"/>
                  <w:vAlign w:val="center"/>
                </w:tcPr>
                <w:p w14:paraId="293179F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新环审〔2024〕109号</w:t>
                  </w:r>
                </w:p>
              </w:tc>
              <w:tc>
                <w:tcPr>
                  <w:tcW w:w="683" w:type="pct"/>
                  <w:vAlign w:val="center"/>
                </w:tcPr>
                <w:p w14:paraId="6A215039">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2024.5.17</w:t>
                  </w:r>
                </w:p>
              </w:tc>
              <w:tc>
                <w:tcPr>
                  <w:tcW w:w="1318" w:type="pct"/>
                  <w:vAlign w:val="center"/>
                </w:tcPr>
                <w:p w14:paraId="1B0F83D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2024年11月26日完成</w:t>
                  </w:r>
                  <w:r>
                    <w:rPr>
                      <w:rFonts w:hint="eastAsia"/>
                      <w:color w:val="000000" w:themeColor="text1"/>
                      <w:sz w:val="21"/>
                      <w:szCs w:val="21"/>
                      <w14:textFill>
                        <w14:solidFill>
                          <w14:schemeClr w14:val="tx1"/>
                        </w14:solidFill>
                      </w14:textFill>
                    </w:rPr>
                    <w:t>企业自主</w:t>
                  </w:r>
                  <w:r>
                    <w:rPr>
                      <w:color w:val="000000" w:themeColor="text1"/>
                      <w:sz w:val="21"/>
                      <w:szCs w:val="21"/>
                      <w14:textFill>
                        <w14:solidFill>
                          <w14:schemeClr w14:val="tx1"/>
                        </w14:solidFill>
                      </w14:textFill>
                    </w:rPr>
                    <w:t>验收</w:t>
                  </w:r>
                </w:p>
              </w:tc>
              <w:tc>
                <w:tcPr>
                  <w:tcW w:w="659" w:type="pct"/>
                  <w:vMerge w:val="restart"/>
                  <w:vAlign w:val="center"/>
                </w:tcPr>
                <w:p w14:paraId="3D41562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证书编号：91652327MA78YRKN1J001V</w:t>
                  </w:r>
                </w:p>
              </w:tc>
            </w:tr>
            <w:tr w14:paraId="68FC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pct"/>
                  <w:vAlign w:val="center"/>
                </w:tcPr>
                <w:p w14:paraId="2F82684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中建合资公司利用新疆中建西部建设水泥制造有限公司水泥窑协同处置危险废物项目</w:t>
                  </w:r>
                </w:p>
              </w:tc>
              <w:tc>
                <w:tcPr>
                  <w:tcW w:w="653" w:type="pct"/>
                  <w:vAlign w:val="center"/>
                </w:tcPr>
                <w:p w14:paraId="38E6FB8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新疆维吾尔自治区生态环境厅</w:t>
                  </w:r>
                </w:p>
              </w:tc>
              <w:tc>
                <w:tcPr>
                  <w:tcW w:w="592" w:type="pct"/>
                  <w:vAlign w:val="center"/>
                </w:tcPr>
                <w:p w14:paraId="104C496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新环审〔2020〕237号</w:t>
                  </w:r>
                </w:p>
              </w:tc>
              <w:tc>
                <w:tcPr>
                  <w:tcW w:w="683" w:type="pct"/>
                  <w:vAlign w:val="center"/>
                </w:tcPr>
                <w:p w14:paraId="59A9BD3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2020.12.12</w:t>
                  </w:r>
                </w:p>
              </w:tc>
              <w:tc>
                <w:tcPr>
                  <w:tcW w:w="1318" w:type="pct"/>
                  <w:vAlign w:val="center"/>
                </w:tcPr>
                <w:p w14:paraId="5FCC4F3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2023年8月9日通过“中建合资公司利用新疆中建西部建设水泥制造有限公司水泥窑协同处置危险废物项目”自主竣工环境保护验收</w:t>
                  </w:r>
                </w:p>
              </w:tc>
              <w:tc>
                <w:tcPr>
                  <w:tcW w:w="659" w:type="pct"/>
                  <w:vMerge w:val="continue"/>
                  <w:vAlign w:val="center"/>
                </w:tcPr>
                <w:p w14:paraId="3C084E05">
                  <w:pPr>
                    <w:spacing w:line="240" w:lineRule="auto"/>
                    <w:ind w:firstLine="0" w:firstLineChars="0"/>
                    <w:jc w:val="center"/>
                    <w:rPr>
                      <w:color w:val="000000" w:themeColor="text1"/>
                      <w:sz w:val="21"/>
                      <w:szCs w:val="21"/>
                      <w14:textFill>
                        <w14:solidFill>
                          <w14:schemeClr w14:val="tx1"/>
                        </w14:solidFill>
                      </w14:textFill>
                    </w:rPr>
                  </w:pPr>
                </w:p>
              </w:tc>
            </w:tr>
            <w:tr w14:paraId="7A87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3" w:type="pct"/>
                  <w:vAlign w:val="center"/>
                </w:tcPr>
                <w:p w14:paraId="2AD6D4B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新疆中建环能北庭环保科技有限公司贮存设施改扩建项目</w:t>
                  </w:r>
                </w:p>
              </w:tc>
              <w:tc>
                <w:tcPr>
                  <w:tcW w:w="653" w:type="pct"/>
                  <w:vAlign w:val="center"/>
                </w:tcPr>
                <w:p w14:paraId="0EAC794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昌吉回族自治州生态环境局</w:t>
                  </w:r>
                </w:p>
              </w:tc>
              <w:tc>
                <w:tcPr>
                  <w:tcW w:w="592" w:type="pct"/>
                  <w:vAlign w:val="center"/>
                </w:tcPr>
                <w:p w14:paraId="09B4929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昌州环评〔2024〕40号</w:t>
                  </w:r>
                </w:p>
              </w:tc>
              <w:tc>
                <w:tcPr>
                  <w:tcW w:w="683" w:type="pct"/>
                  <w:vAlign w:val="center"/>
                </w:tcPr>
                <w:p w14:paraId="6F68C53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2024.2.18</w:t>
                  </w:r>
                </w:p>
              </w:tc>
              <w:tc>
                <w:tcPr>
                  <w:tcW w:w="1318" w:type="pct"/>
                  <w:vAlign w:val="center"/>
                </w:tcPr>
                <w:p w14:paraId="216262F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目前正在建设</w:t>
                  </w:r>
                </w:p>
              </w:tc>
              <w:tc>
                <w:tcPr>
                  <w:tcW w:w="659" w:type="pct"/>
                  <w:vMerge w:val="continue"/>
                  <w:vAlign w:val="center"/>
                </w:tcPr>
                <w:p w14:paraId="567C4A91">
                  <w:pPr>
                    <w:spacing w:line="240" w:lineRule="auto"/>
                    <w:ind w:firstLine="0" w:firstLineChars="0"/>
                    <w:jc w:val="center"/>
                    <w:rPr>
                      <w:color w:val="000000" w:themeColor="text1"/>
                      <w:sz w:val="21"/>
                      <w:szCs w:val="21"/>
                      <w14:textFill>
                        <w14:solidFill>
                          <w14:schemeClr w14:val="tx1"/>
                        </w14:solidFill>
                      </w14:textFill>
                    </w:rPr>
                  </w:pPr>
                </w:p>
              </w:tc>
            </w:tr>
          </w:tbl>
          <w:p w14:paraId="28C8DC85">
            <w:pPr>
              <w:ind w:left="480" w:leftChars="200"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依托可行性</w:t>
            </w:r>
          </w:p>
          <w:p w14:paraId="43DE2178">
            <w:pPr>
              <w:ind w:firstLine="480"/>
              <w:rPr>
                <w:color w:val="000000" w:themeColor="text1"/>
                <w14:textFill>
                  <w14:solidFill>
                    <w14:schemeClr w14:val="tx1"/>
                  </w14:solidFill>
                </w14:textFill>
              </w:rPr>
            </w:pPr>
            <w:r>
              <w:rPr>
                <w:color w:val="000000" w:themeColor="text1"/>
                <w14:textFill>
                  <w14:solidFill>
                    <w14:schemeClr w14:val="tx1"/>
                  </w14:solidFill>
                </w14:textFill>
              </w:rPr>
              <w:t>本</w:t>
            </w:r>
            <w:r>
              <w:rPr>
                <w:rFonts w:hint="eastAsia"/>
                <w:color w:val="000000" w:themeColor="text1"/>
                <w14:textFill>
                  <w14:solidFill>
                    <w14:schemeClr w14:val="tx1"/>
                  </w14:solidFill>
                </w14:textFill>
              </w:rPr>
              <w:t>项目4口井</w:t>
            </w:r>
            <w:r>
              <w:rPr>
                <w:color w:val="000000" w:themeColor="text1"/>
                <w14:textFill>
                  <w14:solidFill>
                    <w14:schemeClr w14:val="tx1"/>
                  </w14:solidFill>
                </w14:textFill>
              </w:rPr>
              <w:t>二开</w:t>
            </w:r>
            <w:r>
              <w:rPr>
                <w:rFonts w:hint="eastAsia"/>
                <w:color w:val="000000" w:themeColor="text1"/>
                <w14:textFill>
                  <w14:solidFill>
                    <w14:schemeClr w14:val="tx1"/>
                  </w14:solidFill>
                </w14:textFill>
              </w:rPr>
              <w:t>、三开</w:t>
            </w:r>
            <w:r>
              <w:rPr>
                <w:color w:val="000000" w:themeColor="text1"/>
                <w14:textFill>
                  <w14:solidFill>
                    <w14:schemeClr w14:val="tx1"/>
                  </w14:solidFill>
                </w14:textFill>
              </w:rPr>
              <w:t>油基岩屑产生量</w:t>
            </w:r>
            <w:r>
              <w:rPr>
                <w:rFonts w:hint="eastAsia"/>
                <w:color w:val="000000" w:themeColor="text1"/>
                <w14:textFill>
                  <w14:solidFill>
                    <w14:schemeClr w14:val="tx1"/>
                  </w14:solidFill>
                </w14:textFill>
              </w:rPr>
              <w:t>4036.64t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机械设备废油产生量2.0t，废弃防渗膜少量，新疆中建环能北庭环保科技有限公司日处理量为547.95t/d，本项目危险废物的产生量约为20.61t/d，仅占新疆中建环能北庭环保科技有限公司含油危险废弃物处理能力的3.76%。新疆中建环能北庭环保科技有限公司可满足本项目的危险废弃物处理需求，依托可行。</w:t>
            </w:r>
          </w:p>
        </w:tc>
      </w:tr>
      <w:tr w14:paraId="3D5484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3" w:hRule="atLeast"/>
        </w:trPr>
        <w:tc>
          <w:tcPr>
            <w:tcW w:w="619" w:type="dxa"/>
            <w:vAlign w:val="center"/>
          </w:tcPr>
          <w:p w14:paraId="6D525969">
            <w:pPr>
              <w:ind w:firstLine="0" w:firstLineChars="0"/>
              <w:rPr>
                <w:color w:val="000000" w:themeColor="text1"/>
                <w:kern w:val="0"/>
                <w14:textFill>
                  <w14:solidFill>
                    <w14:schemeClr w14:val="tx1"/>
                  </w14:solidFill>
                </w14:textFill>
              </w:rPr>
            </w:pPr>
            <w:r>
              <w:rPr>
                <w:color w:val="000000" w:themeColor="text1"/>
                <w14:textFill>
                  <w14:solidFill>
                    <w14:schemeClr w14:val="tx1"/>
                  </w14:solidFill>
                </w14:textFill>
              </w:rPr>
              <w:t>总平</w:t>
            </w:r>
            <w:r>
              <w:rPr>
                <w:color w:val="000000" w:themeColor="text1"/>
                <w:kern w:val="0"/>
                <w14:textFill>
                  <w14:solidFill>
                    <w14:schemeClr w14:val="tx1"/>
                  </w14:solidFill>
                </w14:textFill>
              </w:rPr>
              <w:t>面及</w:t>
            </w:r>
            <w:r>
              <w:rPr>
                <w:color w:val="000000" w:themeColor="text1"/>
                <w14:textFill>
                  <w14:solidFill>
                    <w14:schemeClr w14:val="tx1"/>
                  </w14:solidFill>
                </w14:textFill>
              </w:rPr>
              <w:t>现场布</w:t>
            </w:r>
            <w:r>
              <w:rPr>
                <w:color w:val="000000" w:themeColor="text1"/>
                <w:kern w:val="0"/>
                <w14:textFill>
                  <w14:solidFill>
                    <w14:schemeClr w14:val="tx1"/>
                  </w14:solidFill>
                </w14:textFill>
              </w:rPr>
              <w:t>置</w:t>
            </w:r>
          </w:p>
        </w:tc>
        <w:tc>
          <w:tcPr>
            <w:tcW w:w="8418" w:type="dxa"/>
            <w:vAlign w:val="center"/>
          </w:tcPr>
          <w:p w14:paraId="0B3D0836">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钻井井场平面布局</w:t>
            </w:r>
          </w:p>
          <w:p w14:paraId="3F70A4DB">
            <w:pPr>
              <w:ind w:firstLine="480"/>
              <w:rPr>
                <w:color w:val="000000" w:themeColor="text1"/>
                <w14:textFill>
                  <w14:solidFill>
                    <w14:schemeClr w14:val="tx1"/>
                  </w14:solidFill>
                </w14:textFill>
              </w:rPr>
            </w:pPr>
            <w:r>
              <w:rPr>
                <w:color w:val="000000" w:themeColor="text1"/>
                <w14:textFill>
                  <w14:solidFill>
                    <w14:schemeClr w14:val="tx1"/>
                  </w14:solidFill>
                </w14:textFill>
              </w:rPr>
              <w:t>项目的布置本着结构简单、流程合理的原则进行布局。井场布置有值班房、机房、发电房、罐区、不落地设备区等。</w:t>
            </w:r>
            <w:r>
              <w:rPr>
                <w:rFonts w:hint="eastAsia" w:ascii="宋体" w:hAnsi="宋体" w:eastAsia="宋体" w:cs="宋体"/>
                <w:color w:val="000000" w:themeColor="text1"/>
                <w:kern w:val="0"/>
                <w:sz w:val="24"/>
                <w:lang w:val="en-US" w:eastAsia="zh-CN"/>
                <w14:textFill>
                  <w14:solidFill>
                    <w14:schemeClr w14:val="tx1"/>
                  </w14:solidFill>
                </w14:textFill>
              </w:rPr>
              <w:t>钻井期生活污水</w:t>
            </w:r>
            <w:r>
              <w:rPr>
                <w:rFonts w:hint="eastAsia" w:cs="宋体"/>
                <w:color w:val="000000" w:themeColor="text1"/>
                <w14:textFill>
                  <w14:solidFill>
                    <w14:schemeClr w14:val="tx1"/>
                  </w14:solidFill>
                </w14:textFill>
              </w:rPr>
              <w:t>经防渗收集池收集后</w:t>
            </w:r>
            <w:r>
              <w:rPr>
                <w:rFonts w:hint="eastAsia" w:ascii="宋体" w:hAnsi="宋体" w:eastAsia="宋体" w:cs="宋体"/>
                <w:color w:val="000000" w:themeColor="text1"/>
                <w:kern w:val="0"/>
                <w:sz w:val="24"/>
                <w:lang w:val="en-US" w:eastAsia="zh-CN"/>
                <w14:textFill>
                  <w14:solidFill>
                    <w14:schemeClr w14:val="tx1"/>
                  </w14:solidFill>
                </w14:textFill>
              </w:rPr>
              <w:t>由第三方污水拉运单位定期拉运至吉木萨尔县污水处理厂处置。钻井岩屑、泥浆经不落地系统处理实现固液分离，分离后的液相回用，分离后的固相（岩屑）临时贮存在井场内的岩屑储罐，水基岩屑交由第三方公司处置；油基岩屑委托新疆中建环能北庭环保科技有限公司处置。井场各设</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1</w:t>
            </w:r>
            <w:r>
              <w:rPr>
                <w:rFonts w:hint="eastAsia" w:ascii="宋体" w:hAnsi="宋体" w:eastAsia="宋体" w:cs="宋体"/>
                <w:color w:val="000000" w:themeColor="text1"/>
                <w:kern w:val="0"/>
                <w:sz w:val="24"/>
                <w:lang w:val="en-US" w:eastAsia="zh-CN"/>
                <w14:textFill>
                  <w14:solidFill>
                    <w14:schemeClr w14:val="tx1"/>
                  </w14:solidFill>
                </w14:textFill>
              </w:rPr>
              <w:t>处危废临时贮存点，机械设备产生的机械设备废油、废弃防渗膜暂存在井场设置的危险废物贮存点，委托新疆中建环能北庭环保科技有限公司处置。</w:t>
            </w:r>
            <w:r>
              <w:rPr>
                <w:rFonts w:hint="eastAsia" w:ascii="Times New Roman" w:hAnsi="Times New Roman" w:eastAsia="宋体" w:cs="Times New Roman"/>
                <w:color w:val="000000" w:themeColor="text1"/>
                <w:sz w:val="24"/>
                <w:szCs w:val="24"/>
                <w14:textFill>
                  <w14:solidFill>
                    <w14:schemeClr w14:val="tx1"/>
                  </w14:solidFill>
                </w14:textFill>
              </w:rPr>
              <w:t>井场内各设1个柴油储罐，存储钻井用柴油，20</w:t>
            </w:r>
            <w:r>
              <w:rPr>
                <w:rFonts w:ascii="Times New Roman" w:hAnsi="Times New Roman" w:eastAsia="宋体" w:cs="Times New Roman"/>
                <w:color w:val="000000" w:themeColor="text1"/>
                <w:sz w:val="24"/>
                <w:szCs w:val="24"/>
                <w14:textFill>
                  <w14:solidFill>
                    <w14:schemeClr w14:val="tx1"/>
                  </w14:solidFill>
                </w14:textFill>
              </w:rPr>
              <w:t>m³/</w:t>
            </w:r>
            <w:r>
              <w:rPr>
                <w:rFonts w:hint="eastAsia" w:ascii="Times New Roman" w:hAnsi="Times New Roman" w:eastAsia="宋体" w:cs="Times New Roman"/>
                <w:color w:val="000000" w:themeColor="text1"/>
                <w:sz w:val="24"/>
                <w:szCs w:val="24"/>
                <w14:textFill>
                  <w14:solidFill>
                    <w14:schemeClr w14:val="tx1"/>
                  </w14:solidFill>
                </w14:textFill>
              </w:rPr>
              <w:t>个，最大储存量约16.7t，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设1个50m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甲醇储罐，</w:t>
            </w:r>
            <w:r>
              <w:rPr>
                <w:rFonts w:hint="eastAsia" w:ascii="Times New Roman" w:hAnsi="Times New Roman" w:eastAsia="宋体" w:cs="Times New Roman"/>
                <w:color w:val="000000" w:themeColor="text1"/>
                <w:sz w:val="24"/>
                <w:szCs w:val="24"/>
                <w14:textFill>
                  <w14:solidFill>
                    <w14:schemeClr w14:val="tx1"/>
                  </w14:solidFill>
                </w14:textFill>
              </w:rPr>
              <w:t>最大储存量约</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30</w:t>
            </w:r>
            <w:r>
              <w:rPr>
                <w:rFonts w:hint="eastAsia" w:ascii="Times New Roman" w:hAnsi="Times New Roman" w:eastAsia="宋体" w:cs="Times New Roman"/>
                <w:color w:val="000000" w:themeColor="text1"/>
                <w:sz w:val="24"/>
                <w:szCs w:val="24"/>
                <w14:textFill>
                  <w14:solidFill>
                    <w14:schemeClr w14:val="tx1"/>
                  </w14:solidFill>
                </w14:textFill>
              </w:rPr>
              <w:t>t，地坪基础防渗。罐区周围3m内所有电器采取防爆处理。</w:t>
            </w:r>
          </w:p>
          <w:p w14:paraId="696FF48B">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试油井场平面布局</w:t>
            </w:r>
          </w:p>
          <w:p w14:paraId="0705553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试油井场布置有值班房、发电房、罐区、不落地设备区、放喷管线等。</w:t>
            </w:r>
            <w:r>
              <w:rPr>
                <w:rFonts w:hint="eastAsia" w:ascii="Times New Roman" w:hAnsi="Times New Roman" w:eastAsia="宋体" w:cs="Times New Roman"/>
                <w:color w:val="000000" w:themeColor="text1"/>
                <w:sz w:val="24"/>
                <w:szCs w:val="24"/>
                <w14:textFill>
                  <w14:solidFill>
                    <w14:schemeClr w14:val="tx1"/>
                  </w14:solidFill>
                </w14:textFill>
              </w:rPr>
              <w:t>每个井场内设置1个60m</w:t>
            </w:r>
            <w:r>
              <w:rPr>
                <w:rFonts w:hint="eastAsia" w:ascii="Times New Roman" w:hAnsi="Times New Roman" w:eastAsia="宋体" w:cs="Times New Roman"/>
                <w:color w:val="000000" w:themeColor="text1"/>
                <w:sz w:val="24"/>
                <w:szCs w:val="24"/>
                <w:vertAlign w:val="superscript"/>
                <w14:textFill>
                  <w14:solidFill>
                    <w14:schemeClr w14:val="tx1"/>
                  </w14:solidFill>
                </w14:textFill>
              </w:rPr>
              <w:t>3</w:t>
            </w:r>
            <w:r>
              <w:rPr>
                <w:rFonts w:hint="eastAsia" w:ascii="Times New Roman" w:hAnsi="Times New Roman" w:eastAsia="宋体" w:cs="Times New Roman"/>
                <w:color w:val="000000" w:themeColor="text1"/>
                <w:sz w:val="24"/>
                <w:szCs w:val="24"/>
                <w14:textFill>
                  <w14:solidFill>
                    <w14:schemeClr w14:val="tx1"/>
                  </w14:solidFill>
                </w14:textFill>
              </w:rPr>
              <w:t>采出液临时储罐</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由罐车拉运至吉康脱水站</w:t>
            </w:r>
            <w:r>
              <w:rPr>
                <w:rFonts w:hint="eastAsia"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洗井废水和</w:t>
            </w:r>
            <w:r>
              <w:rPr>
                <w:rFonts w:hint="eastAsia" w:ascii="Times New Roman" w:hAnsi="Times New Roman" w:eastAsia="宋体" w:cs="Times New Roman"/>
                <w:color w:val="000000" w:themeColor="text1"/>
                <w:sz w:val="24"/>
                <w:szCs w:val="24"/>
                <w14:textFill>
                  <w14:solidFill>
                    <w14:schemeClr w14:val="tx1"/>
                  </w14:solidFill>
                </w14:textFill>
              </w:rPr>
              <w:t>压裂返排液进入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试油废水罐，</w:t>
            </w:r>
            <w:r>
              <w:rPr>
                <w:rFonts w:hint="eastAsia" w:ascii="Times New Roman" w:hAnsi="Times New Roman" w:eastAsia="宋体" w:cs="Times New Roman"/>
                <w:color w:val="000000" w:themeColor="text1"/>
                <w:sz w:val="24"/>
                <w:szCs w:val="24"/>
                <w14:textFill>
                  <w14:solidFill>
                    <w14:schemeClr w14:val="tx1"/>
                  </w14:solidFill>
                </w14:textFill>
              </w:rPr>
              <w:t>采用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试油废水罐</w:t>
            </w:r>
            <w:r>
              <w:rPr>
                <w:rFonts w:hint="eastAsia" w:ascii="Times New Roman" w:hAnsi="Times New Roman" w:eastAsia="宋体" w:cs="Times New Roman"/>
                <w:color w:val="000000" w:themeColor="text1"/>
                <w:sz w:val="24"/>
                <w:szCs w:val="24"/>
                <w14:textFill>
                  <w14:solidFill>
                    <w14:schemeClr w14:val="tx1"/>
                  </w14:solidFill>
                </w14:textFill>
              </w:rPr>
              <w:t>收集后运至吉康脱水站污水处理系统处理达标后回注油藏。</w:t>
            </w:r>
          </w:p>
          <w:p w14:paraId="3FA8AEF5">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防渗设计</w:t>
            </w:r>
          </w:p>
          <w:p w14:paraId="454CC8B8">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本项目钻井井口周边、柴油罐区、</w:t>
            </w:r>
            <w:r>
              <w:rPr>
                <w:rFonts w:hint="eastAsia"/>
                <w:color w:val="000000" w:themeColor="text1"/>
                <w:lang w:val="en-US" w:eastAsia="zh-CN"/>
                <w14:textFill>
                  <w14:solidFill>
                    <w14:schemeClr w14:val="tx1"/>
                  </w14:solidFill>
                </w14:textFill>
              </w:rPr>
              <w:t>甲醇罐区、</w:t>
            </w:r>
            <w:r>
              <w:rPr>
                <w:color w:val="000000" w:themeColor="text1"/>
                <w14:textFill>
                  <w14:solidFill>
                    <w14:schemeClr w14:val="tx1"/>
                  </w14:solidFill>
                </w14:textFill>
              </w:rPr>
              <w:t>钻井液不落地系统、岩屑储罐、</w:t>
            </w:r>
            <w:r>
              <w:rPr>
                <w:rFonts w:hint="eastAsia"/>
                <w:color w:val="000000" w:themeColor="text1"/>
                <w14:textFill>
                  <w14:solidFill>
                    <w14:schemeClr w14:val="tx1"/>
                  </w14:solidFill>
                </w14:textFill>
              </w:rPr>
              <w:t>危废贮存点、</w:t>
            </w:r>
            <w:r>
              <w:rPr>
                <w:color w:val="000000" w:themeColor="text1"/>
                <w14:textFill>
                  <w14:solidFill>
                    <w14:schemeClr w14:val="tx1"/>
                  </w14:solidFill>
                </w14:textFill>
              </w:rPr>
              <w:t>各类罐体罐基础和放喷池采取重点防渗</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防渗层应不低于6.0m厚，渗透系数不大于1.0</w:t>
            </w:r>
            <w:r>
              <w:rPr>
                <w:rFonts w:hint="default" w:ascii="Times New Roman" w:hAnsi="Times New Roman" w:eastAsia="宋体" w:cs="Times New Roman"/>
                <w:color w:val="000000" w:themeColor="text1"/>
                <w:spacing w:val="-10"/>
                <w:sz w:val="24"/>
                <w:szCs w:val="24"/>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10</w:t>
            </w:r>
            <w:r>
              <w:rPr>
                <w:rFonts w:hint="eastAsia"/>
                <w:color w:val="000000" w:themeColor="text1"/>
                <w:vertAlign w:val="superscript"/>
                <w:lang w:val="en-US" w:eastAsia="zh-CN"/>
                <w14:textFill>
                  <w14:solidFill>
                    <w14:schemeClr w14:val="tx1"/>
                  </w14:solidFill>
                </w14:textFill>
              </w:rPr>
              <w:t>-7</w:t>
            </w:r>
            <w:r>
              <w:rPr>
                <w:rFonts w:hint="eastAsia"/>
                <w:color w:val="000000" w:themeColor="text1"/>
                <w:lang w:val="en-US" w:eastAsia="zh-CN"/>
                <w14:textFill>
                  <w14:solidFill>
                    <w14:schemeClr w14:val="tx1"/>
                  </w14:solidFill>
                </w14:textFill>
              </w:rPr>
              <w:t>cm/s；</w:t>
            </w:r>
            <w:r>
              <w:rPr>
                <w:color w:val="000000" w:themeColor="text1"/>
                <w14:textFill>
                  <w14:solidFill>
                    <w14:schemeClr w14:val="tx1"/>
                  </w14:solidFill>
                </w14:textFill>
              </w:rPr>
              <w:t>材料房、配电房、录井房、地质房</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生活污水收集池</w:t>
            </w:r>
            <w:r>
              <w:rPr>
                <w:color w:val="000000" w:themeColor="text1"/>
                <w14:textFill>
                  <w14:solidFill>
                    <w14:schemeClr w14:val="tx1"/>
                  </w14:solidFill>
                </w14:textFill>
              </w:rPr>
              <w:t>等采取一般防渗</w:t>
            </w:r>
            <w:r>
              <w:rPr>
                <w:rFonts w:hint="eastAsia"/>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lang w:val="en-US" w:eastAsia="zh-CN"/>
                <w14:textFill>
                  <w14:solidFill>
                    <w14:schemeClr w14:val="tx1"/>
                  </w14:solidFill>
                </w14:textFill>
              </w:rPr>
              <w:t>防渗层应不低于1.5</w:t>
            </w:r>
            <w:r>
              <w:rPr>
                <w:rFonts w:hint="eastAsia" w:ascii="Times New Roman" w:hAnsi="Times New Roman" w:eastAsia="宋体" w:cs="Times New Roman"/>
                <w:color w:val="000000" w:themeColor="text1"/>
                <w:spacing w:val="-10"/>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lang w:val="en-US" w:eastAsia="zh-CN"/>
                <w14:textFill>
                  <w14:solidFill>
                    <w14:schemeClr w14:val="tx1"/>
                  </w14:solidFill>
                </w14:textFill>
              </w:rPr>
              <w:t>厚，渗透系数不大于1.0×10</w:t>
            </w:r>
            <w:r>
              <w:rPr>
                <w:rFonts w:hint="default" w:ascii="Times New Roman" w:hAnsi="Times New Roman" w:eastAsia="宋体" w:cs="Times New Roman"/>
                <w:color w:val="000000" w:themeColor="text1"/>
                <w:spacing w:val="-10"/>
                <w:sz w:val="24"/>
                <w:szCs w:val="24"/>
                <w:vertAlign w:val="superscript"/>
                <w:lang w:val="en-US" w:eastAsia="zh-CN"/>
                <w14:textFill>
                  <w14:solidFill>
                    <w14:schemeClr w14:val="tx1"/>
                  </w14:solidFill>
                </w14:textFill>
              </w:rPr>
              <w:t>-7</w:t>
            </w:r>
            <w:r>
              <w:rPr>
                <w:rFonts w:hint="eastAsia"/>
                <w:color w:val="000000" w:themeColor="text1"/>
                <w:lang w:val="en-US" w:eastAsia="zh-CN"/>
                <w14:textFill>
                  <w14:solidFill>
                    <w14:schemeClr w14:val="tx1"/>
                  </w14:solidFill>
                </w14:textFill>
              </w:rPr>
              <w:t>cm/s</w:t>
            </w:r>
            <w:r>
              <w:rPr>
                <w:rFonts w:hint="default" w:ascii="Times New Roman" w:hAnsi="Times New Roman" w:eastAsia="宋体" w:cs="Times New Roman"/>
                <w:color w:val="000000" w:themeColor="text1"/>
                <w:sz w:val="24"/>
                <w:szCs w:val="24"/>
                <w14:textFill>
                  <w14:solidFill>
                    <w14:schemeClr w14:val="tx1"/>
                  </w14:solidFill>
                </w14:textFill>
              </w:rPr>
              <w:t>；</w:t>
            </w:r>
            <w:r>
              <w:rPr>
                <w:color w:val="000000" w:themeColor="text1"/>
                <w14:textFill>
                  <w14:solidFill>
                    <w14:schemeClr w14:val="tx1"/>
                  </w14:solidFill>
                </w14:textFill>
              </w:rPr>
              <w:t>其他区域采取简单防渗，采取一般地面硬化，防渗材料参照《环境影响评价技术导则 地下水环境》（HJ 610-2016）中相应防渗要求执行。</w:t>
            </w:r>
          </w:p>
          <w:p w14:paraId="2DBD065F">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临时工程平面布置</w:t>
            </w:r>
          </w:p>
          <w:p w14:paraId="6A96FC28">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4口井为平台井，</w:t>
            </w:r>
            <w:r>
              <w:rPr>
                <w:rFonts w:hint="eastAsia"/>
                <w:color w:val="000000" w:themeColor="text1"/>
                <w:lang w:val="en-US" w:eastAsia="zh-CN"/>
                <w14:textFill>
                  <w14:solidFill>
                    <w14:schemeClr w14:val="tx1"/>
                  </w14:solidFill>
                </w14:textFill>
              </w:rPr>
              <w:t>每口井之间间距约50m，</w:t>
            </w:r>
            <w:r>
              <w:rPr>
                <w:color w:val="000000" w:themeColor="text1"/>
                <w14:textFill>
                  <w14:solidFill>
                    <w14:schemeClr w14:val="tx1"/>
                  </w14:solidFill>
                </w14:textFill>
              </w:rPr>
              <w:t>在井口周边设</w:t>
            </w:r>
            <w:r>
              <w:rPr>
                <w:rFonts w:hint="eastAsia"/>
                <w:color w:val="000000" w:themeColor="text1"/>
                <w14:textFill>
                  <w14:solidFill>
                    <w14:schemeClr w14:val="tx1"/>
                  </w14:solidFill>
                </w14:textFill>
              </w:rPr>
              <w:t>平台</w:t>
            </w:r>
            <w:r>
              <w:rPr>
                <w:color w:val="000000" w:themeColor="text1"/>
                <w14:textFill>
                  <w14:solidFill>
                    <w14:schemeClr w14:val="tx1"/>
                  </w14:solidFill>
                </w14:textFill>
              </w:rPr>
              <w:t>井场（</w:t>
            </w:r>
            <w:r>
              <w:rPr>
                <w:rFonts w:hint="eastAsia"/>
                <w:color w:val="000000" w:themeColor="text1"/>
                <w14:textFill>
                  <w14:solidFill>
                    <w14:schemeClr w14:val="tx1"/>
                  </w14:solidFill>
                </w14:textFill>
              </w:rPr>
              <w:t>总占地10564</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），井场和临时道路附近设</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处生活营地（</w:t>
            </w:r>
            <w:r>
              <w:rPr>
                <w:rFonts w:hint="eastAsia"/>
                <w:color w:val="000000" w:themeColor="text1"/>
                <w14:textFill>
                  <w14:solidFill>
                    <w14:schemeClr w14:val="tx1"/>
                  </w14:solidFill>
                </w14:textFill>
              </w:rPr>
              <w:t>150</w:t>
            </w:r>
            <w:r>
              <w:rPr>
                <w:color w:val="000000" w:themeColor="text1"/>
                <w14:textFill>
                  <w14:solidFill>
                    <w14:schemeClr w14:val="tx1"/>
                  </w14:solidFill>
                </w14:textFill>
              </w:rPr>
              <w:t>00m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在井场一侧设置1处堆土区（1500</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根据井场位置和周围已建道路情况修建临时道路（临时道路总长</w:t>
            </w:r>
            <w:r>
              <w:rPr>
                <w:rFonts w:hint="eastAsia"/>
                <w:color w:val="000000" w:themeColor="text1"/>
                <w14:textFill>
                  <w14:solidFill>
                    <w14:schemeClr w14:val="tx1"/>
                  </w14:solidFill>
                </w14:textFill>
              </w:rPr>
              <w:t>1708</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w:t>
            </w:r>
          </w:p>
        </w:tc>
      </w:tr>
      <w:tr w14:paraId="4197B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9" w:hRule="atLeast"/>
        </w:trPr>
        <w:tc>
          <w:tcPr>
            <w:tcW w:w="619" w:type="dxa"/>
            <w:vAlign w:val="center"/>
          </w:tcPr>
          <w:p w14:paraId="6E63EB17">
            <w:pPr>
              <w:spacing w:line="240" w:lineRule="auto"/>
              <w:ind w:firstLine="0" w:firstLineChars="0"/>
              <w:jc w:val="center"/>
              <w:rPr>
                <w:color w:val="000000" w:themeColor="text1"/>
                <w:kern w:val="0"/>
                <w14:textFill>
                  <w14:solidFill>
                    <w14:schemeClr w14:val="tx1"/>
                  </w14:solidFill>
                </w14:textFill>
              </w:rPr>
            </w:pPr>
            <w:r>
              <w:rPr>
                <w:color w:val="000000" w:themeColor="text1"/>
                <w14:textFill>
                  <w14:solidFill>
                    <w14:schemeClr w14:val="tx1"/>
                  </w14:solidFill>
                </w14:textFill>
              </w:rPr>
              <w:t>施工方案</w:t>
            </w:r>
          </w:p>
        </w:tc>
        <w:tc>
          <w:tcPr>
            <w:tcW w:w="8418" w:type="dxa"/>
            <w:vAlign w:val="center"/>
          </w:tcPr>
          <w:p w14:paraId="6787D629">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本项目施工方式为钻进方式，包括：钻前作业、钻井施工、试油作业、钻后工程。</w:t>
            </w:r>
          </w:p>
          <w:p w14:paraId="612FDD07">
            <w:pPr>
              <w:pStyle w:val="3"/>
              <w:ind w:firstLine="0" w:firstLineChars="0"/>
              <w:rPr>
                <w:color w:val="000000" w:themeColor="text1"/>
                <w:sz w:val="28"/>
                <w14:textFill>
                  <w14:solidFill>
                    <w14:schemeClr w14:val="tx1"/>
                  </w14:solidFill>
                </w14:textFill>
              </w:rPr>
            </w:pPr>
            <w:r>
              <w:rPr>
                <w:color w:val="000000" w:themeColor="text1"/>
                <w:sz w:val="28"/>
                <w14:textFill>
                  <w14:solidFill>
                    <w14:schemeClr w14:val="tx1"/>
                  </w14:solidFill>
                </w14:textFill>
              </w:rPr>
              <w:t>1 钻前作业</w:t>
            </w:r>
          </w:p>
          <w:p w14:paraId="043F323C">
            <w:pPr>
              <w:ind w:firstLine="480"/>
              <w:rPr>
                <w:color w:val="000000" w:themeColor="text1"/>
                <w14:textFill>
                  <w14:solidFill>
                    <w14:schemeClr w14:val="tx1"/>
                  </w14:solidFill>
                </w14:textFill>
              </w:rPr>
            </w:pPr>
            <w:r>
              <w:rPr>
                <w:color w:val="000000" w:themeColor="text1"/>
                <w14:textFill>
                  <w14:solidFill>
                    <w14:schemeClr w14:val="tx1"/>
                  </w14:solidFill>
                </w14:textFill>
              </w:rPr>
              <w:t>钻前作业主要包括井场、道路以及生活营地占地清理平整，设备入场等，工艺流程如下：</w:t>
            </w:r>
          </w:p>
          <w:p w14:paraId="0776CF5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钻前整理场地，并保证全套钻井设备达到相关的安装标准。</w:t>
            </w:r>
          </w:p>
          <w:p w14:paraId="73FDD2A9">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）在钻机安装的过程中，注意保护井口设备。</w:t>
            </w:r>
          </w:p>
          <w:p w14:paraId="6B87A038">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）要求天车、转盘、井口三点成一条铅垂线，误差小于10mm；确保在施工过程中不偏磨井口套管及井控设备。</w:t>
            </w:r>
          </w:p>
          <w:p w14:paraId="4D1A63E0">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）设备运转正常，安全装置灵活好用。各种仪器仪表准确灵敏好用。</w:t>
            </w:r>
          </w:p>
          <w:p w14:paraId="087678FF">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）钻具在入井前必须用通径规通径。</w:t>
            </w:r>
          </w:p>
          <w:p w14:paraId="440C8256">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）对所有的下井钻具进行外观检查和超声波探伤，准确丈量钻具，钻具记录上注明内外径、扣型，特殊工具要画草图。</w:t>
            </w:r>
          </w:p>
          <w:p w14:paraId="2EF103D2">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）钻前道路以能通重型车为标准修建，清理道路</w:t>
            </w:r>
            <w:r>
              <w:rPr>
                <w:rFonts w:hint="eastAsia"/>
                <w:color w:val="000000" w:themeColor="text1"/>
                <w14:textFill>
                  <w14:solidFill>
                    <w14:schemeClr w14:val="tx1"/>
                  </w14:solidFill>
                </w14:textFill>
              </w:rPr>
              <w:t>占地范围</w:t>
            </w:r>
            <w:r>
              <w:rPr>
                <w:color w:val="000000" w:themeColor="text1"/>
                <w14:textFill>
                  <w14:solidFill>
                    <w14:schemeClr w14:val="tx1"/>
                  </w14:solidFill>
                </w14:textFill>
              </w:rPr>
              <w:t>内的植被、杂物</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，对路线进行平整</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修建为简易砂石路</w:t>
            </w:r>
            <w:r>
              <w:rPr>
                <w:rFonts w:hint="eastAsia"/>
                <w:color w:val="000000" w:themeColor="text1"/>
                <w14:textFill>
                  <w14:solidFill>
                    <w14:schemeClr w14:val="tx1"/>
                  </w14:solidFill>
                </w14:textFill>
              </w:rPr>
              <w:t>；同时清理场地搭建生活营地。</w:t>
            </w:r>
          </w:p>
          <w:p w14:paraId="6F2C5C50">
            <w:pPr>
              <w:pStyle w:val="3"/>
              <w:ind w:firstLine="0" w:firstLineChars="0"/>
              <w:rPr>
                <w:color w:val="000000" w:themeColor="text1"/>
                <w:sz w:val="28"/>
                <w14:textFill>
                  <w14:solidFill>
                    <w14:schemeClr w14:val="tx1"/>
                  </w14:solidFill>
                </w14:textFill>
              </w:rPr>
            </w:pPr>
            <w:r>
              <w:rPr>
                <w:color w:val="000000" w:themeColor="text1"/>
                <w:sz w:val="28"/>
                <w14:textFill>
                  <w14:solidFill>
                    <w14:schemeClr w14:val="tx1"/>
                  </w14:solidFill>
                </w14:textFill>
              </w:rPr>
              <w:t>2 钻井施工</w:t>
            </w:r>
          </w:p>
          <w:p w14:paraId="13DE5EC7">
            <w:pPr>
              <w:ind w:firstLine="480"/>
              <w:rPr>
                <w:color w:val="000000" w:themeColor="text1"/>
                <w14:textFill>
                  <w14:solidFill>
                    <w14:schemeClr w14:val="tx1"/>
                  </w14:solidFill>
                </w14:textFill>
              </w:rPr>
            </w:pPr>
            <w:r>
              <w:rPr>
                <w:color w:val="000000" w:themeColor="text1"/>
                <w14:textFill>
                  <w14:solidFill>
                    <w14:schemeClr w14:val="tx1"/>
                  </w14:solidFill>
                </w14:textFill>
              </w:rPr>
              <w:t>钻井时采用旋转的钻头给所钻的地层一定的压力，使钻头的牙齿嵌入地层，然后旋转钻头，利用旋转钻头的扭矩来切削地层，并用循环的钻井液将钻屑带出井眼，以保证持续钻井。</w:t>
            </w:r>
          </w:p>
          <w:p w14:paraId="0F58F76F">
            <w:pPr>
              <w:ind w:firstLine="480"/>
              <w:rPr>
                <w:color w:val="000000" w:themeColor="text1"/>
                <w14:textFill>
                  <w14:solidFill>
                    <w14:schemeClr w14:val="tx1"/>
                  </w14:solidFill>
                </w14:textFill>
              </w:rPr>
            </w:pPr>
            <w:r>
              <w:rPr>
                <w:color w:val="000000" w:themeColor="text1"/>
                <w14:textFill>
                  <w14:solidFill>
                    <w14:schemeClr w14:val="tx1"/>
                  </w14:solidFill>
                </w14:textFill>
              </w:rPr>
              <w:t>钻井时井筒排出的钻井泥浆及岩屑进入泥浆不落地循环系统，该系统设置振动筛、除砂器、除泥器、离心机四级处理，经四级处理后，岩屑与钻井液完全分离，钻井液返回井筒，岩屑临时贮存在井场内的岩屑储罐，水基委托第三方岩屑公司进行无害化处置，油基岩屑委托</w:t>
            </w:r>
            <w:r>
              <w:rPr>
                <w:rFonts w:hint="eastAsia" w:ascii="宋体" w:hAnsi="宋体" w:cs="宋体"/>
                <w:color w:val="000000" w:themeColor="text1"/>
                <w:kern w:val="0"/>
                <w14:textFill>
                  <w14:solidFill>
                    <w14:schemeClr w14:val="tx1"/>
                  </w14:solidFill>
                </w14:textFill>
              </w:rPr>
              <w:t>新疆中建环能北庭环保科技有限公司</w:t>
            </w:r>
            <w:r>
              <w:rPr>
                <w:color w:val="000000" w:themeColor="text1"/>
                <w14:textFill>
                  <w14:solidFill>
                    <w14:schemeClr w14:val="tx1"/>
                  </w14:solidFill>
                </w14:textFill>
              </w:rPr>
              <w:t>处置。</w:t>
            </w:r>
          </w:p>
          <w:p w14:paraId="2B73BD2C">
            <w:pPr>
              <w:ind w:firstLine="480"/>
              <w:rPr>
                <w:color w:val="000000" w:themeColor="text1"/>
                <w14:textFill>
                  <w14:solidFill>
                    <w14:schemeClr w14:val="tx1"/>
                  </w14:solidFill>
                </w14:textFill>
              </w:rPr>
            </w:pPr>
            <w:r>
              <w:rPr>
                <w:color w:val="000000" w:themeColor="text1"/>
                <w14:textFill>
                  <w14:solidFill>
                    <w14:schemeClr w14:val="tx1"/>
                  </w14:solidFill>
                </w14:textFill>
              </w:rPr>
              <w:t>（1）钻井井口产生的钻井泥浆、岩屑混合物经振动筛、除砂器、除泥器、离心机四级实现初步分离，分离出的液相用于钻井液配制。分离出的混合物进入收集箱待进一步处理。</w:t>
            </w:r>
          </w:p>
          <w:p w14:paraId="122CFAE8">
            <w:pPr>
              <w:ind w:firstLine="480"/>
              <w:rPr>
                <w:color w:val="000000" w:themeColor="text1"/>
                <w14:textFill>
                  <w14:solidFill>
                    <w14:schemeClr w14:val="tx1"/>
                  </w14:solidFill>
                </w14:textFill>
              </w:rPr>
            </w:pPr>
            <w:r>
              <w:rPr>
                <w:color w:val="000000" w:themeColor="text1"/>
                <w14:textFill>
                  <w14:solidFill>
                    <w14:schemeClr w14:val="tx1"/>
                  </w14:solidFill>
                </w14:textFill>
              </w:rPr>
              <w:t>（2）收集箱中的混合物经不落地系统进一步固液分离，由有资质的单位进行无害化处理，自行利用。</w:t>
            </w:r>
          </w:p>
          <w:p w14:paraId="62A2596A">
            <w:pPr>
              <w:ind w:firstLine="480"/>
              <w:rPr>
                <w:color w:val="000000" w:themeColor="text1"/>
                <w14:textFill>
                  <w14:solidFill>
                    <w14:schemeClr w14:val="tx1"/>
                  </w14:solidFill>
                </w14:textFill>
              </w:rPr>
            </w:pPr>
            <w:r>
              <w:rPr>
                <w:color w:val="000000" w:themeColor="text1"/>
                <w14:textFill>
                  <w14:solidFill>
                    <w14:schemeClr w14:val="tx1"/>
                  </w14:solidFill>
                </w14:textFill>
              </w:rPr>
              <w:t>（3）防渗膜由施工队回收利用，废弃防渗膜</w:t>
            </w:r>
            <w:r>
              <w:rPr>
                <w:rFonts w:hint="eastAsia"/>
                <w:color w:val="000000" w:themeColor="text1"/>
                <w14:textFill>
                  <w14:solidFill>
                    <w14:schemeClr w14:val="tx1"/>
                  </w14:solidFill>
                </w14:textFill>
              </w:rPr>
              <w:t>集中收集后暂存于井场危废贮存点，定期</w:t>
            </w:r>
            <w:r>
              <w:rPr>
                <w:color w:val="000000" w:themeColor="text1"/>
                <w14:textFill>
                  <w14:solidFill>
                    <w14:schemeClr w14:val="tx1"/>
                  </w14:solidFill>
                </w14:textFill>
              </w:rPr>
              <w:t>委托</w:t>
            </w:r>
            <w:r>
              <w:rPr>
                <w:rFonts w:hint="eastAsia" w:ascii="宋体" w:hAnsi="宋体" w:cs="宋体"/>
                <w:color w:val="000000" w:themeColor="text1"/>
                <w:kern w:val="0"/>
                <w14:textFill>
                  <w14:solidFill>
                    <w14:schemeClr w14:val="tx1"/>
                  </w14:solidFill>
                </w14:textFill>
              </w:rPr>
              <w:t>新疆中建环能北庭环保科技有限公司</w:t>
            </w:r>
            <w:r>
              <w:rPr>
                <w:color w:val="000000" w:themeColor="text1"/>
                <w14:textFill>
                  <w14:solidFill>
                    <w14:schemeClr w14:val="tx1"/>
                  </w14:solidFill>
                </w14:textFill>
              </w:rPr>
              <w:t>处理。</w:t>
            </w:r>
          </w:p>
          <w:p w14:paraId="094D2E1F">
            <w:pPr>
              <w:ind w:firstLine="480"/>
              <w:rPr>
                <w:color w:val="000000" w:themeColor="text1"/>
                <w14:textFill>
                  <w14:solidFill>
                    <w14:schemeClr w14:val="tx1"/>
                  </w14:solidFill>
                </w14:textFill>
              </w:rPr>
            </w:pPr>
            <w:r>
              <w:rPr>
                <w:color w:val="000000" w:themeColor="text1"/>
                <w14:textFill>
                  <w14:solidFill>
                    <w14:schemeClr w14:val="tx1"/>
                  </w14:solidFill>
                </w14:textFill>
              </w:rPr>
              <w:t>固井作业：</w:t>
            </w:r>
          </w:p>
          <w:p w14:paraId="70EF2357">
            <w:pPr>
              <w:ind w:firstLine="480"/>
              <w:rPr>
                <w:color w:val="000000" w:themeColor="text1"/>
                <w14:textFill>
                  <w14:solidFill>
                    <w14:schemeClr w14:val="tx1"/>
                  </w14:solidFill>
                </w14:textFill>
              </w:rPr>
            </w:pPr>
            <w:r>
              <w:rPr>
                <w:color w:val="000000" w:themeColor="text1"/>
                <w14:textFill>
                  <w14:solidFill>
                    <w14:schemeClr w14:val="tx1"/>
                  </w14:solidFill>
                </w14:textFill>
              </w:rPr>
              <w:t>固井是在已钻成的井眼内下入套管，然后在套管与井壁之间环空内注入水泥浆将套管和地层固结在一起的工艺过程，可防止复杂情况以保证安全继续钻进下一段井眼或保证顺利开采生产层中的油、气。</w:t>
            </w:r>
          </w:p>
          <w:p w14:paraId="212BB6C5">
            <w:pPr>
              <w:ind w:firstLine="480"/>
              <w:rPr>
                <w:color w:val="000000" w:themeColor="text1"/>
                <w14:textFill>
                  <w14:solidFill>
                    <w14:schemeClr w14:val="tx1"/>
                  </w14:solidFill>
                </w14:textFill>
              </w:rPr>
            </w:pPr>
            <w:r>
              <w:rPr>
                <w:color w:val="000000" w:themeColor="text1"/>
                <w14:textFill>
                  <w14:solidFill>
                    <w14:schemeClr w14:val="tx1"/>
                  </w14:solidFill>
                </w14:textFill>
              </w:rPr>
              <w:t>固井工程包括下套管和注水泥两个过程。下套管就是在已经钻成的井眼中按规定深度下入一定直径、由某种或几种不同钢级及壁厚的套管组成的套管柱。注水泥就是在地面上将水泥浆通过套管柱注入井眼与套管柱之间的环形空间中的过程。固井的主要目的是封隔疏松的易塌、易漏地层；封隔油、气、水层，防止互相窜漏。固井作业的主要设备有水泥搅拌机、下灰罐车、混合漏斗和其他附属安全防喷设备等。</w:t>
            </w:r>
          </w:p>
          <w:p w14:paraId="250F6847">
            <w:pPr>
              <w:ind w:firstLine="480"/>
              <w:rPr>
                <w:color w:val="000000" w:themeColor="text1"/>
                <w14:textFill>
                  <w14:solidFill>
                    <w14:schemeClr w14:val="tx1"/>
                  </w14:solidFill>
                </w14:textFill>
              </w:rPr>
            </w:pPr>
            <w:r>
              <w:rPr>
                <w:color w:val="000000" w:themeColor="text1"/>
                <w14:textFill>
                  <w14:solidFill>
                    <w14:schemeClr w14:val="tx1"/>
                  </w14:solidFill>
                </w14:textFill>
              </w:rPr>
              <w:t>另外，现场施工前根据实际情况要做水泥浆配方及性能复核试验，同时，如果是钻井中井漏严重，则应考虑采用双凝水泥浆体系固井，从而提高固井质量，防止因为井漏事故造成地下水环境污染。</w:t>
            </w:r>
          </w:p>
          <w:p w14:paraId="5B2034EC">
            <w:pPr>
              <w:pStyle w:val="3"/>
              <w:ind w:firstLine="0" w:firstLineChars="0"/>
              <w:rPr>
                <w:color w:val="000000" w:themeColor="text1"/>
                <w:sz w:val="28"/>
                <w14:textFill>
                  <w14:solidFill>
                    <w14:schemeClr w14:val="tx1"/>
                  </w14:solidFill>
                </w14:textFill>
              </w:rPr>
            </w:pPr>
            <w:r>
              <w:rPr>
                <w:color w:val="000000" w:themeColor="text1"/>
                <w:sz w:val="28"/>
                <w14:textFill>
                  <w14:solidFill>
                    <w14:schemeClr w14:val="tx1"/>
                  </w14:solidFill>
                </w14:textFill>
              </w:rPr>
              <w:t>3 试油作业</w:t>
            </w:r>
          </w:p>
          <w:p w14:paraId="7D9B265C">
            <w:pPr>
              <w:ind w:firstLine="480"/>
              <w:rPr>
                <w:color w:val="000000" w:themeColor="text1"/>
                <w14:textFill>
                  <w14:solidFill>
                    <w14:schemeClr w14:val="tx1"/>
                  </w14:solidFill>
                </w14:textFill>
              </w:rPr>
            </w:pPr>
            <w:r>
              <w:rPr>
                <w:color w:val="000000" w:themeColor="text1"/>
                <w14:textFill>
                  <w14:solidFill>
                    <w14:schemeClr w14:val="tx1"/>
                  </w14:solidFill>
                </w14:textFill>
              </w:rPr>
              <w:t>当钻至井目的层后，对油气应进行试油作业，试油就是利用专用的设备和方法，对通过地震勘察、钻井录井、测井等间接手段初步确定的可能含油（气）层位进行直接的测试，并取得目的层的产能、压力、温度、油气水性质以及地质资料的工艺过程。如钻孔在目的层遇到裂隙发育，则不需进行射孔、酸化、压裂等工作，钻孔在目的层未遇裂隙，则需进行射孔，用射孔枪打开产层，用酸化压裂液清洗裂隙，酸化目的层。</w:t>
            </w:r>
          </w:p>
          <w:p w14:paraId="441B9574">
            <w:pPr>
              <w:ind w:firstLine="480"/>
              <w:rPr>
                <w:color w:val="000000" w:themeColor="text1"/>
                <w14:textFill>
                  <w14:solidFill>
                    <w14:schemeClr w14:val="tx1"/>
                  </w14:solidFill>
                </w14:textFill>
              </w:rPr>
            </w:pPr>
            <w:r>
              <w:rPr>
                <w:color w:val="000000" w:themeColor="text1"/>
                <w14:textFill>
                  <w14:solidFill>
                    <w14:schemeClr w14:val="tx1"/>
                  </w14:solidFill>
                </w14:textFill>
              </w:rPr>
              <w:t>试油作业包括通井（用钻杆或油管带通井规下入井内，清除井壁上附着的固体物质，如钢渣、固井残留水泥等，同时检查套管是否有影响试油工具通过的弯曲等）、洗井（使用泵注设备，利用洗井液，通过井内管柱内外循环，清除套管壁杂物等，每口井洗井1次）、射孔（利用专用设备和射孔枪，对套管和井壁进行射孔，建立地层与井筒之间的通道）、压裂（用泵车将压裂液挤入目的层，当把目的层压出许多裂缝后，加入支撑剂，如石英砂等，充填进裂缝，提高目的层的渗透能力，每口井进行1次压裂作业）等操作，试井前安装井口各种计量设备、油气两相分离设备，采出液临时储罐等。如有油气资源，则产出液经两相分离器分离后，采出液进入临时储罐，拉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，伴生气由放散管燃烧放散。</w:t>
            </w:r>
          </w:p>
          <w:p w14:paraId="0CE1C2D4">
            <w:pPr>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其中压裂工艺具体为：泵注桥塞射孔连作→压裂→焖井→排液→测试生产。</w:t>
            </w:r>
          </w:p>
          <w:p w14:paraId="25F2BEE6">
            <w:pPr>
              <w:pStyle w:val="3"/>
              <w:ind w:firstLine="0" w:firstLineChars="0"/>
              <w:rPr>
                <w:color w:val="000000" w:themeColor="text1"/>
                <w:sz w:val="28"/>
                <w14:textFill>
                  <w14:solidFill>
                    <w14:schemeClr w14:val="tx1"/>
                  </w14:solidFill>
                </w14:textFill>
              </w:rPr>
            </w:pPr>
            <w:r>
              <w:rPr>
                <w:color w:val="000000" w:themeColor="text1"/>
                <w:sz w:val="28"/>
                <w14:textFill>
                  <w14:solidFill>
                    <w14:schemeClr w14:val="tx1"/>
                  </w14:solidFill>
                </w14:textFill>
              </w:rPr>
              <w:t>4 钻后工程</w:t>
            </w:r>
          </w:p>
          <w:p w14:paraId="6C923F6A">
            <w:pPr>
              <w:ind w:firstLine="480"/>
              <w:rPr>
                <w:color w:val="000000" w:themeColor="text1"/>
                <w:kern w:val="0"/>
                <w14:textFill>
                  <w14:solidFill>
                    <w14:schemeClr w14:val="tx1"/>
                  </w14:solidFill>
                </w14:textFill>
              </w:rPr>
            </w:pPr>
            <w:r>
              <w:rPr>
                <w:color w:val="000000" w:themeColor="text1"/>
                <w14:textFill>
                  <w14:solidFill>
                    <w14:schemeClr w14:val="tx1"/>
                  </w14:solidFill>
                </w14:textFill>
              </w:rPr>
              <w:t>测试完井后。要换装井口装置，有油时井口需换装采油树，其余设施将拆除、搬迁，钻井液材料全部进行回收，井场无遗留</w:t>
            </w:r>
            <w:r>
              <w:rPr>
                <w:rFonts w:hint="eastAsia"/>
                <w:color w:val="000000" w:themeColor="text1"/>
                <w14:textFill>
                  <w14:solidFill>
                    <w14:schemeClr w14:val="tx1"/>
                  </w14:solidFill>
                </w14:textFill>
              </w:rPr>
              <w:t>，对</w:t>
            </w:r>
            <w:r>
              <w:rPr>
                <w:color w:val="000000" w:themeColor="text1"/>
                <w14:textFill>
                  <w14:solidFill>
                    <w14:schemeClr w14:val="tx1"/>
                  </w14:solidFill>
                </w14:textFill>
              </w:rPr>
              <w:t>钻井过程中产生的各类废物进行清理，并进行产能建设工程的环境影响评价，若该井无开采价值，则将井口用水泥封固，并对临时占地进行平整恢复。</w:t>
            </w:r>
          </w:p>
        </w:tc>
      </w:tr>
      <w:tr w14:paraId="4F96E9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9" w:type="dxa"/>
            <w:vAlign w:val="center"/>
          </w:tcPr>
          <w:p w14:paraId="74975F4F">
            <w:pPr>
              <w:ind w:firstLine="0" w:firstLineChars="0"/>
              <w:rPr>
                <w:color w:val="000000" w:themeColor="text1"/>
                <w:kern w:val="0"/>
                <w14:textFill>
                  <w14:solidFill>
                    <w14:schemeClr w14:val="tx1"/>
                  </w14:solidFill>
                </w14:textFill>
              </w:rPr>
            </w:pPr>
            <w:r>
              <w:rPr>
                <w:color w:val="000000" w:themeColor="text1"/>
                <w:kern w:val="0"/>
                <w14:textFill>
                  <w14:solidFill>
                    <w14:schemeClr w14:val="tx1"/>
                  </w14:solidFill>
                </w14:textFill>
              </w:rPr>
              <w:t>其他</w:t>
            </w:r>
          </w:p>
        </w:tc>
        <w:tc>
          <w:tcPr>
            <w:tcW w:w="8418" w:type="dxa"/>
            <w:vAlign w:val="center"/>
          </w:tcPr>
          <w:p w14:paraId="6E30576D">
            <w:pPr>
              <w:ind w:firstLine="480"/>
              <w:jc w:val="center"/>
              <w:rPr>
                <w:color w:val="000000" w:themeColor="text1"/>
                <w14:textFill>
                  <w14:solidFill>
                    <w14:schemeClr w14:val="tx1"/>
                  </w14:solidFill>
                </w14:textFill>
              </w:rPr>
            </w:pPr>
            <w:r>
              <w:rPr>
                <w:color w:val="000000" w:themeColor="text1"/>
                <w14:textFill>
                  <w14:solidFill>
                    <w14:schemeClr w14:val="tx1"/>
                  </w14:solidFill>
                </w14:textFill>
              </w:rPr>
              <w:t>无</w:t>
            </w:r>
          </w:p>
        </w:tc>
      </w:tr>
    </w:tbl>
    <w:p w14:paraId="2079D213">
      <w:pPr>
        <w:pStyle w:val="14"/>
        <w:ind w:firstLine="600"/>
        <w:jc w:val="center"/>
        <w:outlineLvl w:val="0"/>
        <w:rPr>
          <w:rFonts w:ascii="Times New Roman" w:hAnsi="Times New Roman" w:eastAsia="黑体"/>
          <w:snapToGrid w:val="0"/>
          <w:color w:val="000000" w:themeColor="text1"/>
          <w:sz w:val="30"/>
          <w:szCs w:val="30"/>
          <w14:textFill>
            <w14:solidFill>
              <w14:schemeClr w14:val="tx1"/>
            </w14:solidFill>
          </w14:textFill>
        </w:rPr>
      </w:pPr>
      <w:r>
        <w:rPr>
          <w:rFonts w:ascii="Times New Roman" w:hAnsi="Times New Roman" w:eastAsia="黑体"/>
          <w:snapToGrid w:val="0"/>
          <w:color w:val="000000" w:themeColor="text1"/>
          <w:sz w:val="30"/>
          <w:szCs w:val="30"/>
          <w14:textFill>
            <w14:solidFill>
              <w14:schemeClr w14:val="tx1"/>
            </w14:solidFill>
          </w14:textFill>
        </w:rPr>
        <w:t>三、生态环境现状、保护目标及评价标准</w:t>
      </w:r>
    </w:p>
    <w:tbl>
      <w:tblPr>
        <w:tblStyle w:val="16"/>
        <w:tblW w:w="91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8253"/>
      </w:tblGrid>
      <w:tr w14:paraId="3D5B3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4" w:type="dxa"/>
            <w:vAlign w:val="center"/>
          </w:tcPr>
          <w:p w14:paraId="7C7CEC8E">
            <w:pPr>
              <w:ind w:firstLine="0" w:firstLineChars="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生态环境现状</w:t>
            </w:r>
          </w:p>
        </w:tc>
        <w:tc>
          <w:tcPr>
            <w:tcW w:w="8253" w:type="dxa"/>
            <w:vAlign w:val="center"/>
          </w:tcPr>
          <w:p w14:paraId="5F8BF2A1">
            <w:pPr>
              <w:pStyle w:val="3"/>
              <w:ind w:firstLine="0" w:firstLineChars="0"/>
              <w:rPr>
                <w:color w:val="000000" w:themeColor="text1"/>
                <w:sz w:val="28"/>
                <w:szCs w:val="28"/>
                <w14:textFill>
                  <w14:solidFill>
                    <w14:schemeClr w14:val="tx1"/>
                  </w14:solidFill>
                </w14:textFill>
              </w:rPr>
            </w:pPr>
            <w:bookmarkStart w:id="7" w:name="_Toc11891"/>
            <w:r>
              <w:rPr>
                <w:color w:val="000000" w:themeColor="text1"/>
                <w:sz w:val="28"/>
                <w:szCs w:val="28"/>
                <w14:textFill>
                  <w14:solidFill>
                    <w14:schemeClr w14:val="tx1"/>
                  </w14:solidFill>
                </w14:textFill>
              </w:rPr>
              <w:t>1 生态环境现状调查与评价</w:t>
            </w:r>
            <w:bookmarkEnd w:id="7"/>
          </w:p>
          <w:p w14:paraId="16E7EBD3">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1.1 生态系统调查与评价</w:t>
            </w:r>
          </w:p>
          <w:p w14:paraId="5A4EAF41">
            <w:pPr>
              <w:adjustRightInd/>
              <w:snapToGrid/>
              <w:ind w:firstLine="480"/>
              <w:outlineLvl w:val="3"/>
              <w:rPr>
                <w:color w:val="000000" w:themeColor="text1"/>
                <w14:textFill>
                  <w14:solidFill>
                    <w14:schemeClr w14:val="tx1"/>
                  </w14:solidFill>
                </w14:textFill>
              </w:rPr>
            </w:pPr>
            <w:r>
              <w:rPr>
                <w:color w:val="000000" w:themeColor="text1"/>
                <w14:textFill>
                  <w14:solidFill>
                    <w14:schemeClr w14:val="tx1"/>
                  </w14:solidFill>
                </w14:textFill>
              </w:rPr>
              <w:t>（1）生态功能区划</w:t>
            </w:r>
          </w:p>
          <w:p w14:paraId="17A633E5">
            <w:pPr>
              <w:pStyle w:val="32"/>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根据《新疆生态功能区划》，项目所在区域属于Ⅱ准噶尔盆地温性荒漠与绿洲农业生态区—Ⅱ5准噶尔盆地南部荒漠绿洲农业生态亚区—28阜康—木垒绿洲农业、荒漠草地保护生态功能区。其生态功能见表3-1。</w:t>
            </w:r>
          </w:p>
          <w:p w14:paraId="5E21A584">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表3-1  项目所属生态功能区具体情况</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487"/>
              <w:gridCol w:w="5636"/>
            </w:tblGrid>
            <w:tr w14:paraId="3A8B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Merge w:val="restart"/>
                  <w:vAlign w:val="center"/>
                </w:tcPr>
                <w:p w14:paraId="4BD7A4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生态功能分区单元</w:t>
                  </w:r>
                </w:p>
              </w:tc>
              <w:tc>
                <w:tcPr>
                  <w:tcW w:w="925" w:type="pct"/>
                  <w:vAlign w:val="center"/>
                </w:tcPr>
                <w:p w14:paraId="2AC2296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生态区</w:t>
                  </w:r>
                </w:p>
              </w:tc>
              <w:tc>
                <w:tcPr>
                  <w:tcW w:w="3510" w:type="pct"/>
                  <w:vAlign w:val="center"/>
                </w:tcPr>
                <w:p w14:paraId="75BBA3E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Ⅱ准噶尔盆地温性荒漠与绿洲农业生态区</w:t>
                  </w:r>
                </w:p>
              </w:tc>
            </w:tr>
            <w:tr w14:paraId="07A0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Merge w:val="continue"/>
                  <w:vAlign w:val="center"/>
                </w:tcPr>
                <w:p w14:paraId="1006010A">
                  <w:pPr>
                    <w:pStyle w:val="26"/>
                    <w:framePr w:hSpace="0" w:wrap="auto" w:vAnchor="margin" w:hAnchor="text" w:xAlign="left" w:yAlign="inline"/>
                    <w:rPr>
                      <w:color w:val="000000" w:themeColor="text1"/>
                      <w14:textFill>
                        <w14:solidFill>
                          <w14:schemeClr w14:val="tx1"/>
                        </w14:solidFill>
                      </w14:textFill>
                    </w:rPr>
                  </w:pPr>
                </w:p>
              </w:tc>
              <w:tc>
                <w:tcPr>
                  <w:tcW w:w="925" w:type="pct"/>
                  <w:vAlign w:val="center"/>
                </w:tcPr>
                <w:p w14:paraId="5162913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生态亚区</w:t>
                  </w:r>
                </w:p>
              </w:tc>
              <w:tc>
                <w:tcPr>
                  <w:tcW w:w="3510" w:type="pct"/>
                  <w:vAlign w:val="center"/>
                </w:tcPr>
                <w:p w14:paraId="4D6A71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Ⅱ5准噶尔盆地南部荒漠绿洲农业生态亚区</w:t>
                  </w:r>
                </w:p>
              </w:tc>
            </w:tr>
            <w:tr w14:paraId="184D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Merge w:val="continue"/>
                  <w:vAlign w:val="center"/>
                </w:tcPr>
                <w:p w14:paraId="363C9F30">
                  <w:pPr>
                    <w:pStyle w:val="26"/>
                    <w:framePr w:hSpace="0" w:wrap="auto" w:vAnchor="margin" w:hAnchor="text" w:xAlign="left" w:yAlign="inline"/>
                    <w:rPr>
                      <w:color w:val="000000" w:themeColor="text1"/>
                      <w14:textFill>
                        <w14:solidFill>
                          <w14:schemeClr w14:val="tx1"/>
                        </w14:solidFill>
                      </w14:textFill>
                    </w:rPr>
                  </w:pPr>
                </w:p>
              </w:tc>
              <w:tc>
                <w:tcPr>
                  <w:tcW w:w="925" w:type="pct"/>
                  <w:vAlign w:val="center"/>
                </w:tcPr>
                <w:p w14:paraId="4EB3D81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生态功能区</w:t>
                  </w:r>
                </w:p>
              </w:tc>
              <w:tc>
                <w:tcPr>
                  <w:tcW w:w="3510" w:type="pct"/>
                  <w:vAlign w:val="center"/>
                </w:tcPr>
                <w:p w14:paraId="6475DA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28阜康—木垒绿洲农业、荒漠草地保护生态功能区</w:t>
                  </w:r>
                </w:p>
              </w:tc>
            </w:tr>
            <w:tr w14:paraId="0CE4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6169C5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隶属行政区</w:t>
                  </w:r>
                </w:p>
              </w:tc>
              <w:tc>
                <w:tcPr>
                  <w:tcW w:w="3510" w:type="pct"/>
                  <w:vAlign w:val="center"/>
                </w:tcPr>
                <w:p w14:paraId="31CC7D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阜康市、吉木萨尔县、奇台县、木垒县</w:t>
                  </w:r>
                </w:p>
              </w:tc>
            </w:tr>
            <w:tr w14:paraId="6A63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2D7D316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主要生态服务功能</w:t>
                  </w:r>
                </w:p>
              </w:tc>
              <w:tc>
                <w:tcPr>
                  <w:tcW w:w="3510" w:type="pct"/>
                  <w:vAlign w:val="center"/>
                </w:tcPr>
                <w:p w14:paraId="36DD7F2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农牧业产品生产、人居环境、荒漠化控制</w:t>
                  </w:r>
                </w:p>
              </w:tc>
            </w:tr>
            <w:tr w14:paraId="37A1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192AD7A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主要生态环境问题</w:t>
                  </w:r>
                </w:p>
              </w:tc>
              <w:tc>
                <w:tcPr>
                  <w:tcW w:w="3510" w:type="pct"/>
                  <w:vAlign w:val="center"/>
                </w:tcPr>
                <w:p w14:paraId="1B9ED6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地下水超采、荒漠植被退化、沙漠化威胁、局部土壤盐渍化、河流萎缩、滥开荒地</w:t>
                  </w:r>
                </w:p>
              </w:tc>
            </w:tr>
            <w:tr w14:paraId="44AB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567BED1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生态敏感因子敏感程度</w:t>
                  </w:r>
                </w:p>
              </w:tc>
              <w:tc>
                <w:tcPr>
                  <w:tcW w:w="3510" w:type="pct"/>
                  <w:vAlign w:val="center"/>
                </w:tcPr>
                <w:p w14:paraId="6B44AC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生物多样性及其生境中度敏感，土壤侵蚀轻度敏感，土地沙漠化中度敏感，土壤盐渍化轻度敏感</w:t>
                  </w:r>
                </w:p>
              </w:tc>
            </w:tr>
            <w:tr w14:paraId="7F70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70D828E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主要保护目标</w:t>
                  </w:r>
                </w:p>
              </w:tc>
              <w:tc>
                <w:tcPr>
                  <w:tcW w:w="3510" w:type="pct"/>
                  <w:vAlign w:val="center"/>
                </w:tcPr>
                <w:p w14:paraId="2FA59C7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保护基本农田、保护荒漠植被、保护土壤环境质量</w:t>
                  </w:r>
                </w:p>
              </w:tc>
            </w:tr>
            <w:tr w14:paraId="1224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264E44C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主要保护措施</w:t>
                  </w:r>
                </w:p>
              </w:tc>
              <w:tc>
                <w:tcPr>
                  <w:tcW w:w="3510" w:type="pct"/>
                  <w:vAlign w:val="center"/>
                </w:tcPr>
                <w:p w14:paraId="23B281A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节水灌溉、草场休牧、对坡耕地和沙化土地实施退耕还林（草），在水源无保障、植被稀少、生态脆弱地带禁止开荒、加强农田投入品的使用管理</w:t>
                  </w:r>
                </w:p>
              </w:tc>
            </w:tr>
            <w:tr w14:paraId="72C4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2A3E6B1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适宜发展方向</w:t>
                  </w:r>
                </w:p>
              </w:tc>
              <w:tc>
                <w:tcPr>
                  <w:tcW w:w="3510" w:type="pct"/>
                  <w:vAlign w:val="center"/>
                </w:tcPr>
                <w:p w14:paraId="379F3BC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农牧结合，发展优质、高效特色农业和畜牧业</w:t>
                  </w:r>
                </w:p>
              </w:tc>
            </w:tr>
          </w:tbl>
          <w:p w14:paraId="6BC8CAF7">
            <w:pPr>
              <w:pStyle w:val="32"/>
              <w:rPr>
                <w:rFonts w:ascii="Times New Roman" w:hAnsi="Times New Roman"/>
                <w:color w:val="000000" w:themeColor="text1"/>
                <w:sz w:val="24"/>
                <w:szCs w:val="24"/>
                <w14:textFill>
                  <w14:solidFill>
                    <w14:schemeClr w14:val="tx1"/>
                  </w14:solidFill>
                </w14:textFill>
              </w:rPr>
            </w:pPr>
            <w:r>
              <w:rPr>
                <w:color w:val="000000" w:themeColor="text1"/>
                <w:sz w:val="24"/>
                <w14:textFill>
                  <w14:solidFill>
                    <w14:schemeClr w14:val="tx1"/>
                  </w14:solidFill>
                </w14:textFill>
              </w:rPr>
              <w:t>本项目为</w:t>
            </w:r>
            <w:r>
              <w:rPr>
                <w:rFonts w:hint="eastAsia"/>
                <w:color w:val="000000" w:themeColor="text1"/>
                <w:sz w:val="24"/>
                <w14:textFill>
                  <w14:solidFill>
                    <w14:schemeClr w14:val="tx1"/>
                  </w14:solidFill>
                </w14:textFill>
              </w:rPr>
              <w:t>预探井</w:t>
            </w:r>
            <w:r>
              <w:rPr>
                <w:color w:val="000000" w:themeColor="text1"/>
                <w:sz w:val="24"/>
                <w14:textFill>
                  <w14:solidFill>
                    <w14:schemeClr w14:val="tx1"/>
                  </w14:solidFill>
                </w14:textFill>
              </w:rPr>
              <w:t>建设工程，项目只有钻井期、试油期，不涉及运营期环境影响；项目建设占用的土地资源相对区域资源利用较少，且为临时用地；项目</w:t>
            </w:r>
            <w:r>
              <w:rPr>
                <w:rFonts w:hint="eastAsia"/>
                <w:color w:val="000000" w:themeColor="text1"/>
                <w:sz w:val="24"/>
                <w14:textFill>
                  <w14:solidFill>
                    <w14:schemeClr w14:val="tx1"/>
                  </w14:solidFill>
                </w14:textFill>
              </w:rPr>
              <w:t>单井</w:t>
            </w:r>
            <w:r>
              <w:rPr>
                <w:color w:val="000000" w:themeColor="text1"/>
                <w:sz w:val="24"/>
                <w14:textFill>
                  <w14:solidFill>
                    <w14:schemeClr w14:val="tx1"/>
                  </w14:solidFill>
                </w14:textFill>
              </w:rPr>
              <w:t>施工期较短，</w:t>
            </w:r>
            <w:r>
              <w:rPr>
                <w:rFonts w:hint="eastAsia"/>
                <w:color w:val="000000" w:themeColor="text1"/>
                <w:sz w:val="24"/>
                <w14:textFill>
                  <w14:solidFill>
                    <w14:schemeClr w14:val="tx1"/>
                  </w14:solidFill>
                </w14:textFill>
              </w:rPr>
              <w:t>单井</w:t>
            </w:r>
            <w:r>
              <w:rPr>
                <w:color w:val="000000" w:themeColor="text1"/>
                <w:sz w:val="24"/>
                <w14:textFill>
                  <w14:solidFill>
                    <w14:schemeClr w14:val="tx1"/>
                  </w14:solidFill>
                </w14:textFill>
              </w:rPr>
              <w:t>水、柴油等资源消耗量较少，不涉及地下水的开采活动。采取一定的环保措施后，项目产生的废气、废水、噪声等对环境影响较小。项目建设符合《新疆生态功能区划》相关要求。</w:t>
            </w:r>
          </w:p>
          <w:p w14:paraId="111F608B">
            <w:pPr>
              <w:pStyle w:val="3"/>
              <w:ind w:firstLine="480"/>
              <w:rPr>
                <w:color w:val="000000" w:themeColor="text1"/>
                <w14:textFill>
                  <w14:solidFill>
                    <w14:schemeClr w14:val="tx1"/>
                  </w14:solidFill>
                </w14:textFill>
              </w:rPr>
            </w:pPr>
            <w:r>
              <w:rPr>
                <w:b w:val="0"/>
                <w:color w:val="000000" w:themeColor="text1"/>
                <w:kern w:val="0"/>
                <w:szCs w:val="24"/>
                <w14:textFill>
                  <w14:solidFill>
                    <w14:schemeClr w14:val="tx1"/>
                  </w14:solidFill>
                </w14:textFill>
              </w:rPr>
              <w:t>（2）新疆维吾尔自治区主体功能区规划</w:t>
            </w:r>
          </w:p>
          <w:p w14:paraId="7BC75CE1">
            <w:pPr>
              <w:widowControl/>
              <w:ind w:firstLine="480"/>
              <w:rPr>
                <w:color w:val="000000" w:themeColor="text1"/>
                <w:kern w:val="0"/>
                <w:lang w:bidi="ar"/>
                <w14:textFill>
                  <w14:solidFill>
                    <w14:schemeClr w14:val="tx1"/>
                  </w14:solidFill>
                </w14:textFill>
              </w:rPr>
            </w:pPr>
            <w:r>
              <w:rPr>
                <w:color w:val="000000" w:themeColor="text1"/>
                <w:kern w:val="0"/>
                <w:lang w:bidi="ar"/>
                <w14:textFill>
                  <w14:solidFill>
                    <w14:schemeClr w14:val="tx1"/>
                  </w14:solidFill>
                </w14:textFill>
              </w:rPr>
              <w:t>根据《新疆维吾尔自治区主体功能区规划》，将新疆分为以下主体功能区：按开发方式，分为优化开发区域、重点开发区域、限制开发区域和禁止开发区域四类；按开发内容，分为城市化地区、农产品主产区和重点生态功能区三类；按层级，分为国家和省级两个层面。新疆重点开发区包括国家级重点开发区域和自治区级重点开发区域。</w:t>
            </w:r>
            <w:r>
              <w:rPr>
                <w:rFonts w:hint="eastAsia"/>
                <w:color w:val="000000" w:themeColor="text1"/>
                <w:kern w:val="0"/>
                <w:lang w:bidi="ar"/>
                <w14:textFill>
                  <w14:solidFill>
                    <w14:schemeClr w14:val="tx1"/>
                  </w14:solidFill>
                </w14:textFill>
              </w:rPr>
              <w:t>奇台县</w:t>
            </w:r>
            <w:r>
              <w:rPr>
                <w:color w:val="000000" w:themeColor="text1"/>
                <w:kern w:val="0"/>
                <w:lang w:bidi="ar"/>
                <w14:textFill>
                  <w14:solidFill>
                    <w14:schemeClr w14:val="tx1"/>
                  </w14:solidFill>
                </w14:textFill>
              </w:rPr>
              <w:t>属于</w:t>
            </w:r>
            <w:r>
              <w:rPr>
                <w:rFonts w:hint="eastAsia"/>
                <w:color w:val="000000" w:themeColor="text1"/>
                <w:kern w:val="0"/>
                <w:lang w:bidi="ar"/>
                <w14:textFill>
                  <w14:solidFill>
                    <w14:schemeClr w14:val="tx1"/>
                  </w14:solidFill>
                </w14:textFill>
              </w:rPr>
              <w:t>国家级农产品主产区</w:t>
            </w:r>
            <w:r>
              <w:rPr>
                <w:color w:val="000000" w:themeColor="text1"/>
                <w:kern w:val="0"/>
                <w:lang w:bidi="ar"/>
                <w14:textFill>
                  <w14:solidFill>
                    <w14:schemeClr w14:val="tx1"/>
                  </w14:solidFill>
                </w14:textFill>
              </w:rPr>
              <w:t>。</w:t>
            </w:r>
          </w:p>
          <w:p w14:paraId="2A432045">
            <w:pPr>
              <w:widowControl/>
              <w:ind w:firstLine="480"/>
              <w:rPr>
                <w:color w:val="000000" w:themeColor="text1"/>
                <w:kern w:val="0"/>
                <w:lang w:bidi="ar"/>
                <w14:textFill>
                  <w14:solidFill>
                    <w14:schemeClr w14:val="tx1"/>
                  </w14:solidFill>
                </w14:textFill>
              </w:rPr>
            </w:pPr>
            <w:r>
              <w:rPr>
                <w:rFonts w:hint="eastAsia"/>
                <w:color w:val="000000" w:themeColor="text1"/>
                <w:kern w:val="0"/>
                <w:lang w:bidi="ar"/>
                <w14:textFill>
                  <w14:solidFill>
                    <w14:schemeClr w14:val="tx1"/>
                  </w14:solidFill>
                </w14:textFill>
              </w:rPr>
              <w:t>新疆国家级农产品主产区（天山北坡主产区）涉及</w:t>
            </w:r>
            <w:r>
              <w:rPr>
                <w:color w:val="000000" w:themeColor="text1"/>
                <w:kern w:val="0"/>
                <w:lang w:bidi="ar"/>
                <w14:textFill>
                  <w14:solidFill>
                    <w14:schemeClr w14:val="tx1"/>
                  </w14:solidFill>
                </w14:textFill>
              </w:rPr>
              <w:t>13</w:t>
            </w:r>
            <w:r>
              <w:rPr>
                <w:rFonts w:hint="eastAsia"/>
                <w:color w:val="000000" w:themeColor="text1"/>
                <w:kern w:val="0"/>
                <w:lang w:bidi="ar"/>
                <w14:textFill>
                  <w14:solidFill>
                    <w14:schemeClr w14:val="tx1"/>
                  </w14:solidFill>
                </w14:textFill>
              </w:rPr>
              <w:t>个县市，这些农产品主产区县市的城区或城关镇及其境内的重要工业园区是国家级重点开发区域，但这些县市以享受国家农产品主产区的政策为主。</w:t>
            </w:r>
          </w:p>
          <w:p w14:paraId="6C39CCB5">
            <w:pPr>
              <w:widowControl/>
              <w:ind w:firstLine="480"/>
              <w:rPr>
                <w:color w:val="000000" w:themeColor="text1"/>
                <w:kern w:val="0"/>
                <w:lang w:bidi="ar"/>
                <w14:textFill>
                  <w14:solidFill>
                    <w14:schemeClr w14:val="tx1"/>
                  </w14:solidFill>
                </w14:textFill>
              </w:rPr>
            </w:pPr>
            <w:r>
              <w:rPr>
                <w:rFonts w:hint="eastAsia"/>
                <w:color w:val="000000" w:themeColor="text1"/>
                <w:kern w:val="0"/>
                <w:lang w:bidi="ar"/>
                <w14:textFill>
                  <w14:solidFill>
                    <w14:schemeClr w14:val="tx1"/>
                  </w14:solidFill>
                </w14:textFill>
              </w:rPr>
              <w:t>重点开发区域的功能定位是：支撑新疆经济增长的重要增长极，落实区域发展总体战略、促进区域协调发展的重要支撑点，新疆重要的人口和经济密集区。新疆农产品主产区的功能定位是：保障农牧产品供给安全的重要区域，农牧民安居乐业的美好家园，社会主义新农村建设的示范区；农产品主产区发展方向和开发原则还包括：位于农产品主产区的点状能源和矿产资源基地建设，必须进行生态环境影响评估，并尽可能减少对生态空间与农业空间的占用，同步修复生态环境。其中，在水资源严重短缺、环境容量很小、生态十分脆弱、地震和地质灾害频发的地区，要严格控制能源和矿产资源开发。</w:t>
            </w:r>
          </w:p>
          <w:p w14:paraId="006F2D33">
            <w:pPr>
              <w:widowControl/>
              <w:ind w:firstLine="480"/>
              <w:rPr>
                <w:color w:val="000000" w:themeColor="text1"/>
                <w14:textFill>
                  <w14:solidFill>
                    <w14:schemeClr w14:val="tx1"/>
                  </w14:solidFill>
                </w14:textFill>
              </w:rPr>
            </w:pPr>
            <w:r>
              <w:rPr>
                <w:rFonts w:hint="eastAsia"/>
                <w:color w:val="000000" w:themeColor="text1"/>
                <w:kern w:val="0"/>
                <w:lang w:bidi="ar"/>
                <w14:textFill>
                  <w14:solidFill>
                    <w14:schemeClr w14:val="tx1"/>
                  </w14:solidFill>
                </w14:textFill>
              </w:rPr>
              <w:t>本项目为油气资源勘探项目，项目的建设有利于提高油气资源的安全供应能力和开发利用水平，支撑地区经济，</w:t>
            </w:r>
            <w:r>
              <w:rPr>
                <w:color w:val="000000" w:themeColor="text1"/>
                <w:kern w:val="0"/>
                <w:lang w:bidi="ar"/>
                <w14:textFill>
                  <w14:solidFill>
                    <w14:schemeClr w14:val="tx1"/>
                  </w14:solidFill>
                </w14:textFill>
              </w:rPr>
              <w:t>项目建设与《新疆维吾尔自治区主体功能区规划》相符合。</w:t>
            </w:r>
          </w:p>
          <w:p w14:paraId="4425B14E">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1.2 植被调查</w:t>
            </w:r>
          </w:p>
          <w:p w14:paraId="750FC484">
            <w:pPr>
              <w:ind w:firstLine="48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本项目评价范围</w:t>
            </w:r>
            <w:r>
              <w:rPr>
                <w:bCs/>
                <w:color w:val="000000" w:themeColor="text1"/>
                <w14:textFill>
                  <w14:solidFill>
                    <w14:schemeClr w14:val="tx1"/>
                  </w14:solidFill>
                </w14:textFill>
              </w:rPr>
              <w:t>1km</w:t>
            </w:r>
            <w:r>
              <w:rPr>
                <w:rFonts w:hint="eastAsia"/>
                <w:bCs/>
                <w:color w:val="000000" w:themeColor="text1"/>
                <w14:textFill>
                  <w14:solidFill>
                    <w14:schemeClr w14:val="tx1"/>
                  </w14:solidFill>
                </w14:textFill>
              </w:rPr>
              <w:t>内周边生态系统主要为农田生态系统和荒漠生态系统。主要植被类型为荒漠植被，按中国植被自然地理区划划分，项目所在区域属新疆荒漠区、北疆荒漠亚区、准噶尔荒漠省、准噶尔荒漠亚省、乌苏</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奇台州。</w:t>
            </w:r>
          </w:p>
          <w:p w14:paraId="78F2F6AF">
            <w:pPr>
              <w:ind w:firstLine="48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项目所在区在植被类型上属荒漠，</w:t>
            </w:r>
            <w:r>
              <w:rPr>
                <w:rFonts w:hint="eastAsia"/>
                <w:bCs/>
                <w:color w:val="000000" w:themeColor="text1"/>
                <w:lang w:val="en-US" w:eastAsia="zh-CN"/>
                <w14:textFill>
                  <w14:solidFill>
                    <w14:schemeClr w14:val="tx1"/>
                  </w14:solidFill>
                </w14:textFill>
              </w:rPr>
              <w:t>植被群系为驼绒藜、沙漠娟蒿群系，建群种为驼绒藜、沙漠娟蒿，伴生种为</w:t>
            </w:r>
            <w:r>
              <w:rPr>
                <w:rFonts w:hint="eastAsia"/>
                <w:bCs/>
                <w:color w:val="000000" w:themeColor="text1"/>
                <w14:textFill>
                  <w14:solidFill>
                    <w14:schemeClr w14:val="tx1"/>
                  </w14:solidFill>
                </w14:textFill>
              </w:rPr>
              <w:t>骆驼蓬、欧洲山杨、伊犁小檗、多枝柽柳、芨芨草、琵琶柴、短叶假木贼</w:t>
            </w:r>
            <w:r>
              <w:rPr>
                <w:rFonts w:hint="eastAsia"/>
                <w:bCs/>
                <w:color w:val="000000" w:themeColor="text1"/>
                <w:lang w:val="en-US" w:eastAsia="zh-CN"/>
                <w14:textFill>
                  <w14:solidFill>
                    <w14:schemeClr w14:val="tx1"/>
                  </w14:solidFill>
                </w14:textFill>
              </w:rPr>
              <w:t>等</w:t>
            </w:r>
            <w:r>
              <w:rPr>
                <w:rFonts w:hint="eastAsia"/>
                <w:bCs/>
                <w:color w:val="000000" w:themeColor="text1"/>
                <w14:textFill>
                  <w14:solidFill>
                    <w14:schemeClr w14:val="tx1"/>
                  </w14:solidFill>
                </w14:textFill>
              </w:rPr>
              <w:t>，区域植被覆盖度在</w:t>
            </w:r>
            <w:r>
              <w:rPr>
                <w:bCs/>
                <w:color w:val="000000" w:themeColor="text1"/>
                <w14:textFill>
                  <w14:solidFill>
                    <w14:schemeClr w14:val="tx1"/>
                  </w14:solidFill>
                </w14:textFill>
              </w:rPr>
              <w:t>10%</w:t>
            </w:r>
            <w:r>
              <w:rPr>
                <w:rFonts w:hint="eastAsia"/>
                <w:bCs/>
                <w:color w:val="000000" w:themeColor="text1"/>
                <w14:textFill>
                  <w14:solidFill>
                    <w14:schemeClr w14:val="tx1"/>
                  </w14:solidFill>
                </w14:textFill>
              </w:rPr>
              <w:t>左右，视地貌部位变化而异。</w:t>
            </w:r>
          </w:p>
          <w:p w14:paraId="1BEE85CC">
            <w:pPr>
              <w:ind w:firstLine="480"/>
              <w:rPr>
                <w:rFonts w:hint="default" w:eastAsia="宋体"/>
                <w:bCs/>
                <w:color w:val="000000" w:themeColor="text1"/>
                <w:lang w:val="en-US" w:eastAsia="zh-CN"/>
                <w14:textFill>
                  <w14:solidFill>
                    <w14:schemeClr w14:val="tx1"/>
                  </w14:solidFill>
                </w14:textFill>
              </w:rPr>
            </w:pPr>
            <w:r>
              <w:rPr>
                <w:rFonts w:hint="eastAsia" w:ascii="宋体" w:hAnsi="宋体" w:cs="宋体"/>
                <w:color w:val="000000" w:themeColor="text1"/>
                <w:kern w:val="0"/>
                <w14:textFill>
                  <w14:solidFill>
                    <w14:schemeClr w14:val="tx1"/>
                  </w14:solidFill>
                </w14:textFill>
              </w:rPr>
              <w:t>根据</w:t>
            </w:r>
            <w:r>
              <w:rPr>
                <w:rFonts w:hint="eastAsia"/>
                <w:color w:val="000000" w:themeColor="text1"/>
                <w:kern w:val="0"/>
                <w:lang w:bidi="ar"/>
                <w14:textFill>
                  <w14:solidFill>
                    <w14:schemeClr w14:val="tx1"/>
                  </w14:solidFill>
                </w14:textFill>
              </w:rPr>
              <w:t>《国家重点保护野生植物名录》（2021年）、《新疆国家重点保护野生植物名录》（2022年）、《新疆维吾尔自治区重点保护野生植物名录》（2024年），</w:t>
            </w:r>
            <w:r>
              <w:rPr>
                <w:rFonts w:hint="eastAsia"/>
                <w:color w:val="000000" w:themeColor="text1"/>
                <w14:textFill>
                  <w14:solidFill>
                    <w14:schemeClr w14:val="tx1"/>
                  </w14:solidFill>
                </w14:textFill>
              </w:rPr>
              <w:t>项目区无国家及自治区级重点保护野生植物。</w:t>
            </w:r>
          </w:p>
          <w:p w14:paraId="288F9E14">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1.3 野生动物现状调查与评价</w:t>
            </w:r>
          </w:p>
          <w:p w14:paraId="28B03D3C">
            <w:pPr>
              <w:ind w:firstLine="480"/>
              <w:rPr>
                <w:bCs/>
                <w:color w:val="000000" w:themeColor="text1"/>
                <w14:textFill>
                  <w14:solidFill>
                    <w14:schemeClr w14:val="tx1"/>
                  </w14:solidFill>
                </w14:textFill>
              </w:rPr>
            </w:pPr>
            <w:r>
              <w:rPr>
                <w:bCs/>
                <w:color w:val="000000" w:themeColor="text1"/>
                <w14:textFill>
                  <w14:solidFill>
                    <w14:schemeClr w14:val="tx1"/>
                  </w14:solidFill>
                </w14:textFill>
              </w:rPr>
              <w:t>按中国动物地理区划的分级标准，项目区属古北界、中亚亚界、蒙新区、西部荒漠亚区、准噶尔盆地小区。</w:t>
            </w:r>
            <w:r>
              <w:rPr>
                <w:rFonts w:hint="eastAsia"/>
                <w:bCs/>
                <w:color w:val="000000" w:themeColor="text1"/>
                <w14:textFill>
                  <w14:solidFill>
                    <w14:schemeClr w14:val="tx1"/>
                  </w14:solidFill>
                </w14:textFill>
              </w:rPr>
              <w:t>因该区域地处准噶尔盆地东南缘，气候干燥，野生动物的栖息生境极为单一。本项目区域常见啮齿类、爬行类、鸟类等动物，对照《国家重点保护野生动物名录》（</w:t>
            </w:r>
            <w:r>
              <w:rPr>
                <w:bCs/>
                <w:color w:val="000000" w:themeColor="text1"/>
                <w14:textFill>
                  <w14:solidFill>
                    <w14:schemeClr w14:val="tx1"/>
                  </w14:solidFill>
                </w14:textFill>
              </w:rPr>
              <w:t>2021</w:t>
            </w:r>
            <w:r>
              <w:rPr>
                <w:rFonts w:hint="eastAsia"/>
                <w:bCs/>
                <w:color w:val="000000" w:themeColor="text1"/>
                <w14:textFill>
                  <w14:solidFill>
                    <w14:schemeClr w14:val="tx1"/>
                  </w14:solidFill>
                </w14:textFill>
              </w:rPr>
              <w:t>版）、国家林业和草原局公告《陆生野生动物重要栖息地名录（第一批）》（</w:t>
            </w:r>
            <w:r>
              <w:rPr>
                <w:bCs/>
                <w:color w:val="000000" w:themeColor="text1"/>
                <w14:textFill>
                  <w14:solidFill>
                    <w14:schemeClr w14:val="tx1"/>
                  </w14:solidFill>
                </w14:textFill>
              </w:rPr>
              <w:t>2023</w:t>
            </w:r>
            <w:r>
              <w:rPr>
                <w:rFonts w:hint="eastAsia"/>
                <w:bCs/>
                <w:color w:val="000000" w:themeColor="text1"/>
                <w14:textFill>
                  <w14:solidFill>
                    <w14:schemeClr w14:val="tx1"/>
                  </w14:solidFill>
                </w14:textFill>
              </w:rPr>
              <w:t>年第</w:t>
            </w:r>
            <w:r>
              <w:rPr>
                <w:bCs/>
                <w:color w:val="000000" w:themeColor="text1"/>
                <w14:textFill>
                  <w14:solidFill>
                    <w14:schemeClr w14:val="tx1"/>
                  </w14:solidFill>
                </w14:textFill>
              </w:rPr>
              <w:t>23</w:t>
            </w:r>
            <w:r>
              <w:rPr>
                <w:rFonts w:hint="eastAsia"/>
                <w:bCs/>
                <w:color w:val="000000" w:themeColor="text1"/>
                <w14:textFill>
                  <w14:solidFill>
                    <w14:schemeClr w14:val="tx1"/>
                  </w14:solidFill>
                </w14:textFill>
              </w:rPr>
              <w:t>号）及自治区人民政府《关于发布新疆维吾尔自治区重点保护野生动物名录（修订）的通知》（新政发〔</w:t>
            </w:r>
            <w:r>
              <w:rPr>
                <w:bCs/>
                <w:color w:val="000000" w:themeColor="text1"/>
                <w14:textFill>
                  <w14:solidFill>
                    <w14:schemeClr w14:val="tx1"/>
                  </w14:solidFill>
                </w14:textFill>
              </w:rPr>
              <w:t>2022</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75</w:t>
            </w:r>
            <w:r>
              <w:rPr>
                <w:rFonts w:hint="eastAsia"/>
                <w:bCs/>
                <w:color w:val="000000" w:themeColor="text1"/>
                <w14:textFill>
                  <w14:solidFill>
                    <w14:schemeClr w14:val="tx1"/>
                  </w14:solidFill>
                </w14:textFill>
              </w:rPr>
              <w:t>号），未发现以上《名录》中重点保护野生动物和陆生野生动物重要栖息地。区域主要野生动物种类及分布情况见表</w:t>
            </w:r>
            <w:r>
              <w:rPr>
                <w:bCs/>
                <w:color w:val="000000" w:themeColor="text1"/>
                <w14:textFill>
                  <w14:solidFill>
                    <w14:schemeClr w14:val="tx1"/>
                  </w14:solidFill>
                </w14:textFill>
              </w:rPr>
              <w:t>3-2</w:t>
            </w:r>
            <w:r>
              <w:rPr>
                <w:rFonts w:hint="eastAsia"/>
                <w:bCs/>
                <w:color w:val="000000" w:themeColor="text1"/>
                <w14:textFill>
                  <w14:solidFill>
                    <w14:schemeClr w14:val="tx1"/>
                  </w14:solidFill>
                </w14:textFill>
              </w:rPr>
              <w:t>。</w:t>
            </w:r>
          </w:p>
          <w:p w14:paraId="0C29E3B8">
            <w:pPr>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 xml:space="preserve">表3-2 </w:t>
            </w:r>
            <w:r>
              <w:rPr>
                <w:rFonts w:hint="eastAsia"/>
                <w:b/>
                <w:color w:val="000000" w:themeColor="text1"/>
                <w:sz w:val="21"/>
                <w:szCs w:val="21"/>
                <w14:textFill>
                  <w14:solidFill>
                    <w14:schemeClr w14:val="tx1"/>
                  </w14:solidFill>
                </w14:textFill>
              </w:rPr>
              <w:t xml:space="preserve"> </w:t>
            </w:r>
            <w:r>
              <w:rPr>
                <w:b/>
                <w:color w:val="000000" w:themeColor="text1"/>
                <w:sz w:val="21"/>
                <w:szCs w:val="21"/>
                <w14:textFill>
                  <w14:solidFill>
                    <w14:schemeClr w14:val="tx1"/>
                  </w14:solidFill>
                </w14:textFill>
              </w:rPr>
              <w:t>评价区域内主要野生动物及分布情况一览表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604"/>
              <w:gridCol w:w="2849"/>
              <w:gridCol w:w="1411"/>
              <w:gridCol w:w="1411"/>
            </w:tblGrid>
            <w:tr w14:paraId="204F5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restart"/>
                  <w:vAlign w:val="center"/>
                </w:tcPr>
                <w:p w14:paraId="3E11B0CF">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序号</w:t>
                  </w:r>
                </w:p>
              </w:tc>
              <w:tc>
                <w:tcPr>
                  <w:tcW w:w="1604" w:type="dxa"/>
                  <w:vMerge w:val="restart"/>
                  <w:vAlign w:val="center"/>
                </w:tcPr>
                <w:p w14:paraId="47B8BA0F">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中名</w:t>
                  </w:r>
                </w:p>
              </w:tc>
              <w:tc>
                <w:tcPr>
                  <w:tcW w:w="2849" w:type="dxa"/>
                  <w:vMerge w:val="restart"/>
                  <w:vAlign w:val="center"/>
                </w:tcPr>
                <w:p w14:paraId="14C6A885">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学名</w:t>
                  </w:r>
                </w:p>
              </w:tc>
              <w:tc>
                <w:tcPr>
                  <w:tcW w:w="2822" w:type="dxa"/>
                  <w:gridSpan w:val="2"/>
                  <w:vAlign w:val="center"/>
                </w:tcPr>
                <w:p w14:paraId="243BAC57">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分布</w:t>
                  </w:r>
                </w:p>
              </w:tc>
            </w:tr>
            <w:tr w14:paraId="1CCF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14:paraId="1FD6CC8C">
                  <w:pPr>
                    <w:spacing w:line="240" w:lineRule="auto"/>
                    <w:ind w:firstLine="0" w:firstLineChars="0"/>
                    <w:jc w:val="center"/>
                    <w:rPr>
                      <w:b/>
                      <w:color w:val="000000" w:themeColor="text1"/>
                      <w:sz w:val="21"/>
                      <w:szCs w:val="21"/>
                      <w14:textFill>
                        <w14:solidFill>
                          <w14:schemeClr w14:val="tx1"/>
                        </w14:solidFill>
                      </w14:textFill>
                    </w:rPr>
                  </w:pPr>
                </w:p>
              </w:tc>
              <w:tc>
                <w:tcPr>
                  <w:tcW w:w="1604" w:type="dxa"/>
                  <w:vMerge w:val="continue"/>
                  <w:vAlign w:val="center"/>
                </w:tcPr>
                <w:p w14:paraId="0E71CB76">
                  <w:pPr>
                    <w:spacing w:line="240" w:lineRule="auto"/>
                    <w:ind w:firstLine="0" w:firstLineChars="0"/>
                    <w:jc w:val="center"/>
                    <w:rPr>
                      <w:b/>
                      <w:color w:val="000000" w:themeColor="text1"/>
                      <w:sz w:val="21"/>
                      <w:szCs w:val="21"/>
                      <w14:textFill>
                        <w14:solidFill>
                          <w14:schemeClr w14:val="tx1"/>
                        </w14:solidFill>
                      </w14:textFill>
                    </w:rPr>
                  </w:pPr>
                </w:p>
              </w:tc>
              <w:tc>
                <w:tcPr>
                  <w:tcW w:w="2849" w:type="dxa"/>
                  <w:vMerge w:val="continue"/>
                  <w:vAlign w:val="center"/>
                </w:tcPr>
                <w:p w14:paraId="3E9734F9">
                  <w:pPr>
                    <w:spacing w:line="240" w:lineRule="auto"/>
                    <w:ind w:firstLine="0" w:firstLineChars="0"/>
                    <w:jc w:val="center"/>
                    <w:rPr>
                      <w:b/>
                      <w:color w:val="000000" w:themeColor="text1"/>
                      <w:sz w:val="21"/>
                      <w:szCs w:val="21"/>
                      <w14:textFill>
                        <w14:solidFill>
                          <w14:schemeClr w14:val="tx1"/>
                        </w14:solidFill>
                      </w14:textFill>
                    </w:rPr>
                  </w:pPr>
                </w:p>
              </w:tc>
              <w:tc>
                <w:tcPr>
                  <w:tcW w:w="1411" w:type="dxa"/>
                  <w:vAlign w:val="center"/>
                </w:tcPr>
                <w:p w14:paraId="49D81CC2">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多见种</w:t>
                  </w:r>
                </w:p>
              </w:tc>
              <w:tc>
                <w:tcPr>
                  <w:tcW w:w="1411" w:type="dxa"/>
                  <w:vAlign w:val="center"/>
                </w:tcPr>
                <w:p w14:paraId="02D41253">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少见种</w:t>
                  </w:r>
                </w:p>
              </w:tc>
            </w:tr>
            <w:tr w14:paraId="663B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5" w:type="dxa"/>
                  <w:gridSpan w:val="5"/>
                  <w:vAlign w:val="center"/>
                </w:tcPr>
                <w:p w14:paraId="67BD5A38">
                  <w:pPr>
                    <w:spacing w:line="240" w:lineRule="auto"/>
                    <w:ind w:firstLine="0" w:firstLineChars="0"/>
                    <w:jc w:val="center"/>
                    <w:rPr>
                      <w:bC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爬行类（含两栖类）</w:t>
                  </w:r>
                </w:p>
              </w:tc>
            </w:tr>
            <w:tr w14:paraId="0AEA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0113EA9C">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1</w:t>
                  </w:r>
                </w:p>
              </w:tc>
              <w:tc>
                <w:tcPr>
                  <w:tcW w:w="1604" w:type="dxa"/>
                  <w:vAlign w:val="center"/>
                </w:tcPr>
                <w:p w14:paraId="741C07E9">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变色沙蜥</w:t>
                  </w:r>
                </w:p>
              </w:tc>
              <w:tc>
                <w:tcPr>
                  <w:tcW w:w="2849" w:type="dxa"/>
                  <w:vAlign w:val="center"/>
                </w:tcPr>
                <w:p w14:paraId="72685A0C">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i/>
                      <w:iCs/>
                      <w:color w:val="000000" w:themeColor="text1"/>
                      <w:sz w:val="21"/>
                      <w:szCs w:val="21"/>
                      <w14:textFill>
                        <w14:solidFill>
                          <w14:schemeClr w14:val="tx1"/>
                        </w14:solidFill>
                      </w14:textFill>
                    </w:rPr>
                    <w:t>Phrynocephalus Versicolor</w:t>
                  </w:r>
                </w:p>
              </w:tc>
              <w:tc>
                <w:tcPr>
                  <w:tcW w:w="1411" w:type="dxa"/>
                  <w:vAlign w:val="center"/>
                </w:tcPr>
                <w:p w14:paraId="28537306">
                  <w:pPr>
                    <w:spacing w:line="240" w:lineRule="auto"/>
                    <w:ind w:firstLine="0" w:firstLineChars="0"/>
                    <w:jc w:val="center"/>
                    <w:rPr>
                      <w:bCs/>
                      <w:color w:val="000000" w:themeColor="text1"/>
                      <w:sz w:val="21"/>
                      <w:szCs w:val="21"/>
                      <w14:textFill>
                        <w14:solidFill>
                          <w14:schemeClr w14:val="tx1"/>
                        </w14:solidFill>
                      </w14:textFill>
                    </w:rPr>
                  </w:pPr>
                </w:p>
              </w:tc>
              <w:tc>
                <w:tcPr>
                  <w:tcW w:w="1411" w:type="dxa"/>
                  <w:vAlign w:val="center"/>
                </w:tcPr>
                <w:p w14:paraId="24707FFA">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r>
            <w:tr w14:paraId="5094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5DBD5F13">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2</w:t>
                  </w:r>
                </w:p>
              </w:tc>
              <w:tc>
                <w:tcPr>
                  <w:tcW w:w="1604" w:type="dxa"/>
                  <w:vAlign w:val="center"/>
                </w:tcPr>
                <w:p w14:paraId="44F553A3">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快步麻蜥</w:t>
                  </w:r>
                </w:p>
              </w:tc>
              <w:tc>
                <w:tcPr>
                  <w:tcW w:w="2849" w:type="dxa"/>
                  <w:vAlign w:val="center"/>
                </w:tcPr>
                <w:p w14:paraId="12967819">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i/>
                      <w:iCs/>
                      <w:color w:val="000000" w:themeColor="text1"/>
                      <w:sz w:val="21"/>
                      <w:szCs w:val="21"/>
                      <w14:textFill>
                        <w14:solidFill>
                          <w14:schemeClr w14:val="tx1"/>
                        </w14:solidFill>
                      </w14:textFill>
                    </w:rPr>
                    <w:t>Eryxtataricus</w:t>
                  </w:r>
                </w:p>
              </w:tc>
              <w:tc>
                <w:tcPr>
                  <w:tcW w:w="1411" w:type="dxa"/>
                  <w:vAlign w:val="center"/>
                </w:tcPr>
                <w:p w14:paraId="318A0F6E">
                  <w:pPr>
                    <w:spacing w:line="240" w:lineRule="auto"/>
                    <w:ind w:firstLine="0" w:firstLineChars="0"/>
                    <w:jc w:val="center"/>
                    <w:rPr>
                      <w:bCs/>
                      <w:color w:val="000000" w:themeColor="text1"/>
                      <w:sz w:val="21"/>
                      <w:szCs w:val="21"/>
                      <w14:textFill>
                        <w14:solidFill>
                          <w14:schemeClr w14:val="tx1"/>
                        </w14:solidFill>
                      </w14:textFill>
                    </w:rPr>
                  </w:pPr>
                </w:p>
              </w:tc>
              <w:tc>
                <w:tcPr>
                  <w:tcW w:w="1411" w:type="dxa"/>
                  <w:vAlign w:val="center"/>
                </w:tcPr>
                <w:p w14:paraId="187EB938">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r>
            <w:tr w14:paraId="4C7D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5" w:type="dxa"/>
                  <w:gridSpan w:val="5"/>
                  <w:vAlign w:val="center"/>
                </w:tcPr>
                <w:p w14:paraId="645C8592">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啮齿类</w:t>
                  </w:r>
                </w:p>
              </w:tc>
            </w:tr>
            <w:tr w14:paraId="2ED1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7811BC4F">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3</w:t>
                  </w:r>
                </w:p>
              </w:tc>
              <w:tc>
                <w:tcPr>
                  <w:tcW w:w="1604" w:type="dxa"/>
                  <w:vAlign w:val="center"/>
                </w:tcPr>
                <w:p w14:paraId="5B720A40">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小五趾跳鼠</w:t>
                  </w:r>
                </w:p>
              </w:tc>
              <w:tc>
                <w:tcPr>
                  <w:tcW w:w="2849" w:type="dxa"/>
                  <w:vAlign w:val="center"/>
                </w:tcPr>
                <w:p w14:paraId="4100144A">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i/>
                      <w:iCs/>
                      <w:color w:val="000000" w:themeColor="text1"/>
                      <w:sz w:val="21"/>
                      <w:szCs w:val="21"/>
                      <w14:textFill>
                        <w14:solidFill>
                          <w14:schemeClr w14:val="tx1"/>
                        </w14:solidFill>
                      </w14:textFill>
                    </w:rPr>
                    <w:t>Allactageelater</w:t>
                  </w:r>
                </w:p>
              </w:tc>
              <w:tc>
                <w:tcPr>
                  <w:tcW w:w="1411" w:type="dxa"/>
                  <w:vAlign w:val="center"/>
                </w:tcPr>
                <w:p w14:paraId="3B1728F5">
                  <w:pPr>
                    <w:spacing w:line="240" w:lineRule="auto"/>
                    <w:ind w:firstLine="0" w:firstLineChars="0"/>
                    <w:jc w:val="center"/>
                    <w:rPr>
                      <w:bCs/>
                      <w:color w:val="000000" w:themeColor="text1"/>
                      <w:sz w:val="21"/>
                      <w:szCs w:val="21"/>
                      <w14:textFill>
                        <w14:solidFill>
                          <w14:schemeClr w14:val="tx1"/>
                        </w14:solidFill>
                      </w14:textFill>
                    </w:rPr>
                  </w:pPr>
                </w:p>
              </w:tc>
              <w:tc>
                <w:tcPr>
                  <w:tcW w:w="1411" w:type="dxa"/>
                  <w:vAlign w:val="center"/>
                </w:tcPr>
                <w:p w14:paraId="028B2330">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r>
            <w:tr w14:paraId="6959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397F9B62">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4</w:t>
                  </w:r>
                </w:p>
              </w:tc>
              <w:tc>
                <w:tcPr>
                  <w:tcW w:w="1604" w:type="dxa"/>
                  <w:vAlign w:val="center"/>
                </w:tcPr>
                <w:p w14:paraId="6F78CACD">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大沙鼠</w:t>
                  </w:r>
                </w:p>
              </w:tc>
              <w:tc>
                <w:tcPr>
                  <w:tcW w:w="2849" w:type="dxa"/>
                  <w:vAlign w:val="center"/>
                </w:tcPr>
                <w:p w14:paraId="08091043">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i/>
                      <w:iCs/>
                      <w:color w:val="000000" w:themeColor="text1"/>
                      <w:sz w:val="21"/>
                      <w:szCs w:val="21"/>
                      <w14:textFill>
                        <w14:solidFill>
                          <w14:schemeClr w14:val="tx1"/>
                        </w14:solidFill>
                      </w14:textFill>
                    </w:rPr>
                    <w:t>Rhombomysopimus</w:t>
                  </w:r>
                </w:p>
              </w:tc>
              <w:tc>
                <w:tcPr>
                  <w:tcW w:w="1411" w:type="dxa"/>
                  <w:vAlign w:val="center"/>
                </w:tcPr>
                <w:p w14:paraId="5EC1A27F">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c>
                <w:tcPr>
                  <w:tcW w:w="1411" w:type="dxa"/>
                  <w:vAlign w:val="center"/>
                </w:tcPr>
                <w:p w14:paraId="4583B8E7">
                  <w:pPr>
                    <w:spacing w:line="240" w:lineRule="auto"/>
                    <w:ind w:firstLine="0" w:firstLineChars="0"/>
                    <w:jc w:val="center"/>
                    <w:rPr>
                      <w:bCs/>
                      <w:color w:val="000000" w:themeColor="text1"/>
                      <w:sz w:val="21"/>
                      <w:szCs w:val="21"/>
                      <w14:textFill>
                        <w14:solidFill>
                          <w14:schemeClr w14:val="tx1"/>
                        </w14:solidFill>
                      </w14:textFill>
                    </w:rPr>
                  </w:pPr>
                </w:p>
              </w:tc>
            </w:tr>
            <w:tr w14:paraId="363E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2449C0A6">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5</w:t>
                  </w:r>
                </w:p>
              </w:tc>
              <w:tc>
                <w:tcPr>
                  <w:tcW w:w="1604" w:type="dxa"/>
                  <w:vAlign w:val="center"/>
                </w:tcPr>
                <w:p w14:paraId="3C705F2C">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子午沙鼠</w:t>
                  </w:r>
                </w:p>
              </w:tc>
              <w:tc>
                <w:tcPr>
                  <w:tcW w:w="2849" w:type="dxa"/>
                  <w:vAlign w:val="center"/>
                </w:tcPr>
                <w:p w14:paraId="3DFFDDAC">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i/>
                      <w:iCs/>
                      <w:color w:val="000000" w:themeColor="text1"/>
                      <w:sz w:val="21"/>
                      <w:szCs w:val="21"/>
                      <w14:textFill>
                        <w14:solidFill>
                          <w14:schemeClr w14:val="tx1"/>
                        </w14:solidFill>
                      </w14:textFill>
                    </w:rPr>
                    <w:t>Merionesmeridianus</w:t>
                  </w:r>
                </w:p>
              </w:tc>
              <w:tc>
                <w:tcPr>
                  <w:tcW w:w="1411" w:type="dxa"/>
                  <w:vAlign w:val="center"/>
                </w:tcPr>
                <w:p w14:paraId="1BE7DC4A">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c>
                <w:tcPr>
                  <w:tcW w:w="1411" w:type="dxa"/>
                  <w:vAlign w:val="center"/>
                </w:tcPr>
                <w:p w14:paraId="28FABD54">
                  <w:pPr>
                    <w:spacing w:line="240" w:lineRule="auto"/>
                    <w:ind w:firstLine="0" w:firstLineChars="0"/>
                    <w:jc w:val="center"/>
                    <w:rPr>
                      <w:bCs/>
                      <w:color w:val="000000" w:themeColor="text1"/>
                      <w:sz w:val="21"/>
                      <w:szCs w:val="21"/>
                      <w14:textFill>
                        <w14:solidFill>
                          <w14:schemeClr w14:val="tx1"/>
                        </w14:solidFill>
                      </w14:textFill>
                    </w:rPr>
                  </w:pPr>
                </w:p>
              </w:tc>
            </w:tr>
          </w:tbl>
          <w:p w14:paraId="05881EF2">
            <w:pPr>
              <w:ind w:firstLine="0" w:firstLineChars="0"/>
              <w:rPr>
                <w:color w:val="000000" w:themeColor="text1"/>
                <w14:textFill>
                  <w14:solidFill>
                    <w14:schemeClr w14:val="tx1"/>
                  </w14:solidFill>
                </w14:textFill>
              </w:rPr>
            </w:pPr>
            <w:r>
              <w:rPr>
                <w:rFonts w:hint="eastAsia"/>
                <w:bCs/>
                <w:color w:val="000000" w:themeColor="text1"/>
                <w:sz w:val="18"/>
                <w:szCs w:val="18"/>
                <w14:textFill>
                  <w14:solidFill>
                    <w14:schemeClr w14:val="tx1"/>
                  </w14:solidFill>
                </w14:textFill>
              </w:rPr>
              <w:t>注：</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多见，</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少见，</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偶见</w:t>
            </w:r>
          </w:p>
          <w:p w14:paraId="5217CE41">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1.4 土壤现状调查与评价</w:t>
            </w:r>
          </w:p>
          <w:p w14:paraId="33D98D4B">
            <w:pPr>
              <w:widowControl/>
              <w:overflowPunct w:val="0"/>
              <w:topLinePunct/>
              <w:ind w:firstLine="480"/>
              <w:jc w:val="left"/>
              <w:rPr>
                <w:rFonts w:hint="eastAsia"/>
                <w:color w:val="000000" w:themeColor="text1"/>
                <w:kern w:val="0"/>
                <w:lang w:val="en-US" w:eastAsia="zh-CN" w:bidi="ar"/>
                <w14:textFill>
                  <w14:solidFill>
                    <w14:schemeClr w14:val="tx1"/>
                  </w14:solidFill>
                </w14:textFill>
              </w:rPr>
            </w:pPr>
            <w:bookmarkStart w:id="8" w:name="_Hlk50733755"/>
            <w:r>
              <w:rPr>
                <w:color w:val="000000" w:themeColor="text1"/>
                <w:kern w:val="0"/>
                <w:lang w:bidi="ar"/>
                <w14:textFill>
                  <w14:solidFill>
                    <w14:schemeClr w14:val="tx1"/>
                  </w14:solidFill>
                </w14:textFill>
              </w:rPr>
              <w:t>项目区主要土壤类型为灰漠土。</w:t>
            </w:r>
          </w:p>
          <w:p w14:paraId="7650711F">
            <w:pPr>
              <w:widowControl/>
              <w:overflowPunct w:val="0"/>
              <w:topLinePunct/>
              <w:ind w:firstLine="480"/>
              <w:jc w:val="left"/>
              <w:rPr>
                <w:color w:val="000000" w:themeColor="text1"/>
                <w:kern w:val="0"/>
                <w:lang w:bidi="ar"/>
                <w14:textFill>
                  <w14:solidFill>
                    <w14:schemeClr w14:val="tx1"/>
                  </w14:solidFill>
                </w14:textFill>
              </w:rPr>
            </w:pPr>
            <w:r>
              <w:rPr>
                <w:color w:val="000000" w:themeColor="text1"/>
                <w:kern w:val="0"/>
                <w:lang w:bidi="ar"/>
                <w14:textFill>
                  <w14:solidFill>
                    <w14:schemeClr w14:val="tx1"/>
                  </w14:solidFill>
                </w14:textFill>
              </w:rPr>
              <w:t>灰漠土为温带干旱区地带性土壤，母质多为黄土状洪冲积物，剖面自上而下发育孔泡结皮层、片状鳞片状层、紧实黏化层、钙积石膏聚积层及母质层，质地以粉壤土、粉砂壤土为主，紧实黏化层黏粒含量显著高于上下土层；土壤容重偏大，紧实层可达1.50</w:t>
            </w:r>
            <w:r>
              <w:rPr>
                <w:rFonts w:hint="eastAsia"/>
                <w:color w:val="000000" w:themeColor="text1"/>
                <w:kern w:val="0"/>
                <w:lang w:bidi="ar"/>
                <w14:textFill>
                  <w14:solidFill>
                    <w14:schemeClr w14:val="tx1"/>
                  </w14:solidFill>
                </w14:textFill>
              </w:rPr>
              <w:t>~</w:t>
            </w:r>
            <w:r>
              <w:rPr>
                <w:color w:val="000000" w:themeColor="text1"/>
                <w:kern w:val="0"/>
                <w:lang w:bidi="ar"/>
                <w14:textFill>
                  <w14:solidFill>
                    <w14:schemeClr w14:val="tx1"/>
                  </w14:solidFill>
                </w14:textFill>
              </w:rPr>
              <w:t>1.75g/cm</w:t>
            </w:r>
            <w:r>
              <w:rPr>
                <w:color w:val="000000" w:themeColor="text1"/>
                <w:kern w:val="0"/>
                <w:vertAlign w:val="superscript"/>
                <w:lang w:bidi="ar"/>
                <w14:textFill>
                  <w14:solidFill>
                    <w14:schemeClr w14:val="tx1"/>
                  </w14:solidFill>
                </w14:textFill>
              </w:rPr>
              <w:t>3</w:t>
            </w:r>
            <w:r>
              <w:rPr>
                <w:color w:val="000000" w:themeColor="text1"/>
                <w:kern w:val="0"/>
                <w:lang w:bidi="ar"/>
                <w14:textFill>
                  <w14:solidFill>
                    <w14:schemeClr w14:val="tx1"/>
                  </w14:solidFill>
                </w14:textFill>
              </w:rPr>
              <w:t>，微孔隙占比高、透水通气性能较差，区域蒸发远大于降水，灌溉条件下易发生毛管上升返盐；土壤整体呈碱性至强碱性，pH值8.0～9.5，通体碳酸钙含量较高，30cm以下土层大量石膏与易溶盐淀积，部分土层存在碱化现象，阳离子交换量中等，黏土矿物以伊利石为主，风化程度微弱；土壤有机质含量整体偏低，表层有机质仅6</w:t>
            </w:r>
            <w:r>
              <w:rPr>
                <w:rFonts w:hint="eastAsia"/>
                <w:color w:val="000000" w:themeColor="text1"/>
                <w:kern w:val="0"/>
                <w:lang w:bidi="ar"/>
                <w14:textFill>
                  <w14:solidFill>
                    <w14:schemeClr w14:val="tx1"/>
                  </w14:solidFill>
                </w14:textFill>
              </w:rPr>
              <w:t>~</w:t>
            </w:r>
            <w:r>
              <w:rPr>
                <w:color w:val="000000" w:themeColor="text1"/>
                <w:kern w:val="0"/>
                <w:lang w:bidi="ar"/>
                <w14:textFill>
                  <w14:solidFill>
                    <w14:schemeClr w14:val="tx1"/>
                  </w14:solidFill>
                </w14:textFill>
              </w:rPr>
              <w:t>12g/kg，腐殖质富啡酸占比更高，土壤碱解氮、有效磷供给不足，速效钾相对丰富，受高pH、高钙环境影响，有效铁、锌、锰等微量元素普遍匮乏，存在表层结皮、中层板结、盐碱抑制、养分贫瘠等多重障碍，农业开发过程中易出现次生盐渍化问题。</w:t>
            </w:r>
          </w:p>
          <w:bookmarkEnd w:id="8"/>
          <w:p w14:paraId="0710A67B">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1.5 土地利用现状调查与评价</w:t>
            </w:r>
          </w:p>
          <w:p w14:paraId="24CF65AC">
            <w:pPr>
              <w:widowControl/>
              <w:ind w:firstLine="480"/>
              <w:jc w:val="left"/>
              <w:rPr>
                <w:color w:val="000000" w:themeColor="text1"/>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根据本项目的勘界结果，并参照《土地利用现状分类》（</w:t>
            </w:r>
            <w:r>
              <w:rPr>
                <w:color w:val="000000" w:themeColor="text1"/>
                <w:kern w:val="0"/>
                <w:lang w:bidi="ar"/>
                <w14:textFill>
                  <w14:solidFill>
                    <w14:schemeClr w14:val="tx1"/>
                  </w14:solidFill>
                </w14:textFill>
              </w:rPr>
              <w:t>GB/T 21010-2017</w:t>
            </w:r>
            <w:r>
              <w:rPr>
                <w:rFonts w:hint="eastAsia" w:ascii="宋体" w:hAnsi="宋体" w:cs="宋体"/>
                <w:color w:val="000000" w:themeColor="text1"/>
                <w:kern w:val="0"/>
                <w:lang w:bidi="ar"/>
                <w14:textFill>
                  <w14:solidFill>
                    <w14:schemeClr w14:val="tx1"/>
                  </w14:solidFill>
                </w14:textFill>
              </w:rPr>
              <w:t>），以确定本项目区域的土地利用类型。本项目所在区域土地利用类型为其他草地</w:t>
            </w:r>
            <w:r>
              <w:rPr>
                <w:rFonts w:hint="default" w:ascii="Times New Roman" w:hAnsi="Times New Roman" w:cs="Times New Roman"/>
                <w:color w:val="000000" w:themeColor="text1"/>
                <w:kern w:val="0"/>
                <w:lang w:val="en-US" w:eastAsia="zh-CN" w:bidi="ar"/>
                <w14:textFill>
                  <w14:solidFill>
                    <w14:schemeClr w14:val="tx1"/>
                  </w14:solidFill>
                </w14:textFill>
              </w:rPr>
              <w:t>。</w:t>
            </w:r>
            <w:r>
              <w:rPr>
                <w:rFonts w:eastAsia="瀹嬩綋"/>
                <w:color w:val="000000" w:themeColor="text1"/>
                <w:kern w:val="0"/>
                <w:lang w:bidi="ar"/>
                <w14:textFill>
                  <w14:solidFill>
                    <w14:schemeClr w14:val="tx1"/>
                  </w14:solidFill>
                </w14:textFill>
              </w:rPr>
              <w:t>土地现状以自然状态为主，呈典型的干旱荒漠</w:t>
            </w:r>
            <w:r>
              <w:rPr>
                <w:rFonts w:hint="eastAsia"/>
                <w:color w:val="000000" w:themeColor="text1"/>
                <w:kern w:val="0"/>
                <w:lang w:bidi="ar"/>
                <w14:textFill>
                  <w14:solidFill>
                    <w14:schemeClr w14:val="tx1"/>
                  </w14:solidFill>
                </w14:textFill>
              </w:rPr>
              <w:t>。</w:t>
            </w:r>
          </w:p>
          <w:p w14:paraId="437C38AC">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1.6 水土流失现状调查与评价</w:t>
            </w:r>
          </w:p>
          <w:p w14:paraId="0F96F960">
            <w:pPr>
              <w:pStyle w:val="40"/>
              <w:spacing w:after="0" w:line="360" w:lineRule="auto"/>
              <w:ind w:firstLine="480"/>
              <w:jc w:val="left"/>
              <w:rPr>
                <w:rFonts w:eastAsia="宋体"/>
                <w:bCs/>
                <w:color w:val="000000" w:themeColor="text1"/>
                <w:sz w:val="24"/>
                <w:szCs w:val="24"/>
                <w14:textFill>
                  <w14:solidFill>
                    <w14:schemeClr w14:val="tx1"/>
                  </w14:solidFill>
                </w14:textFill>
              </w:rPr>
            </w:pPr>
            <w:r>
              <w:rPr>
                <w:rFonts w:eastAsia="宋体"/>
                <w:bCs/>
                <w:color w:val="000000" w:themeColor="text1"/>
                <w:sz w:val="24"/>
                <w:szCs w:val="24"/>
                <w14:textFill>
                  <w14:solidFill>
                    <w14:schemeClr w14:val="tx1"/>
                  </w14:solidFill>
                </w14:textFill>
              </w:rPr>
              <w:t>根据新水水保〔2019〕号</w:t>
            </w:r>
            <w:r>
              <w:rPr>
                <w:rFonts w:hint="eastAsia" w:eastAsia="宋体"/>
                <w:bCs/>
                <w:color w:val="000000" w:themeColor="text1"/>
                <w:sz w:val="24"/>
                <w:szCs w:val="24"/>
                <w14:textFill>
                  <w14:solidFill>
                    <w14:schemeClr w14:val="tx1"/>
                  </w14:solidFill>
                </w14:textFill>
              </w:rPr>
              <w:t>文件可知：</w:t>
            </w:r>
            <w:r>
              <w:rPr>
                <w:rFonts w:eastAsia="宋体"/>
                <w:bCs/>
                <w:color w:val="000000" w:themeColor="text1"/>
                <w:sz w:val="24"/>
                <w:szCs w:val="24"/>
                <w14:textFill>
                  <w14:solidFill>
                    <w14:schemeClr w14:val="tx1"/>
                  </w14:solidFill>
                </w14:textFill>
              </w:rPr>
              <w:t>新疆共划分了2个自治区级重点预防区，4个自治区级重点治理区。</w:t>
            </w:r>
            <w:r>
              <w:rPr>
                <w:rFonts w:hint="eastAsia" w:eastAsia="宋体"/>
                <w:bCs/>
                <w:color w:val="000000" w:themeColor="text1"/>
                <w:sz w:val="24"/>
                <w:szCs w:val="24"/>
                <w14:textFill>
                  <w14:solidFill>
                    <w14:schemeClr w14:val="tx1"/>
                  </w14:solidFill>
                </w14:textFill>
              </w:rPr>
              <w:t>依据《昌吉州水土流失重点预防区和重点治理区划分成果》及《昌吉回族自治州两区划分图》可知，本项目不在昌吉回族自治州两区划分的水土流失预防区和治理区。</w:t>
            </w:r>
          </w:p>
          <w:p w14:paraId="2DE99804">
            <w:pPr>
              <w:pStyle w:val="40"/>
              <w:spacing w:after="0" w:line="360" w:lineRule="auto"/>
              <w:ind w:firstLine="480"/>
              <w:jc w:val="left"/>
              <w:rPr>
                <w:rFonts w:eastAsia="宋体"/>
                <w:bCs/>
                <w:color w:val="000000" w:themeColor="text1"/>
                <w:sz w:val="24"/>
                <w:szCs w:val="24"/>
                <w14:textFill>
                  <w14:solidFill>
                    <w14:schemeClr w14:val="tx1"/>
                  </w14:solidFill>
                </w14:textFill>
              </w:rPr>
            </w:pPr>
            <w:r>
              <w:rPr>
                <w:rFonts w:eastAsia="宋体"/>
                <w:color w:val="000000" w:themeColor="text1"/>
                <w:sz w:val="24"/>
                <w14:textFill>
                  <w14:solidFill>
                    <w14:schemeClr w14:val="tx1"/>
                  </w14:solidFill>
                </w14:textFill>
              </w:rPr>
              <w:t>根据《新疆维吾尔自治区2025年水土保持公报》，昌吉回族自治州水土流失面积45596.02km</w:t>
            </w:r>
            <w:r>
              <w:rPr>
                <w:rFonts w:eastAsia="宋体"/>
                <w:color w:val="000000" w:themeColor="text1"/>
                <w:sz w:val="24"/>
                <w:vertAlign w:val="superscript"/>
                <w14:textFill>
                  <w14:solidFill>
                    <w14:schemeClr w14:val="tx1"/>
                  </w14:solidFill>
                </w14:textFill>
              </w:rPr>
              <w:t>2</w:t>
            </w:r>
            <w:r>
              <w:rPr>
                <w:rFonts w:eastAsia="宋体"/>
                <w:color w:val="000000" w:themeColor="text1"/>
                <w:sz w:val="24"/>
                <w14:textFill>
                  <w14:solidFill>
                    <w14:schemeClr w14:val="tx1"/>
                  </w14:solidFill>
                </w14:textFill>
              </w:rPr>
              <w:t>，侵蚀类型主要有水力侵蚀、风力侵蚀。其中风力侵蚀面积为41499.24km</w:t>
            </w:r>
            <w:r>
              <w:rPr>
                <w:rFonts w:eastAsia="宋体"/>
                <w:color w:val="000000" w:themeColor="text1"/>
                <w:sz w:val="24"/>
                <w:vertAlign w:val="superscript"/>
                <w14:textFill>
                  <w14:solidFill>
                    <w14:schemeClr w14:val="tx1"/>
                  </w14:solidFill>
                </w14:textFill>
              </w:rPr>
              <w:t>2</w:t>
            </w:r>
            <w:r>
              <w:rPr>
                <w:rFonts w:eastAsia="宋体"/>
                <w:color w:val="000000" w:themeColor="text1"/>
                <w:sz w:val="24"/>
                <w14:textFill>
                  <w14:solidFill>
                    <w14:schemeClr w14:val="tx1"/>
                  </w14:solidFill>
                </w14:textFill>
              </w:rPr>
              <w:t>，占水土流失面积的91.02%；水力侵蚀面积为4096.78km</w:t>
            </w:r>
            <w:r>
              <w:rPr>
                <w:rFonts w:eastAsia="宋体"/>
                <w:color w:val="000000" w:themeColor="text1"/>
                <w:sz w:val="24"/>
                <w:vertAlign w:val="superscript"/>
                <w14:textFill>
                  <w14:solidFill>
                    <w14:schemeClr w14:val="tx1"/>
                  </w14:solidFill>
                </w14:textFill>
              </w:rPr>
              <w:t>2</w:t>
            </w:r>
            <w:r>
              <w:rPr>
                <w:rFonts w:eastAsia="宋体"/>
                <w:color w:val="000000" w:themeColor="text1"/>
                <w:sz w:val="24"/>
                <w14:textFill>
                  <w14:solidFill>
                    <w14:schemeClr w14:val="tx1"/>
                  </w14:solidFill>
                </w14:textFill>
              </w:rPr>
              <w:t>，占水土流失面积的8.98%。</w:t>
            </w:r>
          </w:p>
          <w:p w14:paraId="75799782">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1.7 沙化土地调查与评价</w:t>
            </w:r>
          </w:p>
          <w:p w14:paraId="54B6500F">
            <w:pPr>
              <w:pStyle w:val="14"/>
              <w:spacing w:before="0" w:beforeAutospacing="0" w:after="0" w:afterAutospacing="0"/>
              <w:ind w:firstLine="460"/>
              <w:textAlignment w:val="center"/>
              <w:rPr>
                <w:rFonts w:hint="eastAsia" w:cs="宋体"/>
                <w:color w:val="000000" w:themeColor="text1"/>
                <w14:textFill>
                  <w14:solidFill>
                    <w14:schemeClr w14:val="tx1"/>
                  </w14:solidFill>
                </w14:textFill>
              </w:rPr>
            </w:pPr>
            <w:r>
              <w:rPr>
                <w:color w:val="000000" w:themeColor="text1"/>
                <w:spacing w:val="-5"/>
                <w:lang w:val="zh-CN"/>
                <w14:textFill>
                  <w14:solidFill>
                    <w14:schemeClr w14:val="tx1"/>
                  </w14:solidFill>
                </w14:textFill>
              </w:rPr>
              <w:t>根据《新疆第</w:t>
            </w:r>
            <w:r>
              <w:rPr>
                <w:rFonts w:hint="eastAsia"/>
                <w:color w:val="000000" w:themeColor="text1"/>
                <w:spacing w:val="-5"/>
                <w14:textFill>
                  <w14:solidFill>
                    <w14:schemeClr w14:val="tx1"/>
                  </w14:solidFill>
                </w14:textFill>
              </w:rPr>
              <w:t>六</w:t>
            </w:r>
            <w:r>
              <w:rPr>
                <w:color w:val="000000" w:themeColor="text1"/>
                <w:spacing w:val="-5"/>
                <w:lang w:val="zh-CN"/>
                <w14:textFill>
                  <w14:solidFill>
                    <w14:schemeClr w14:val="tx1"/>
                  </w14:solidFill>
                </w14:textFill>
              </w:rPr>
              <w:t>次沙化土地监测报告》</w:t>
            </w:r>
            <w:r>
              <w:rPr>
                <w:rFonts w:hint="eastAsia"/>
                <w:color w:val="000000" w:themeColor="text1"/>
                <w:spacing w:val="-5"/>
                <w:lang w:val="zh-CN"/>
                <w14:textFill>
                  <w14:solidFill>
                    <w14:schemeClr w14:val="tx1"/>
                  </w14:solidFill>
                </w14:textFill>
              </w:rPr>
              <w:t>，</w:t>
            </w:r>
            <w:r>
              <w:rPr>
                <w:rFonts w:hint="eastAsia" w:cs="宋体"/>
                <w:color w:val="000000" w:themeColor="text1"/>
                <w14:textFill>
                  <w14:solidFill>
                    <w14:schemeClr w14:val="tx1"/>
                  </w14:solidFill>
                </w14:textFill>
              </w:rPr>
              <w:t>新疆国土总面积为</w:t>
            </w:r>
            <w:r>
              <w:rPr>
                <w:rFonts w:ascii="Times New Roman" w:hAnsi="Times New Roman"/>
                <w:color w:val="000000" w:themeColor="text1"/>
                <w14:textFill>
                  <w14:solidFill>
                    <w14:schemeClr w14:val="tx1"/>
                  </w14:solidFill>
                </w14:textFill>
              </w:rPr>
              <w:t>16648.97</w:t>
            </w:r>
            <w:r>
              <w:rPr>
                <w:rFonts w:hint="eastAsia" w:cs="宋体"/>
                <w:color w:val="000000" w:themeColor="text1"/>
                <w14:textFill>
                  <w14:solidFill>
                    <w14:schemeClr w14:val="tx1"/>
                  </w14:solidFill>
                </w14:textFill>
              </w:rPr>
              <w:t>万公顷，本次沙化监测区面积为</w:t>
            </w:r>
            <w:r>
              <w:rPr>
                <w:rFonts w:ascii="Times New Roman" w:hAnsi="Times New Roman"/>
                <w:color w:val="000000" w:themeColor="text1"/>
                <w14:textFill>
                  <w14:solidFill>
                    <w14:schemeClr w14:val="tx1"/>
                  </w14:solidFill>
                </w14:textFill>
              </w:rPr>
              <w:t>15689.13</w:t>
            </w:r>
            <w:r>
              <w:rPr>
                <w:rFonts w:hint="eastAsia" w:cs="宋体"/>
                <w:color w:val="000000" w:themeColor="text1"/>
                <w14:textFill>
                  <w14:solidFill>
                    <w14:schemeClr w14:val="tx1"/>
                  </w14:solidFill>
                </w14:textFill>
              </w:rPr>
              <w:t>万公顷，沙化监测区分布在</w:t>
            </w:r>
            <w:r>
              <w:rPr>
                <w:rFonts w:ascii="Times New Roman" w:hAnsi="Times New Roman"/>
                <w:color w:val="000000" w:themeColor="text1"/>
                <w14:textFill>
                  <w14:solidFill>
                    <w14:schemeClr w14:val="tx1"/>
                  </w14:solidFill>
                </w14:textFill>
              </w:rPr>
              <w:t>14</w:t>
            </w:r>
            <w:r>
              <w:rPr>
                <w:rFonts w:hint="eastAsia" w:cs="宋体"/>
                <w:color w:val="000000" w:themeColor="text1"/>
                <w14:textFill>
                  <w14:solidFill>
                    <w14:schemeClr w14:val="tx1"/>
                  </w14:solidFill>
                </w14:textFill>
              </w:rPr>
              <w:t>个地州市，</w:t>
            </w:r>
            <w:r>
              <w:rPr>
                <w:rFonts w:ascii="Times New Roman" w:hAnsi="Times New Roman"/>
                <w:color w:val="000000" w:themeColor="text1"/>
                <w14:textFill>
                  <w14:solidFill>
                    <w14:schemeClr w14:val="tx1"/>
                  </w14:solidFill>
                </w14:textFill>
              </w:rPr>
              <w:t>88</w:t>
            </w:r>
            <w:r>
              <w:rPr>
                <w:rFonts w:hint="eastAsia" w:cs="宋体"/>
                <w:color w:val="000000" w:themeColor="text1"/>
                <w14:textFill>
                  <w14:solidFill>
                    <w14:schemeClr w14:val="tx1"/>
                  </w14:solidFill>
                </w14:textFill>
              </w:rPr>
              <w:t>个县市（区）、</w:t>
            </w:r>
            <w:r>
              <w:rPr>
                <w:rFonts w:ascii="Times New Roman" w:hAnsi="Times New Roman"/>
                <w:color w:val="000000" w:themeColor="text1"/>
                <w14:textFill>
                  <w14:solidFill>
                    <w14:schemeClr w14:val="tx1"/>
                  </w14:solidFill>
                </w14:textFill>
              </w:rPr>
              <w:t>10</w:t>
            </w:r>
            <w:r>
              <w:rPr>
                <w:rFonts w:hint="eastAsia" w:cs="宋体"/>
                <w:color w:val="000000" w:themeColor="text1"/>
                <w14:textFill>
                  <w14:solidFill>
                    <w14:schemeClr w14:val="tx1"/>
                  </w14:solidFill>
                </w14:textFill>
              </w:rPr>
              <w:t>个自治区直辖市共</w:t>
            </w:r>
            <w:r>
              <w:rPr>
                <w:rFonts w:ascii="Times New Roman" w:hAnsi="Times New Roman"/>
                <w:color w:val="000000" w:themeColor="text1"/>
                <w14:textFill>
                  <w14:solidFill>
                    <w14:schemeClr w14:val="tx1"/>
                  </w14:solidFill>
                </w14:textFill>
              </w:rPr>
              <w:t>98</w:t>
            </w:r>
            <w:r>
              <w:rPr>
                <w:rFonts w:hint="eastAsia" w:cs="宋体"/>
                <w:color w:val="000000" w:themeColor="text1"/>
                <w14:textFill>
                  <w14:solidFill>
                    <w14:schemeClr w14:val="tx1"/>
                  </w14:solidFill>
                </w14:textFill>
              </w:rPr>
              <w:t>个行政区域。监测结果显示：沙化土地面积</w:t>
            </w:r>
            <w:r>
              <w:rPr>
                <w:rFonts w:ascii="Times New Roman" w:hAnsi="Times New Roman"/>
                <w:color w:val="000000" w:themeColor="text1"/>
                <w14:textFill>
                  <w14:solidFill>
                    <w14:schemeClr w14:val="tx1"/>
                  </w14:solidFill>
                </w14:textFill>
              </w:rPr>
              <w:t>7468.21</w:t>
            </w:r>
            <w:r>
              <w:rPr>
                <w:rFonts w:hint="eastAsia" w:cs="宋体"/>
                <w:color w:val="000000" w:themeColor="text1"/>
                <w14:textFill>
                  <w14:solidFill>
                    <w14:schemeClr w14:val="tx1"/>
                  </w14:solidFill>
                </w14:textFill>
              </w:rPr>
              <w:t>万公顷，占监测区总面积</w:t>
            </w:r>
            <w:r>
              <w:rPr>
                <w:rFonts w:ascii="Times New Roman" w:hAnsi="Times New Roman"/>
                <w:color w:val="000000" w:themeColor="text1"/>
                <w14:textFill>
                  <w14:solidFill>
                    <w14:schemeClr w14:val="tx1"/>
                  </w14:solidFill>
                </w14:textFill>
              </w:rPr>
              <w:t>47.60%</w:t>
            </w:r>
            <w:r>
              <w:rPr>
                <w:rFonts w:hint="eastAsia" w:cs="宋体"/>
                <w:color w:val="000000" w:themeColor="text1"/>
                <w14:textFill>
                  <w14:solidFill>
                    <w14:schemeClr w14:val="tx1"/>
                  </w14:solidFill>
                </w14:textFill>
              </w:rPr>
              <w:t>，具有明显沙化趋势的土地面积</w:t>
            </w:r>
            <w:r>
              <w:rPr>
                <w:rFonts w:ascii="Times New Roman" w:hAnsi="Times New Roman"/>
                <w:color w:val="000000" w:themeColor="text1"/>
                <w14:textFill>
                  <w14:solidFill>
                    <w14:schemeClr w14:val="tx1"/>
                  </w14:solidFill>
                </w14:textFill>
              </w:rPr>
              <w:t>437.96</w:t>
            </w:r>
            <w:r>
              <w:rPr>
                <w:rFonts w:hint="eastAsia" w:cs="宋体"/>
                <w:color w:val="000000" w:themeColor="text1"/>
                <w14:textFill>
                  <w14:solidFill>
                    <w14:schemeClr w14:val="tx1"/>
                  </w14:solidFill>
                </w14:textFill>
              </w:rPr>
              <w:t>万公顷，占监测区总面积</w:t>
            </w:r>
            <w:r>
              <w:rPr>
                <w:rFonts w:ascii="Times New Roman" w:hAnsi="Times New Roman"/>
                <w:color w:val="000000" w:themeColor="text1"/>
                <w14:textFill>
                  <w14:solidFill>
                    <w14:schemeClr w14:val="tx1"/>
                  </w14:solidFill>
                </w14:textFill>
              </w:rPr>
              <w:t>2.79%</w:t>
            </w:r>
            <w:r>
              <w:rPr>
                <w:rFonts w:hint="eastAsia" w:cs="宋体"/>
                <w:color w:val="000000" w:themeColor="text1"/>
                <w14:textFill>
                  <w14:solidFill>
                    <w14:schemeClr w14:val="tx1"/>
                  </w14:solidFill>
                </w14:textFill>
              </w:rPr>
              <w:t>，非沙化土地面积</w:t>
            </w:r>
            <w:r>
              <w:rPr>
                <w:rFonts w:ascii="Times New Roman" w:hAnsi="Times New Roman"/>
                <w:color w:val="000000" w:themeColor="text1"/>
                <w14:textFill>
                  <w14:solidFill>
                    <w14:schemeClr w14:val="tx1"/>
                  </w14:solidFill>
                </w14:textFill>
              </w:rPr>
              <w:t>7782.95</w:t>
            </w:r>
            <w:r>
              <w:rPr>
                <w:rFonts w:hint="eastAsia" w:cs="宋体"/>
                <w:color w:val="000000" w:themeColor="text1"/>
                <w14:textFill>
                  <w14:solidFill>
                    <w14:schemeClr w14:val="tx1"/>
                  </w14:solidFill>
                </w14:textFill>
              </w:rPr>
              <w:t>万公顷，占监测区总面积</w:t>
            </w:r>
            <w:r>
              <w:rPr>
                <w:rFonts w:ascii="Times New Roman" w:hAnsi="Times New Roman"/>
                <w:color w:val="000000" w:themeColor="text1"/>
                <w14:textFill>
                  <w14:solidFill>
                    <w14:schemeClr w14:val="tx1"/>
                  </w14:solidFill>
                </w14:textFill>
              </w:rPr>
              <w:t>49.61%</w:t>
            </w:r>
            <w:r>
              <w:rPr>
                <w:rFonts w:hint="eastAsia" w:cs="宋体"/>
                <w:color w:val="000000" w:themeColor="text1"/>
                <w14:textFill>
                  <w14:solidFill>
                    <w14:schemeClr w14:val="tx1"/>
                  </w14:solidFill>
                </w14:textFill>
              </w:rPr>
              <w:t>。古尔班通古特沙漠面积</w:t>
            </w:r>
            <w:r>
              <w:rPr>
                <w:rFonts w:ascii="Times New Roman" w:hAnsi="Times New Roman"/>
                <w:color w:val="000000" w:themeColor="text1"/>
                <w14:textFill>
                  <w14:solidFill>
                    <w14:schemeClr w14:val="tx1"/>
                  </w14:solidFill>
                </w14:textFill>
              </w:rPr>
              <w:t>48695km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，占全疆沙漠的</w:t>
            </w:r>
            <w:r>
              <w:rPr>
                <w:rFonts w:ascii="Times New Roman" w:hAnsi="Times New Roman"/>
                <w:color w:val="000000" w:themeColor="text1"/>
                <w14:textFill>
                  <w14:solidFill>
                    <w14:schemeClr w14:val="tx1"/>
                  </w14:solidFill>
                </w14:textFill>
              </w:rPr>
              <w:t>11.05%</w:t>
            </w:r>
            <w:r>
              <w:rPr>
                <w:rFonts w:hint="eastAsia" w:cs="宋体"/>
                <w:color w:val="000000" w:themeColor="text1"/>
                <w14:textFill>
                  <w14:solidFill>
                    <w14:schemeClr w14:val="tx1"/>
                  </w14:solidFill>
                </w14:textFill>
              </w:rPr>
              <w:t>；沙漠中的沙化土地面积</w:t>
            </w:r>
            <w:r>
              <w:rPr>
                <w:rFonts w:ascii="Times New Roman" w:hAnsi="Times New Roman"/>
                <w:color w:val="000000" w:themeColor="text1"/>
                <w14:textFill>
                  <w14:solidFill>
                    <w14:schemeClr w14:val="tx1"/>
                  </w14:solidFill>
                </w14:textFill>
              </w:rPr>
              <w:t>449.44</w:t>
            </w:r>
            <w:r>
              <w:rPr>
                <w:rFonts w:hint="eastAsia" w:cs="宋体"/>
                <w:color w:val="000000" w:themeColor="text1"/>
                <w14:textFill>
                  <w14:solidFill>
                    <w14:schemeClr w14:val="tx1"/>
                  </w14:solidFill>
                </w14:textFill>
              </w:rPr>
              <w:t>万</w:t>
            </w:r>
            <w:r>
              <w:rPr>
                <w:rFonts w:ascii="Times New Roman" w:hAnsi="Times New Roman"/>
                <w:color w:val="000000" w:themeColor="text1"/>
                <w14:textFill>
                  <w14:solidFill>
                    <w14:schemeClr w14:val="tx1"/>
                  </w14:solidFill>
                </w14:textFill>
              </w:rPr>
              <w:t>hm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，其中：流动沙地</w:t>
            </w:r>
            <w:r>
              <w:rPr>
                <w:rFonts w:ascii="Times New Roman" w:hAnsi="Times New Roman"/>
                <w:color w:val="000000" w:themeColor="text1"/>
                <w14:textFill>
                  <w14:solidFill>
                    <w14:schemeClr w14:val="tx1"/>
                  </w14:solidFill>
                </w14:textFill>
              </w:rPr>
              <w:t>3.57</w:t>
            </w:r>
            <w:r>
              <w:rPr>
                <w:rFonts w:hint="eastAsia" w:cs="宋体"/>
                <w:color w:val="000000" w:themeColor="text1"/>
                <w14:textFill>
                  <w14:solidFill>
                    <w14:schemeClr w14:val="tx1"/>
                  </w14:solidFill>
                </w14:textFill>
              </w:rPr>
              <w:t>万</w:t>
            </w:r>
            <w:r>
              <w:rPr>
                <w:rFonts w:ascii="Times New Roman" w:hAnsi="Times New Roman"/>
                <w:color w:val="000000" w:themeColor="text1"/>
                <w14:textFill>
                  <w14:solidFill>
                    <w14:schemeClr w14:val="tx1"/>
                  </w14:solidFill>
                </w14:textFill>
              </w:rPr>
              <w:t>hm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，半固定沙地</w:t>
            </w:r>
            <w:r>
              <w:rPr>
                <w:rFonts w:ascii="Times New Roman" w:hAnsi="Times New Roman"/>
                <w:color w:val="000000" w:themeColor="text1"/>
                <w14:textFill>
                  <w14:solidFill>
                    <w14:schemeClr w14:val="tx1"/>
                  </w14:solidFill>
                </w14:textFill>
              </w:rPr>
              <w:t>96.92</w:t>
            </w:r>
            <w:r>
              <w:rPr>
                <w:rFonts w:hint="eastAsia" w:cs="宋体"/>
                <w:color w:val="000000" w:themeColor="text1"/>
                <w14:textFill>
                  <w14:solidFill>
                    <w14:schemeClr w14:val="tx1"/>
                  </w14:solidFill>
                </w14:textFill>
              </w:rPr>
              <w:t>万</w:t>
            </w:r>
            <w:r>
              <w:rPr>
                <w:rFonts w:ascii="Times New Roman" w:hAnsi="Times New Roman"/>
                <w:color w:val="000000" w:themeColor="text1"/>
                <w14:textFill>
                  <w14:solidFill>
                    <w14:schemeClr w14:val="tx1"/>
                  </w14:solidFill>
                </w14:textFill>
              </w:rPr>
              <w:t>hm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，固定沙地</w:t>
            </w:r>
            <w:r>
              <w:rPr>
                <w:rFonts w:ascii="Times New Roman" w:hAnsi="Times New Roman"/>
                <w:color w:val="000000" w:themeColor="text1"/>
                <w14:textFill>
                  <w14:solidFill>
                    <w14:schemeClr w14:val="tx1"/>
                  </w14:solidFill>
                </w14:textFill>
              </w:rPr>
              <w:t>344.54</w:t>
            </w:r>
            <w:r>
              <w:rPr>
                <w:rFonts w:hint="eastAsia" w:cs="宋体"/>
                <w:color w:val="000000" w:themeColor="text1"/>
                <w14:textFill>
                  <w14:solidFill>
                    <w14:schemeClr w14:val="tx1"/>
                  </w14:solidFill>
                </w14:textFill>
              </w:rPr>
              <w:t>万</w:t>
            </w:r>
            <w:r>
              <w:rPr>
                <w:rFonts w:ascii="Times New Roman" w:hAnsi="Times New Roman"/>
                <w:color w:val="000000" w:themeColor="text1"/>
                <w14:textFill>
                  <w14:solidFill>
                    <w14:schemeClr w14:val="tx1"/>
                  </w14:solidFill>
                </w14:textFill>
              </w:rPr>
              <w:t>hm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，沙化耕地</w:t>
            </w:r>
            <w:r>
              <w:rPr>
                <w:rFonts w:ascii="Times New Roman" w:hAnsi="Times New Roman"/>
                <w:color w:val="000000" w:themeColor="text1"/>
                <w14:textFill>
                  <w14:solidFill>
                    <w14:schemeClr w14:val="tx1"/>
                  </w14:solidFill>
                </w14:textFill>
              </w:rPr>
              <w:t>4.41</w:t>
            </w:r>
            <w:r>
              <w:rPr>
                <w:rFonts w:hint="eastAsia" w:cs="宋体"/>
                <w:color w:val="000000" w:themeColor="text1"/>
                <w14:textFill>
                  <w14:solidFill>
                    <w14:schemeClr w14:val="tx1"/>
                  </w14:solidFill>
                </w14:textFill>
              </w:rPr>
              <w:t>万</w:t>
            </w:r>
            <w:r>
              <w:rPr>
                <w:rFonts w:ascii="Times New Roman" w:hAnsi="Times New Roman"/>
                <w:color w:val="000000" w:themeColor="text1"/>
                <w14:textFill>
                  <w14:solidFill>
                    <w14:schemeClr w14:val="tx1"/>
                  </w14:solidFill>
                </w14:textFill>
              </w:rPr>
              <w:t>hm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w:t>
            </w:r>
          </w:p>
          <w:p w14:paraId="712A36C6">
            <w:pPr>
              <w:pStyle w:val="14"/>
              <w:spacing w:before="0" w:beforeAutospacing="0" w:after="0" w:afterAutospacing="0"/>
              <w:ind w:firstLine="460"/>
              <w:textAlignment w:val="center"/>
              <w:rPr>
                <w:rFonts w:hint="eastAsia"/>
                <w:color w:val="000000" w:themeColor="text1"/>
                <w14:textFill>
                  <w14:solidFill>
                    <w14:schemeClr w14:val="tx1"/>
                  </w14:solidFill>
                </w14:textFill>
              </w:rPr>
            </w:pPr>
            <w:r>
              <w:rPr>
                <w:rFonts w:hint="eastAsia"/>
                <w:color w:val="000000" w:themeColor="text1"/>
                <w:spacing w:val="-5"/>
                <w14:textFill>
                  <w14:solidFill>
                    <w14:schemeClr w14:val="tx1"/>
                  </w14:solidFill>
                </w14:textFill>
              </w:rPr>
              <w:t>本项目位于</w:t>
            </w:r>
            <w:r>
              <w:rPr>
                <w:rFonts w:hint="eastAsia"/>
                <w:color w:val="000000" w:themeColor="text1"/>
                <w14:textFill>
                  <w14:solidFill>
                    <w14:schemeClr w14:val="tx1"/>
                  </w14:solidFill>
                </w14:textFill>
              </w:rPr>
              <w:t>昌吉回族自治州奇台县</w:t>
            </w:r>
            <w:r>
              <w:rPr>
                <w:rFonts w:hint="eastAsia" w:cs="宋体"/>
                <w:color w:val="000000" w:themeColor="text1"/>
                <w14:textFill>
                  <w14:solidFill>
                    <w14:schemeClr w14:val="tx1"/>
                  </w14:solidFill>
                </w14:textFill>
              </w:rPr>
              <w:t>境内，位于古尔班通古特沙漠的准噶尔盆地的南部，不属于沙漠区域以及沙化土地，离古尔班通古特沙漠的准噶尔盆地约</w:t>
            </w:r>
            <w:r>
              <w:rPr>
                <w:rFonts w:ascii="Times New Roman" w:hAnsi="Times New Roman"/>
                <w:color w:val="000000" w:themeColor="text1"/>
                <w14:textFill>
                  <w14:solidFill>
                    <w14:schemeClr w14:val="tx1"/>
                  </w14:solidFill>
                </w14:textFill>
              </w:rPr>
              <w:t>60km</w:t>
            </w:r>
            <w:r>
              <w:rPr>
                <w:rFonts w:hint="eastAsia" w:cs="宋体"/>
                <w:color w:val="000000" w:themeColor="text1"/>
                <w14:textFill>
                  <w14:solidFill>
                    <w14:schemeClr w14:val="tx1"/>
                  </w14:solidFill>
                </w14:textFill>
              </w:rPr>
              <w:t>。</w:t>
            </w:r>
          </w:p>
          <w:p w14:paraId="7B843646">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区域环境质量现状</w:t>
            </w:r>
          </w:p>
          <w:p w14:paraId="1A230E72">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2.1 环境空气质量现状调查与评价</w:t>
            </w:r>
          </w:p>
          <w:p w14:paraId="4DEDFE5C">
            <w:pPr>
              <w:pStyle w:val="32"/>
              <w:adjustRightInd/>
              <w:snapToGrid/>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14:textFill>
                  <w14:solidFill>
                    <w14:schemeClr w14:val="tx1"/>
                  </w14:solidFill>
                </w14:textFill>
              </w:rPr>
              <w:t>根据《环境影响评价技术导则</w:t>
            </w:r>
            <w:r>
              <w:rPr>
                <w:rFonts w:hint="eastAsia" w:ascii="Times New Roman" w:hAnsi="Times New Roman"/>
                <w:color w:val="000000" w:themeColor="text1"/>
                <w:sz w:val="24"/>
                <w14:textFill>
                  <w14:solidFill>
                    <w14:schemeClr w14:val="tx1"/>
                  </w14:solidFill>
                </w14:textFill>
              </w:rPr>
              <w:t xml:space="preserve"> </w:t>
            </w:r>
            <w:r>
              <w:rPr>
                <w:rFonts w:ascii="Times New Roman" w:hAnsi="Times New Roman"/>
                <w:color w:val="000000" w:themeColor="text1"/>
                <w:sz w:val="24"/>
                <w14:textFill>
                  <w14:solidFill>
                    <w14:schemeClr w14:val="tx1"/>
                  </w14:solidFill>
                </w14:textFill>
              </w:rPr>
              <w:t>大气环境》（H.J2.2-2018）对环境质量现状数据的要求，选取生态环境部环境工程评估中心环境空气质量模型技术支持服务系统发布数据，</w:t>
            </w:r>
            <w:r>
              <w:rPr>
                <w:rFonts w:hint="eastAsia" w:ascii="Times New Roman" w:hAnsi="Times New Roman"/>
                <w:color w:val="000000" w:themeColor="text1"/>
                <w:sz w:val="24"/>
                <w14:textFill>
                  <w14:solidFill>
                    <w14:schemeClr w14:val="tx1"/>
                  </w14:solidFill>
                </w14:textFill>
              </w:rPr>
              <w:t>昌吉回族自治州</w:t>
            </w:r>
            <w:r>
              <w:rPr>
                <w:rFonts w:ascii="Times New Roman" w:hAnsi="Times New Roman"/>
                <w:color w:val="000000" w:themeColor="text1"/>
                <w:sz w:val="24"/>
                <w14:textFill>
                  <w14:solidFill>
                    <w14:schemeClr w14:val="tx1"/>
                  </w14:solidFill>
                </w14:textFill>
              </w:rPr>
              <w:t>202</w:t>
            </w:r>
            <w:r>
              <w:rPr>
                <w:rFonts w:hint="eastAsia" w:ascii="Times New Roman" w:hAnsi="Times New Roman"/>
                <w:color w:val="000000" w:themeColor="text1"/>
                <w:sz w:val="24"/>
                <w14:textFill>
                  <w14:solidFill>
                    <w14:schemeClr w14:val="tx1"/>
                  </w14:solidFill>
                </w14:textFill>
              </w:rPr>
              <w:t>5</w:t>
            </w:r>
            <w:r>
              <w:rPr>
                <w:rFonts w:ascii="Times New Roman" w:hAnsi="Times New Roman"/>
                <w:color w:val="000000" w:themeColor="text1"/>
                <w:sz w:val="24"/>
                <w14:textFill>
                  <w14:solidFill>
                    <w14:schemeClr w14:val="tx1"/>
                  </w14:solidFill>
                </w14:textFill>
              </w:rPr>
              <w:t>年SO</w:t>
            </w:r>
            <w:r>
              <w:rPr>
                <w:rFonts w:ascii="Times New Roman" w:hAnsi="Times New Roman"/>
                <w:color w:val="000000" w:themeColor="text1"/>
                <w:sz w:val="24"/>
                <w:vertAlign w:val="subscript"/>
                <w14:textFill>
                  <w14:solidFill>
                    <w14:schemeClr w14:val="tx1"/>
                  </w14:solidFill>
                </w14:textFill>
              </w:rPr>
              <w:t>2</w:t>
            </w:r>
            <w:r>
              <w:rPr>
                <w:rFonts w:ascii="Times New Roman" w:hAnsi="Times New Roman"/>
                <w:color w:val="000000" w:themeColor="text1"/>
                <w:sz w:val="24"/>
                <w14:textFill>
                  <w14:solidFill>
                    <w14:schemeClr w14:val="tx1"/>
                  </w14:solidFill>
                </w14:textFill>
              </w:rPr>
              <w:t>、NO</w:t>
            </w:r>
            <w:r>
              <w:rPr>
                <w:rFonts w:ascii="Times New Roman" w:hAnsi="Times New Roman"/>
                <w:color w:val="000000" w:themeColor="text1"/>
                <w:sz w:val="24"/>
                <w:vertAlign w:val="subscript"/>
                <w14:textFill>
                  <w14:solidFill>
                    <w14:schemeClr w14:val="tx1"/>
                  </w14:solidFill>
                </w14:textFill>
              </w:rPr>
              <w:t>2</w:t>
            </w:r>
            <w:r>
              <w:rPr>
                <w:rFonts w:ascii="Times New Roman" w:hAnsi="Times New Roman"/>
                <w:color w:val="000000" w:themeColor="text1"/>
                <w:sz w:val="24"/>
                <w14:textFill>
                  <w14:solidFill>
                    <w14:schemeClr w14:val="tx1"/>
                  </w14:solidFill>
                </w14:textFill>
              </w:rPr>
              <w:t>、PM</w:t>
            </w:r>
            <w:r>
              <w:rPr>
                <w:rFonts w:ascii="Times New Roman" w:hAnsi="Times New Roman"/>
                <w:color w:val="000000" w:themeColor="text1"/>
                <w:sz w:val="24"/>
                <w:vertAlign w:val="subscript"/>
                <w14:textFill>
                  <w14:solidFill>
                    <w14:schemeClr w14:val="tx1"/>
                  </w14:solidFill>
                </w14:textFill>
              </w:rPr>
              <w:t>10</w:t>
            </w:r>
            <w:r>
              <w:rPr>
                <w:rFonts w:ascii="Times New Roman" w:hAnsi="Times New Roman"/>
                <w:color w:val="000000" w:themeColor="text1"/>
                <w:sz w:val="24"/>
                <w14:textFill>
                  <w14:solidFill>
                    <w14:schemeClr w14:val="tx1"/>
                  </w14:solidFill>
                </w14:textFill>
              </w:rPr>
              <w:t>、PM</w:t>
            </w:r>
            <w:r>
              <w:rPr>
                <w:rFonts w:ascii="Times New Roman" w:hAnsi="Times New Roman"/>
                <w:color w:val="000000" w:themeColor="text1"/>
                <w:sz w:val="24"/>
                <w:vertAlign w:val="subscript"/>
                <w14:textFill>
                  <w14:solidFill>
                    <w14:schemeClr w14:val="tx1"/>
                  </w14:solidFill>
                </w14:textFill>
              </w:rPr>
              <w:t>2.5</w:t>
            </w:r>
            <w:r>
              <w:rPr>
                <w:rFonts w:ascii="Times New Roman" w:hAnsi="Times New Roman"/>
                <w:color w:val="000000" w:themeColor="text1"/>
                <w:sz w:val="24"/>
                <w14:textFill>
                  <w14:solidFill>
                    <w14:schemeClr w14:val="tx1"/>
                  </w14:solidFill>
                </w14:textFill>
              </w:rPr>
              <w:t>年均浓度分别为</w:t>
            </w:r>
            <w:r>
              <w:rPr>
                <w:rFonts w:hint="eastAsia" w:ascii="Times New Roman" w:hAnsi="Times New Roman"/>
                <w:color w:val="000000" w:themeColor="text1"/>
                <w:sz w:val="24"/>
                <w14:textFill>
                  <w14:solidFill>
                    <w14:schemeClr w14:val="tx1"/>
                  </w14:solidFill>
                </w14:textFill>
              </w:rPr>
              <w:t>7</w:t>
            </w:r>
            <w:r>
              <w:rPr>
                <w:rFonts w:ascii="Times New Roman" w:hAnsi="Times New Roman"/>
                <w:color w:val="000000" w:themeColor="text1"/>
                <w:sz w:val="24"/>
                <w14:textFill>
                  <w14:solidFill>
                    <w14:schemeClr w14:val="tx1"/>
                  </w14:solidFill>
                </w14:textFill>
              </w:rPr>
              <w:t>μg/m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25</w:t>
            </w:r>
            <w:r>
              <w:rPr>
                <w:rFonts w:ascii="Times New Roman" w:hAnsi="Times New Roman"/>
                <w:color w:val="000000" w:themeColor="text1"/>
                <w:sz w:val="24"/>
                <w14:textFill>
                  <w14:solidFill>
                    <w14:schemeClr w14:val="tx1"/>
                  </w14:solidFill>
                </w14:textFill>
              </w:rPr>
              <w:t>μg/m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67</w:t>
            </w:r>
            <w:r>
              <w:rPr>
                <w:rFonts w:ascii="Times New Roman" w:hAnsi="Times New Roman"/>
                <w:color w:val="000000" w:themeColor="text1"/>
                <w:sz w:val="24"/>
                <w14:textFill>
                  <w14:solidFill>
                    <w14:schemeClr w14:val="tx1"/>
                  </w14:solidFill>
                </w14:textFill>
              </w:rPr>
              <w:t>μg/m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37</w:t>
            </w:r>
            <w:r>
              <w:rPr>
                <w:rFonts w:ascii="Times New Roman" w:hAnsi="Times New Roman"/>
                <w:color w:val="000000" w:themeColor="text1"/>
                <w:sz w:val="24"/>
                <w14:textFill>
                  <w14:solidFill>
                    <w14:schemeClr w14:val="tx1"/>
                  </w14:solidFill>
                </w14:textFill>
              </w:rPr>
              <w:t>μg/m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；CO 24小时平均第95百分位数为</w:t>
            </w:r>
            <w:r>
              <w:rPr>
                <w:rFonts w:hint="eastAsia" w:ascii="Times New Roman" w:hAnsi="Times New Roman"/>
                <w:color w:val="000000" w:themeColor="text1"/>
                <w:sz w:val="24"/>
                <w14:textFill>
                  <w14:solidFill>
                    <w14:schemeClr w14:val="tx1"/>
                  </w14:solidFill>
                </w14:textFill>
              </w:rPr>
              <w:t>1.6</w:t>
            </w:r>
            <w:r>
              <w:rPr>
                <w:rFonts w:ascii="Times New Roman" w:hAnsi="Times New Roman"/>
                <w:color w:val="000000" w:themeColor="text1"/>
                <w:sz w:val="24"/>
                <w14:textFill>
                  <w14:solidFill>
                    <w14:schemeClr w14:val="tx1"/>
                  </w14:solidFill>
                </w14:textFill>
              </w:rPr>
              <w:t>mg/m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，O</w:t>
            </w:r>
            <w:r>
              <w:rPr>
                <w:rFonts w:ascii="Times New Roman" w:hAnsi="Times New Roman"/>
                <w:color w:val="000000" w:themeColor="text1"/>
                <w:sz w:val="24"/>
                <w:vertAlign w:val="sub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日最大8小时平均第90百分位数为</w:t>
            </w:r>
            <w:r>
              <w:rPr>
                <w:rFonts w:hint="eastAsia" w:ascii="Times New Roman" w:hAnsi="Times New Roman"/>
                <w:color w:val="000000" w:themeColor="text1"/>
                <w:sz w:val="24"/>
                <w14:textFill>
                  <w14:solidFill>
                    <w14:schemeClr w14:val="tx1"/>
                  </w14:solidFill>
                </w14:textFill>
              </w:rPr>
              <w:t>131</w:t>
            </w:r>
            <w:r>
              <w:rPr>
                <w:rFonts w:ascii="Times New Roman" w:hAnsi="Times New Roman"/>
                <w:color w:val="000000" w:themeColor="text1"/>
                <w:sz w:val="24"/>
                <w14:textFill>
                  <w14:solidFill>
                    <w14:schemeClr w14:val="tx1"/>
                  </w14:solidFill>
                </w14:textFill>
              </w:rPr>
              <w:t>μg/m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；各污染物平均浓度均优于《环境空气质量标准》（GB3095-20</w:t>
            </w:r>
            <w:r>
              <w:rPr>
                <w:rFonts w:hint="eastAsia" w:ascii="Times New Roman" w:hAnsi="Times New Roman"/>
                <w:color w:val="000000" w:themeColor="text1"/>
                <w:sz w:val="24"/>
                <w14:textFill>
                  <w14:solidFill>
                    <w14:schemeClr w14:val="tx1"/>
                  </w14:solidFill>
                </w14:textFill>
              </w:rPr>
              <w:t>26</w:t>
            </w:r>
            <w:r>
              <w:rPr>
                <w:rFonts w:ascii="Times New Roman" w:hAnsi="Times New Roman"/>
                <w:color w:val="000000" w:themeColor="text1"/>
                <w:sz w:val="24"/>
                <w14:textFill>
                  <w14:solidFill>
                    <w14:schemeClr w14:val="tx1"/>
                  </w14:solidFill>
                </w14:textFill>
              </w:rPr>
              <w:t>）</w:t>
            </w:r>
            <w:r>
              <w:rPr>
                <w:rFonts w:ascii="Times New Roman" w:hAnsi="Times New Roman"/>
                <w:bCs/>
                <w:color w:val="000000" w:themeColor="text1"/>
                <w:kern w:val="0"/>
                <w:sz w:val="24"/>
                <w14:textFill>
                  <w14:solidFill>
                    <w14:schemeClr w14:val="tx1"/>
                  </w14:solidFill>
                </w14:textFill>
              </w:rPr>
              <w:t>表1</w:t>
            </w:r>
            <w:r>
              <w:rPr>
                <w:rFonts w:ascii="Times New Roman" w:hAnsi="Times New Roman"/>
                <w:bCs/>
                <w:color w:val="000000" w:themeColor="text1"/>
                <w:kern w:val="0"/>
                <w:sz w:val="24"/>
                <w:lang w:val="zh-CN"/>
                <w14:textFill>
                  <w14:solidFill>
                    <w14:schemeClr w14:val="tx1"/>
                  </w14:solidFill>
                </w14:textFill>
              </w:rPr>
              <w:t>中</w:t>
            </w:r>
            <w:r>
              <w:rPr>
                <w:rFonts w:ascii="Times New Roman" w:hAnsi="Times New Roman"/>
                <w:bCs/>
                <w:color w:val="000000" w:themeColor="text1"/>
                <w:kern w:val="0"/>
                <w:sz w:val="24"/>
                <w14:textFill>
                  <w14:solidFill>
                    <w14:schemeClr w14:val="tx1"/>
                  </w14:solidFill>
                </w14:textFill>
              </w:rPr>
              <w:t>过渡阶段</w:t>
            </w:r>
            <w:r>
              <w:rPr>
                <w:rFonts w:ascii="Times New Roman" w:hAnsi="Times New Roman"/>
                <w:bCs/>
                <w:color w:val="000000" w:themeColor="text1"/>
                <w:kern w:val="0"/>
                <w:sz w:val="24"/>
                <w:lang w:val="zh-CN"/>
                <w14:textFill>
                  <w14:solidFill>
                    <w14:schemeClr w14:val="tx1"/>
                  </w14:solidFill>
                </w14:textFill>
              </w:rPr>
              <w:t>二级标准</w:t>
            </w:r>
            <w:r>
              <w:rPr>
                <w:rFonts w:ascii="Times New Roman" w:hAnsi="Times New Roman"/>
                <w:bCs/>
                <w:color w:val="000000" w:themeColor="text1"/>
                <w:kern w:val="0"/>
                <w:sz w:val="24"/>
                <w14:textFill>
                  <w14:solidFill>
                    <w14:schemeClr w14:val="tx1"/>
                  </w14:solidFill>
                </w14:textFill>
              </w:rPr>
              <w:t>浓度</w:t>
            </w:r>
            <w:r>
              <w:rPr>
                <w:rFonts w:ascii="Times New Roman" w:hAnsi="Times New Roman"/>
                <w:bCs/>
                <w:color w:val="000000" w:themeColor="text1"/>
                <w:kern w:val="0"/>
                <w:sz w:val="24"/>
                <w:lang w:val="zh-CN"/>
                <w14:textFill>
                  <w14:solidFill>
                    <w14:schemeClr w14:val="tx1"/>
                  </w14:solidFill>
                </w14:textFill>
              </w:rPr>
              <w:t>限值</w:t>
            </w:r>
            <w:r>
              <w:rPr>
                <w:rFonts w:ascii="Times New Roman" w:hAnsi="Times New Roman"/>
                <w:color w:val="000000" w:themeColor="text1"/>
                <w:sz w:val="24"/>
                <w14:textFill>
                  <w14:solidFill>
                    <w14:schemeClr w14:val="tx1"/>
                  </w14:solidFill>
                </w14:textFill>
              </w:rPr>
              <w:t>，属于达标区。</w:t>
            </w:r>
            <w:r>
              <w:rPr>
                <w:rFonts w:ascii="Times New Roman" w:hAnsi="Times New Roman"/>
                <w:color w:val="000000" w:themeColor="text1"/>
                <w:sz w:val="24"/>
                <w:szCs w:val="24"/>
                <w14:textFill>
                  <w14:solidFill>
                    <w14:schemeClr w14:val="tx1"/>
                  </w14:solidFill>
                </w14:textFill>
              </w:rPr>
              <w:t>空气质量达标判定详见表3-</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w:t>
            </w:r>
          </w:p>
          <w:p w14:paraId="3E43EC2F">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表3-</w:t>
            </w:r>
            <w:r>
              <w:rPr>
                <w:rFonts w:hint="eastAsia"/>
                <w:bCs/>
                <w:color w:val="000000" w:themeColor="text1"/>
                <w:sz w:val="21"/>
                <w:szCs w:val="21"/>
                <w14:textFill>
                  <w14:solidFill>
                    <w14:schemeClr w14:val="tx1"/>
                  </w14:solidFill>
                </w14:textFill>
              </w:rPr>
              <w:t>3</w:t>
            </w:r>
            <w:r>
              <w:rPr>
                <w:bCs/>
                <w:color w:val="000000" w:themeColor="text1"/>
                <w:sz w:val="21"/>
                <w:szCs w:val="21"/>
                <w14:textFill>
                  <w14:solidFill>
                    <w14:schemeClr w14:val="tx1"/>
                  </w14:solidFill>
                </w14:textFill>
              </w:rPr>
              <w:t xml:space="preserve">  202</w:t>
            </w:r>
            <w:r>
              <w:rPr>
                <w:rFonts w:hint="eastAsia"/>
                <w:bCs/>
                <w:color w:val="000000" w:themeColor="text1"/>
                <w:sz w:val="21"/>
                <w:szCs w:val="21"/>
                <w14:textFill>
                  <w14:solidFill>
                    <w14:schemeClr w14:val="tx1"/>
                  </w14:solidFill>
                </w14:textFill>
              </w:rPr>
              <w:t>5</w:t>
            </w:r>
            <w:r>
              <w:rPr>
                <w:bCs/>
                <w:color w:val="000000" w:themeColor="text1"/>
                <w:sz w:val="21"/>
                <w:szCs w:val="21"/>
                <w14:textFill>
                  <w14:solidFill>
                    <w14:schemeClr w14:val="tx1"/>
                  </w14:solidFill>
                </w14:textFill>
              </w:rPr>
              <w:t>年</w:t>
            </w:r>
            <w:r>
              <w:rPr>
                <w:rFonts w:hint="eastAsia"/>
                <w:bCs/>
                <w:color w:val="000000" w:themeColor="text1"/>
                <w:sz w:val="21"/>
                <w:szCs w:val="21"/>
                <w14:textFill>
                  <w14:solidFill>
                    <w14:schemeClr w14:val="tx1"/>
                  </w14:solidFill>
                </w14:textFill>
              </w:rPr>
              <w:t>昌吉回族自治州</w:t>
            </w:r>
            <w:r>
              <w:rPr>
                <w:bCs/>
                <w:color w:val="000000" w:themeColor="text1"/>
                <w:sz w:val="21"/>
                <w:szCs w:val="21"/>
                <w14:textFill>
                  <w14:solidFill>
                    <w14:schemeClr w14:val="tx1"/>
                  </w14:solidFill>
                </w14:textFill>
              </w:rPr>
              <w:t>基本污染物监测结果表（单位：μg/m</w:t>
            </w:r>
            <w:r>
              <w:rPr>
                <w:bCs/>
                <w:color w:val="000000" w:themeColor="text1"/>
                <w:sz w:val="21"/>
                <w:szCs w:val="21"/>
                <w:vertAlign w:val="superscript"/>
                <w14:textFill>
                  <w14:solidFill>
                    <w14:schemeClr w14:val="tx1"/>
                  </w14:solidFill>
                </w14:textFill>
              </w:rPr>
              <w:t>3</w:t>
            </w:r>
            <w:r>
              <w:rPr>
                <w:bCs/>
                <w:color w:val="000000" w:themeColor="text1"/>
                <w:sz w:val="21"/>
                <w:szCs w:val="21"/>
                <w14:textFill>
                  <w14:solidFill>
                    <w14:schemeClr w14:val="tx1"/>
                  </w14:solidFill>
                </w14:textFill>
              </w:rPr>
              <w:t>）</w:t>
            </w:r>
          </w:p>
          <w:tbl>
            <w:tblPr>
              <w:tblStyle w:val="16"/>
              <w:tblW w:w="8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8"/>
              <w:gridCol w:w="1824"/>
              <w:gridCol w:w="735"/>
              <w:gridCol w:w="1136"/>
              <w:gridCol w:w="1120"/>
              <w:gridCol w:w="888"/>
              <w:gridCol w:w="1110"/>
            </w:tblGrid>
            <w:tr w14:paraId="763D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98" w:type="dxa"/>
                  <w:vAlign w:val="center"/>
                </w:tcPr>
                <w:p w14:paraId="4EC89BF8">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项目</w:t>
                  </w:r>
                </w:p>
              </w:tc>
              <w:tc>
                <w:tcPr>
                  <w:tcW w:w="1824" w:type="dxa"/>
                  <w:vAlign w:val="center"/>
                </w:tcPr>
                <w:p w14:paraId="01144B38">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平均时段</w:t>
                  </w:r>
                </w:p>
              </w:tc>
              <w:tc>
                <w:tcPr>
                  <w:tcW w:w="735" w:type="dxa"/>
                  <w:vAlign w:val="center"/>
                </w:tcPr>
                <w:p w14:paraId="029659D2">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现状浓度</w:t>
                  </w:r>
                </w:p>
              </w:tc>
              <w:tc>
                <w:tcPr>
                  <w:tcW w:w="1136" w:type="dxa"/>
                  <w:vAlign w:val="center"/>
                </w:tcPr>
                <w:p w14:paraId="5D0082CA">
                  <w:pPr>
                    <w:pStyle w:val="27"/>
                    <w:rPr>
                      <w:rFonts w:ascii="Times New Roman" w:cs="Times New Roman"/>
                      <w:bCs/>
                      <w:color w:val="000000" w:themeColor="text1"/>
                      <w:sz w:val="21"/>
                      <w:szCs w:val="21"/>
                      <w14:textFill>
                        <w14:solidFill>
                          <w14:schemeClr w14:val="tx1"/>
                        </w14:solidFill>
                      </w14:textFill>
                    </w:rPr>
                  </w:pPr>
                  <w:r>
                    <w:rPr>
                      <w:rFonts w:hint="eastAsia" w:ascii="Times New Roman" w:cs="Times New Roman"/>
                      <w:bCs/>
                      <w:color w:val="000000" w:themeColor="text1"/>
                      <w:sz w:val="21"/>
                      <w:szCs w:val="21"/>
                      <w14:textFill>
                        <w14:solidFill>
                          <w14:schemeClr w14:val="tx1"/>
                        </w14:solidFill>
                      </w14:textFill>
                    </w:rPr>
                    <w:t>过渡阶段二级浓度限值</w:t>
                  </w:r>
                </w:p>
              </w:tc>
              <w:tc>
                <w:tcPr>
                  <w:tcW w:w="1120" w:type="dxa"/>
                  <w:vAlign w:val="center"/>
                </w:tcPr>
                <w:p w14:paraId="77A658E1">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占标率（%）</w:t>
                  </w:r>
                </w:p>
              </w:tc>
              <w:tc>
                <w:tcPr>
                  <w:tcW w:w="888" w:type="dxa"/>
                  <w:vAlign w:val="center"/>
                </w:tcPr>
                <w:p w14:paraId="43ACAAFF">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超标</w:t>
                  </w:r>
                </w:p>
                <w:p w14:paraId="5228CAD5">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倍数</w:t>
                  </w:r>
                </w:p>
              </w:tc>
              <w:tc>
                <w:tcPr>
                  <w:tcW w:w="1110" w:type="dxa"/>
                  <w:vAlign w:val="center"/>
                </w:tcPr>
                <w:p w14:paraId="01FA3130">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达标情况</w:t>
                  </w:r>
                </w:p>
              </w:tc>
            </w:tr>
            <w:tr w14:paraId="741D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98" w:type="dxa"/>
                  <w:vAlign w:val="center"/>
                </w:tcPr>
                <w:p w14:paraId="378EB34E">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SO</w:t>
                  </w:r>
                  <w:r>
                    <w:rPr>
                      <w:rFonts w:ascii="Times New Roman" w:cs="Times New Roman"/>
                      <w:b w:val="0"/>
                      <w:color w:val="000000" w:themeColor="text1"/>
                      <w:sz w:val="21"/>
                      <w:szCs w:val="21"/>
                      <w:vertAlign w:val="subscript"/>
                      <w14:textFill>
                        <w14:solidFill>
                          <w14:schemeClr w14:val="tx1"/>
                        </w14:solidFill>
                      </w14:textFill>
                    </w:rPr>
                    <w:t>2</w:t>
                  </w:r>
                </w:p>
              </w:tc>
              <w:tc>
                <w:tcPr>
                  <w:tcW w:w="1824" w:type="dxa"/>
                  <w:vAlign w:val="center"/>
                </w:tcPr>
                <w:p w14:paraId="788181BD">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年平均</w:t>
                  </w:r>
                </w:p>
              </w:tc>
              <w:tc>
                <w:tcPr>
                  <w:tcW w:w="735" w:type="dxa"/>
                  <w:vAlign w:val="center"/>
                </w:tcPr>
                <w:p w14:paraId="1B5B17AA">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7</w:t>
                  </w:r>
                </w:p>
              </w:tc>
              <w:tc>
                <w:tcPr>
                  <w:tcW w:w="1136" w:type="dxa"/>
                  <w:vAlign w:val="center"/>
                </w:tcPr>
                <w:p w14:paraId="10A78CBC">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60</w:t>
                  </w:r>
                </w:p>
              </w:tc>
              <w:tc>
                <w:tcPr>
                  <w:tcW w:w="1120" w:type="dxa"/>
                  <w:vAlign w:val="center"/>
                </w:tcPr>
                <w:p w14:paraId="06CEAFB7">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11.67</w:t>
                  </w:r>
                </w:p>
              </w:tc>
              <w:tc>
                <w:tcPr>
                  <w:tcW w:w="888" w:type="dxa"/>
                  <w:vAlign w:val="center"/>
                </w:tcPr>
                <w:p w14:paraId="4237A16C">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6B3890F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r w14:paraId="3A07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98" w:type="dxa"/>
                  <w:vAlign w:val="center"/>
                </w:tcPr>
                <w:p w14:paraId="1D40D304">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NO</w:t>
                  </w:r>
                  <w:r>
                    <w:rPr>
                      <w:rFonts w:ascii="Times New Roman" w:cs="Times New Roman"/>
                      <w:b w:val="0"/>
                      <w:color w:val="000000" w:themeColor="text1"/>
                      <w:sz w:val="21"/>
                      <w:szCs w:val="21"/>
                      <w:vertAlign w:val="subscript"/>
                      <w14:textFill>
                        <w14:solidFill>
                          <w14:schemeClr w14:val="tx1"/>
                        </w14:solidFill>
                      </w14:textFill>
                    </w:rPr>
                    <w:t>2</w:t>
                  </w:r>
                </w:p>
              </w:tc>
              <w:tc>
                <w:tcPr>
                  <w:tcW w:w="1824" w:type="dxa"/>
                  <w:vAlign w:val="center"/>
                </w:tcPr>
                <w:p w14:paraId="5AEBFF51">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年平均</w:t>
                  </w:r>
                </w:p>
              </w:tc>
              <w:tc>
                <w:tcPr>
                  <w:tcW w:w="735" w:type="dxa"/>
                  <w:vAlign w:val="center"/>
                </w:tcPr>
                <w:p w14:paraId="2AAEAF7A">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25</w:t>
                  </w:r>
                </w:p>
              </w:tc>
              <w:tc>
                <w:tcPr>
                  <w:tcW w:w="1136" w:type="dxa"/>
                  <w:vAlign w:val="center"/>
                </w:tcPr>
                <w:p w14:paraId="0A8EA82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40</w:t>
                  </w:r>
                </w:p>
              </w:tc>
              <w:tc>
                <w:tcPr>
                  <w:tcW w:w="1120" w:type="dxa"/>
                  <w:vAlign w:val="center"/>
                </w:tcPr>
                <w:p w14:paraId="1DD48E12">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62.5</w:t>
                  </w:r>
                </w:p>
              </w:tc>
              <w:tc>
                <w:tcPr>
                  <w:tcW w:w="888" w:type="dxa"/>
                  <w:vAlign w:val="center"/>
                </w:tcPr>
                <w:p w14:paraId="7E5B1616">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076B4A2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r w14:paraId="62A0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198" w:type="dxa"/>
                  <w:vAlign w:val="center"/>
                </w:tcPr>
                <w:p w14:paraId="45E60DFB">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PM</w:t>
                  </w:r>
                  <w:r>
                    <w:rPr>
                      <w:rFonts w:ascii="Times New Roman" w:cs="Times New Roman"/>
                      <w:b w:val="0"/>
                      <w:color w:val="000000" w:themeColor="text1"/>
                      <w:sz w:val="21"/>
                      <w:szCs w:val="21"/>
                      <w:vertAlign w:val="subscript"/>
                      <w14:textFill>
                        <w14:solidFill>
                          <w14:schemeClr w14:val="tx1"/>
                        </w14:solidFill>
                      </w14:textFill>
                    </w:rPr>
                    <w:t>10</w:t>
                  </w:r>
                </w:p>
              </w:tc>
              <w:tc>
                <w:tcPr>
                  <w:tcW w:w="1824" w:type="dxa"/>
                  <w:vAlign w:val="center"/>
                </w:tcPr>
                <w:p w14:paraId="25B34228">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年平均</w:t>
                  </w:r>
                </w:p>
              </w:tc>
              <w:tc>
                <w:tcPr>
                  <w:tcW w:w="735" w:type="dxa"/>
                  <w:vAlign w:val="center"/>
                </w:tcPr>
                <w:p w14:paraId="68FDC88D">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67</w:t>
                  </w:r>
                </w:p>
              </w:tc>
              <w:tc>
                <w:tcPr>
                  <w:tcW w:w="1136" w:type="dxa"/>
                  <w:vAlign w:val="center"/>
                </w:tcPr>
                <w:p w14:paraId="6B03C91F">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60</w:t>
                  </w:r>
                </w:p>
              </w:tc>
              <w:tc>
                <w:tcPr>
                  <w:tcW w:w="1120" w:type="dxa"/>
                  <w:vAlign w:val="center"/>
                </w:tcPr>
                <w:p w14:paraId="0B47ACCA">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111.67</w:t>
                  </w:r>
                </w:p>
              </w:tc>
              <w:tc>
                <w:tcPr>
                  <w:tcW w:w="888" w:type="dxa"/>
                  <w:vAlign w:val="center"/>
                </w:tcPr>
                <w:p w14:paraId="57BC850B">
                  <w:pPr>
                    <w:pStyle w:val="27"/>
                    <w:rPr>
                      <w:rFonts w:hint="default" w:asci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cs="Times New Roman"/>
                      <w:b w:val="0"/>
                      <w:color w:val="000000" w:themeColor="text1"/>
                      <w:sz w:val="21"/>
                      <w:szCs w:val="21"/>
                      <w:lang w:val="en-US" w:eastAsia="zh-CN"/>
                      <w14:textFill>
                        <w14:solidFill>
                          <w14:schemeClr w14:val="tx1"/>
                        </w14:solidFill>
                      </w14:textFill>
                    </w:rPr>
                    <w:t>1.12</w:t>
                  </w:r>
                </w:p>
              </w:tc>
              <w:tc>
                <w:tcPr>
                  <w:tcW w:w="1110" w:type="dxa"/>
                  <w:vAlign w:val="center"/>
                </w:tcPr>
                <w:p w14:paraId="7648D1A8">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超标</w:t>
                  </w:r>
                </w:p>
              </w:tc>
            </w:tr>
            <w:tr w14:paraId="40DE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198" w:type="dxa"/>
                  <w:vAlign w:val="center"/>
                </w:tcPr>
                <w:p w14:paraId="31DF0FC5">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PM</w:t>
                  </w:r>
                  <w:r>
                    <w:rPr>
                      <w:rFonts w:hint="eastAsia" w:ascii="Times New Roman" w:cs="Times New Roman"/>
                      <w:b w:val="0"/>
                      <w:color w:val="000000" w:themeColor="text1"/>
                      <w:sz w:val="21"/>
                      <w:szCs w:val="21"/>
                      <w:vertAlign w:val="subscript"/>
                      <w14:textFill>
                        <w14:solidFill>
                          <w14:schemeClr w14:val="tx1"/>
                        </w14:solidFill>
                      </w14:textFill>
                    </w:rPr>
                    <w:t>2.5</w:t>
                  </w:r>
                </w:p>
              </w:tc>
              <w:tc>
                <w:tcPr>
                  <w:tcW w:w="1824" w:type="dxa"/>
                  <w:vAlign w:val="center"/>
                </w:tcPr>
                <w:p w14:paraId="556CD1E1">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年平均</w:t>
                  </w:r>
                </w:p>
              </w:tc>
              <w:tc>
                <w:tcPr>
                  <w:tcW w:w="735" w:type="dxa"/>
                  <w:vAlign w:val="center"/>
                </w:tcPr>
                <w:p w14:paraId="4ABC925C">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37</w:t>
                  </w:r>
                </w:p>
              </w:tc>
              <w:tc>
                <w:tcPr>
                  <w:tcW w:w="1136" w:type="dxa"/>
                  <w:vAlign w:val="center"/>
                </w:tcPr>
                <w:p w14:paraId="3F47A34C">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30</w:t>
                  </w:r>
                </w:p>
              </w:tc>
              <w:tc>
                <w:tcPr>
                  <w:tcW w:w="1120" w:type="dxa"/>
                  <w:vAlign w:val="center"/>
                </w:tcPr>
                <w:p w14:paraId="3A506636">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123.33</w:t>
                  </w:r>
                </w:p>
              </w:tc>
              <w:tc>
                <w:tcPr>
                  <w:tcW w:w="888" w:type="dxa"/>
                  <w:vAlign w:val="center"/>
                </w:tcPr>
                <w:p w14:paraId="396E0A06">
                  <w:pPr>
                    <w:pStyle w:val="27"/>
                    <w:rPr>
                      <w:rFonts w:hint="default" w:asci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cs="Times New Roman"/>
                      <w:b w:val="0"/>
                      <w:color w:val="000000" w:themeColor="text1"/>
                      <w:sz w:val="21"/>
                      <w:szCs w:val="21"/>
                      <w:lang w:val="en-US" w:eastAsia="zh-CN"/>
                      <w14:textFill>
                        <w14:solidFill>
                          <w14:schemeClr w14:val="tx1"/>
                        </w14:solidFill>
                      </w14:textFill>
                    </w:rPr>
                    <w:t>1.23</w:t>
                  </w:r>
                </w:p>
              </w:tc>
              <w:tc>
                <w:tcPr>
                  <w:tcW w:w="1110" w:type="dxa"/>
                  <w:vAlign w:val="center"/>
                </w:tcPr>
                <w:p w14:paraId="4D834AF1">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超标</w:t>
                  </w:r>
                </w:p>
              </w:tc>
            </w:tr>
            <w:tr w14:paraId="3BFD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98" w:type="dxa"/>
                  <w:vMerge w:val="restart"/>
                  <w:vAlign w:val="center"/>
                </w:tcPr>
                <w:p w14:paraId="3F5DCD7A">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CO（mg/m</w:t>
                  </w:r>
                  <w:r>
                    <w:rPr>
                      <w:rFonts w:ascii="Times New Roman" w:cs="Times New Roman"/>
                      <w:b w:val="0"/>
                      <w:color w:val="000000" w:themeColor="text1"/>
                      <w:sz w:val="21"/>
                      <w:szCs w:val="21"/>
                      <w:vertAlign w:val="superscript"/>
                      <w14:textFill>
                        <w14:solidFill>
                          <w14:schemeClr w14:val="tx1"/>
                        </w14:solidFill>
                      </w14:textFill>
                    </w:rPr>
                    <w:t>3</w:t>
                  </w:r>
                  <w:r>
                    <w:rPr>
                      <w:rFonts w:ascii="Times New Roman" w:cs="Times New Roman"/>
                      <w:b w:val="0"/>
                      <w:color w:val="000000" w:themeColor="text1"/>
                      <w:sz w:val="21"/>
                      <w:szCs w:val="21"/>
                      <w14:textFill>
                        <w14:solidFill>
                          <w14:schemeClr w14:val="tx1"/>
                        </w14:solidFill>
                      </w14:textFill>
                    </w:rPr>
                    <w:t>）</w:t>
                  </w:r>
                </w:p>
              </w:tc>
              <w:tc>
                <w:tcPr>
                  <w:tcW w:w="1824" w:type="dxa"/>
                  <w:vAlign w:val="center"/>
                </w:tcPr>
                <w:p w14:paraId="0CA08F4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日平均</w:t>
                  </w:r>
                </w:p>
              </w:tc>
              <w:tc>
                <w:tcPr>
                  <w:tcW w:w="735" w:type="dxa"/>
                  <w:vAlign w:val="center"/>
                </w:tcPr>
                <w:p w14:paraId="06A43A22">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1.6</w:t>
                  </w:r>
                </w:p>
              </w:tc>
              <w:tc>
                <w:tcPr>
                  <w:tcW w:w="1136" w:type="dxa"/>
                  <w:vAlign w:val="center"/>
                </w:tcPr>
                <w:p w14:paraId="6556E073">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4</w:t>
                  </w:r>
                </w:p>
              </w:tc>
              <w:tc>
                <w:tcPr>
                  <w:tcW w:w="1120" w:type="dxa"/>
                  <w:vAlign w:val="center"/>
                </w:tcPr>
                <w:p w14:paraId="50ED7B29">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40</w:t>
                  </w:r>
                </w:p>
              </w:tc>
              <w:tc>
                <w:tcPr>
                  <w:tcW w:w="888" w:type="dxa"/>
                  <w:vAlign w:val="center"/>
                </w:tcPr>
                <w:p w14:paraId="419AB68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675827D6">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r w14:paraId="0E15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98" w:type="dxa"/>
                  <w:vMerge w:val="continue"/>
                  <w:vAlign w:val="center"/>
                </w:tcPr>
                <w:p w14:paraId="79C227FE">
                  <w:pPr>
                    <w:pStyle w:val="27"/>
                    <w:rPr>
                      <w:rFonts w:ascii="Times New Roman" w:cs="Times New Roman"/>
                      <w:b w:val="0"/>
                      <w:color w:val="000000" w:themeColor="text1"/>
                      <w:sz w:val="21"/>
                      <w:szCs w:val="21"/>
                      <w14:textFill>
                        <w14:solidFill>
                          <w14:schemeClr w14:val="tx1"/>
                        </w14:solidFill>
                      </w14:textFill>
                    </w:rPr>
                  </w:pPr>
                </w:p>
              </w:tc>
              <w:tc>
                <w:tcPr>
                  <w:tcW w:w="1824" w:type="dxa"/>
                  <w:vAlign w:val="center"/>
                </w:tcPr>
                <w:p w14:paraId="2885375B">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1小时平均</w:t>
                  </w:r>
                </w:p>
              </w:tc>
              <w:tc>
                <w:tcPr>
                  <w:tcW w:w="735" w:type="dxa"/>
                  <w:vAlign w:val="center"/>
                </w:tcPr>
                <w:p w14:paraId="19A9701C">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w:t>
                  </w:r>
                </w:p>
              </w:tc>
              <w:tc>
                <w:tcPr>
                  <w:tcW w:w="1136" w:type="dxa"/>
                  <w:vAlign w:val="center"/>
                </w:tcPr>
                <w:p w14:paraId="143E91AE">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10</w:t>
                  </w:r>
                </w:p>
              </w:tc>
              <w:tc>
                <w:tcPr>
                  <w:tcW w:w="1120" w:type="dxa"/>
                  <w:vAlign w:val="center"/>
                </w:tcPr>
                <w:p w14:paraId="3F6779D5">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w:t>
                  </w:r>
                </w:p>
              </w:tc>
              <w:tc>
                <w:tcPr>
                  <w:tcW w:w="888" w:type="dxa"/>
                  <w:vAlign w:val="center"/>
                </w:tcPr>
                <w:p w14:paraId="7FB9AE0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11553D19">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r w14:paraId="1686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98" w:type="dxa"/>
                  <w:vMerge w:val="restart"/>
                  <w:vAlign w:val="center"/>
                </w:tcPr>
                <w:p w14:paraId="70DD6D83">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O</w:t>
                  </w:r>
                  <w:r>
                    <w:rPr>
                      <w:rFonts w:ascii="Times New Roman" w:cs="Times New Roman"/>
                      <w:b w:val="0"/>
                      <w:color w:val="000000" w:themeColor="text1"/>
                      <w:sz w:val="21"/>
                      <w:szCs w:val="21"/>
                      <w:vertAlign w:val="subscript"/>
                      <w14:textFill>
                        <w14:solidFill>
                          <w14:schemeClr w14:val="tx1"/>
                        </w14:solidFill>
                      </w14:textFill>
                    </w:rPr>
                    <w:t>3</w:t>
                  </w:r>
                </w:p>
              </w:tc>
              <w:tc>
                <w:tcPr>
                  <w:tcW w:w="1824" w:type="dxa"/>
                  <w:vAlign w:val="center"/>
                </w:tcPr>
                <w:p w14:paraId="79BF2728">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1小时平均</w:t>
                  </w:r>
                </w:p>
              </w:tc>
              <w:tc>
                <w:tcPr>
                  <w:tcW w:w="735" w:type="dxa"/>
                  <w:vAlign w:val="center"/>
                </w:tcPr>
                <w:p w14:paraId="354E3161">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36" w:type="dxa"/>
                  <w:vAlign w:val="center"/>
                </w:tcPr>
                <w:p w14:paraId="13C915DB">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200</w:t>
                  </w:r>
                </w:p>
              </w:tc>
              <w:tc>
                <w:tcPr>
                  <w:tcW w:w="1120" w:type="dxa"/>
                  <w:vAlign w:val="center"/>
                </w:tcPr>
                <w:p w14:paraId="24582E34">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w:t>
                  </w:r>
                </w:p>
              </w:tc>
              <w:tc>
                <w:tcPr>
                  <w:tcW w:w="888" w:type="dxa"/>
                  <w:vAlign w:val="center"/>
                </w:tcPr>
                <w:p w14:paraId="65F14AD8">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74D12505">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r w14:paraId="1499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98" w:type="dxa"/>
                  <w:vMerge w:val="continue"/>
                  <w:vAlign w:val="center"/>
                </w:tcPr>
                <w:p w14:paraId="33B4AE58">
                  <w:pPr>
                    <w:pStyle w:val="27"/>
                    <w:rPr>
                      <w:rFonts w:ascii="Times New Roman" w:cs="Times New Roman"/>
                      <w:b w:val="0"/>
                      <w:color w:val="000000" w:themeColor="text1"/>
                      <w:sz w:val="21"/>
                      <w:szCs w:val="21"/>
                      <w14:textFill>
                        <w14:solidFill>
                          <w14:schemeClr w14:val="tx1"/>
                        </w14:solidFill>
                      </w14:textFill>
                    </w:rPr>
                  </w:pPr>
                </w:p>
              </w:tc>
              <w:tc>
                <w:tcPr>
                  <w:tcW w:w="1824" w:type="dxa"/>
                  <w:vAlign w:val="center"/>
                </w:tcPr>
                <w:p w14:paraId="35912403">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日最大8小时平均</w:t>
                  </w:r>
                </w:p>
              </w:tc>
              <w:tc>
                <w:tcPr>
                  <w:tcW w:w="735" w:type="dxa"/>
                  <w:vAlign w:val="center"/>
                </w:tcPr>
                <w:p w14:paraId="1C1F49DA">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131</w:t>
                  </w:r>
                </w:p>
              </w:tc>
              <w:tc>
                <w:tcPr>
                  <w:tcW w:w="1136" w:type="dxa"/>
                  <w:vAlign w:val="center"/>
                </w:tcPr>
                <w:p w14:paraId="776103F6">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160</w:t>
                  </w:r>
                </w:p>
              </w:tc>
              <w:tc>
                <w:tcPr>
                  <w:tcW w:w="1120" w:type="dxa"/>
                  <w:vAlign w:val="center"/>
                </w:tcPr>
                <w:p w14:paraId="5FE1F76A">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81.86</w:t>
                  </w:r>
                </w:p>
              </w:tc>
              <w:tc>
                <w:tcPr>
                  <w:tcW w:w="888" w:type="dxa"/>
                  <w:vAlign w:val="center"/>
                </w:tcPr>
                <w:p w14:paraId="7ADD91DE">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2131F53A">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bl>
          <w:p w14:paraId="5BA0001E">
            <w:pPr>
              <w:pStyle w:val="27"/>
              <w:spacing w:line="360" w:lineRule="auto"/>
              <w:ind w:firstLine="480" w:firstLineChars="200"/>
              <w:jc w:val="left"/>
              <w:rPr>
                <w:rFonts w:ascii="Times New Roman" w:cs="Times New Roman"/>
                <w:b w:val="0"/>
                <w:bCs/>
                <w:color w:val="000000" w:themeColor="text1"/>
                <w:kern w:val="0"/>
                <w:highlight w:val="yellow"/>
                <w:lang w:val="zh-CN"/>
                <w14:textFill>
                  <w14:solidFill>
                    <w14:schemeClr w14:val="tx1"/>
                  </w14:solidFill>
                </w14:textFill>
              </w:rPr>
            </w:pPr>
            <w:r>
              <w:rPr>
                <w:rFonts w:ascii="Times New Roman" w:cs="Times New Roman"/>
                <w:b w:val="0"/>
                <w:bCs/>
                <w:color w:val="000000" w:themeColor="text1"/>
                <w:kern w:val="0"/>
                <w14:textFill>
                  <w14:solidFill>
                    <w14:schemeClr w14:val="tx1"/>
                  </w14:solidFill>
                </w14:textFill>
              </w:rPr>
              <w:t>由上表可知，</w:t>
            </w:r>
            <w:r>
              <w:rPr>
                <w:rFonts w:ascii="Times New Roman" w:cs="Times New Roman"/>
                <w:b w:val="0"/>
                <w:bCs/>
                <w:color w:val="000000" w:themeColor="text1"/>
                <w14:textFill>
                  <w14:solidFill>
                    <w14:schemeClr w14:val="tx1"/>
                  </w14:solidFill>
                </w14:textFill>
              </w:rPr>
              <w:t>PM</w:t>
            </w:r>
            <w:r>
              <w:rPr>
                <w:rFonts w:ascii="Times New Roman" w:cs="Times New Roman"/>
                <w:b w:val="0"/>
                <w:bCs/>
                <w:color w:val="000000" w:themeColor="text1"/>
                <w:vertAlign w:val="subscript"/>
                <w14:textFill>
                  <w14:solidFill>
                    <w14:schemeClr w14:val="tx1"/>
                  </w14:solidFill>
                </w14:textFill>
              </w:rPr>
              <w:t>10</w:t>
            </w:r>
            <w:r>
              <w:rPr>
                <w:rFonts w:hint="eastAsia" w:ascii="Times New Roman" w:cs="Times New Roman"/>
                <w:b w:val="0"/>
                <w:bCs/>
                <w:color w:val="000000" w:themeColor="text1"/>
                <w:kern w:val="0"/>
                <w:lang w:val="zh-CN"/>
                <w14:textFill>
                  <w14:solidFill>
                    <w14:schemeClr w14:val="tx1"/>
                  </w14:solidFill>
                </w14:textFill>
              </w:rPr>
              <w:t>、</w:t>
            </w:r>
            <w:r>
              <w:rPr>
                <w:rFonts w:ascii="Times New Roman" w:cs="Times New Roman"/>
                <w:b w:val="0"/>
                <w:bCs/>
                <w:color w:val="000000" w:themeColor="text1"/>
                <w14:textFill>
                  <w14:solidFill>
                    <w14:schemeClr w14:val="tx1"/>
                  </w14:solidFill>
                </w14:textFill>
              </w:rPr>
              <w:t>PM</w:t>
            </w:r>
            <w:r>
              <w:rPr>
                <w:rFonts w:hint="eastAsia" w:ascii="Times New Roman" w:cs="Times New Roman"/>
                <w:b w:val="0"/>
                <w:bCs/>
                <w:color w:val="000000" w:themeColor="text1"/>
                <w:vertAlign w:val="subscript"/>
                <w14:textFill>
                  <w14:solidFill>
                    <w14:schemeClr w14:val="tx1"/>
                  </w14:solidFill>
                </w14:textFill>
              </w:rPr>
              <w:t>2.5</w:t>
            </w:r>
            <w:r>
              <w:rPr>
                <w:rFonts w:ascii="Times New Roman" w:cs="Times New Roman"/>
                <w:b w:val="0"/>
                <w:bCs/>
                <w:color w:val="000000" w:themeColor="text1"/>
                <w:kern w:val="0"/>
                <w:lang w:val="zh-CN"/>
                <w14:textFill>
                  <w14:solidFill>
                    <w14:schemeClr w14:val="tx1"/>
                  </w14:solidFill>
                </w14:textFill>
              </w:rPr>
              <w:t>污染物平均浓度</w:t>
            </w:r>
            <w:r>
              <w:rPr>
                <w:rFonts w:hint="eastAsia" w:ascii="Times New Roman" w:cs="Times New Roman"/>
                <w:b w:val="0"/>
                <w:bCs/>
                <w:color w:val="000000" w:themeColor="text1"/>
                <w:kern w:val="0"/>
                <w14:textFill>
                  <w14:solidFill>
                    <w14:schemeClr w14:val="tx1"/>
                  </w14:solidFill>
                </w14:textFill>
              </w:rPr>
              <w:t>不</w:t>
            </w:r>
            <w:r>
              <w:rPr>
                <w:rFonts w:ascii="Times New Roman" w:cs="Times New Roman"/>
                <w:b w:val="0"/>
                <w:bCs/>
                <w:color w:val="000000" w:themeColor="text1"/>
                <w:kern w:val="0"/>
                <w14:textFill>
                  <w14:solidFill>
                    <w14:schemeClr w14:val="tx1"/>
                  </w14:solidFill>
                </w14:textFill>
              </w:rPr>
              <w:t>满足</w:t>
            </w:r>
            <w:r>
              <w:rPr>
                <w:rFonts w:ascii="Times New Roman" w:cs="Times New Roman"/>
                <w:b w:val="0"/>
                <w:bCs/>
                <w:color w:val="000000" w:themeColor="text1"/>
                <w:kern w:val="0"/>
                <w:lang w:val="zh-CN"/>
                <w14:textFill>
                  <w14:solidFill>
                    <w14:schemeClr w14:val="tx1"/>
                  </w14:solidFill>
                </w14:textFill>
              </w:rPr>
              <w:t>《环境空气质量标准》（GB3095-20</w:t>
            </w:r>
            <w:r>
              <w:rPr>
                <w:rFonts w:ascii="Times New Roman" w:cs="Times New Roman"/>
                <w:b w:val="0"/>
                <w:bCs/>
                <w:color w:val="000000" w:themeColor="text1"/>
                <w:kern w:val="0"/>
                <w14:textFill>
                  <w14:solidFill>
                    <w14:schemeClr w14:val="tx1"/>
                  </w14:solidFill>
                </w14:textFill>
              </w:rPr>
              <w:t>26</w:t>
            </w:r>
            <w:r>
              <w:rPr>
                <w:rFonts w:ascii="Times New Roman" w:cs="Times New Roman"/>
                <w:b w:val="0"/>
                <w:bCs/>
                <w:color w:val="000000" w:themeColor="text1"/>
                <w:kern w:val="0"/>
                <w:lang w:val="zh-CN"/>
                <w14:textFill>
                  <w14:solidFill>
                    <w14:schemeClr w14:val="tx1"/>
                  </w14:solidFill>
                </w14:textFill>
              </w:rPr>
              <w:t>）</w:t>
            </w:r>
            <w:r>
              <w:rPr>
                <w:rFonts w:ascii="Times New Roman" w:cs="Times New Roman"/>
                <w:b w:val="0"/>
                <w:bCs/>
                <w:color w:val="000000" w:themeColor="text1"/>
                <w:kern w:val="0"/>
                <w14:textFill>
                  <w14:solidFill>
                    <w14:schemeClr w14:val="tx1"/>
                  </w14:solidFill>
                </w14:textFill>
              </w:rPr>
              <w:t>表1</w:t>
            </w:r>
            <w:r>
              <w:rPr>
                <w:rFonts w:ascii="Times New Roman" w:cs="Times New Roman"/>
                <w:b w:val="0"/>
                <w:bCs/>
                <w:color w:val="000000" w:themeColor="text1"/>
                <w:kern w:val="0"/>
                <w:lang w:val="zh-CN"/>
                <w14:textFill>
                  <w14:solidFill>
                    <w14:schemeClr w14:val="tx1"/>
                  </w14:solidFill>
                </w14:textFill>
              </w:rPr>
              <w:t>中</w:t>
            </w:r>
            <w:r>
              <w:rPr>
                <w:rFonts w:ascii="Times New Roman" w:cs="Times New Roman"/>
                <w:b w:val="0"/>
                <w:bCs/>
                <w:color w:val="000000" w:themeColor="text1"/>
                <w:kern w:val="0"/>
                <w14:textFill>
                  <w14:solidFill>
                    <w14:schemeClr w14:val="tx1"/>
                  </w14:solidFill>
                </w14:textFill>
              </w:rPr>
              <w:t>过渡阶段</w:t>
            </w:r>
            <w:r>
              <w:rPr>
                <w:rFonts w:ascii="Times New Roman" w:cs="Times New Roman"/>
                <w:b w:val="0"/>
                <w:bCs/>
                <w:color w:val="000000" w:themeColor="text1"/>
                <w:kern w:val="0"/>
                <w:lang w:val="zh-CN"/>
                <w14:textFill>
                  <w14:solidFill>
                    <w14:schemeClr w14:val="tx1"/>
                  </w14:solidFill>
                </w14:textFill>
              </w:rPr>
              <w:t>二级标准</w:t>
            </w:r>
            <w:r>
              <w:rPr>
                <w:rFonts w:ascii="Times New Roman" w:cs="Times New Roman"/>
                <w:b w:val="0"/>
                <w:bCs/>
                <w:color w:val="000000" w:themeColor="text1"/>
                <w:kern w:val="0"/>
                <w14:textFill>
                  <w14:solidFill>
                    <w14:schemeClr w14:val="tx1"/>
                  </w14:solidFill>
                </w14:textFill>
              </w:rPr>
              <w:t>浓度</w:t>
            </w:r>
            <w:r>
              <w:rPr>
                <w:rFonts w:ascii="Times New Roman" w:cs="Times New Roman"/>
                <w:b w:val="0"/>
                <w:bCs/>
                <w:color w:val="000000" w:themeColor="text1"/>
                <w:kern w:val="0"/>
                <w:lang w:val="zh-CN"/>
                <w14:textFill>
                  <w14:solidFill>
                    <w14:schemeClr w14:val="tx1"/>
                  </w14:solidFill>
                </w14:textFill>
              </w:rPr>
              <w:t>限值，</w:t>
            </w:r>
            <w:r>
              <w:rPr>
                <w:rFonts w:hint="eastAsia" w:ascii="Times New Roman" w:cs="Times New Roman"/>
                <w:b w:val="0"/>
                <w:bCs/>
                <w:color w:val="000000" w:themeColor="text1"/>
                <w:kern w:val="0"/>
                <w14:textFill>
                  <w14:solidFill>
                    <w14:schemeClr w14:val="tx1"/>
                  </w14:solidFill>
                </w14:textFill>
              </w:rPr>
              <w:t>其余污染物浓度满足</w:t>
            </w:r>
            <w:r>
              <w:rPr>
                <w:rFonts w:ascii="Times New Roman" w:cs="Times New Roman"/>
                <w:b w:val="0"/>
                <w:bCs/>
                <w:color w:val="000000" w:themeColor="text1"/>
                <w:kern w:val="0"/>
                <w:lang w:val="zh-CN"/>
                <w14:textFill>
                  <w14:solidFill>
                    <w14:schemeClr w14:val="tx1"/>
                  </w14:solidFill>
                </w14:textFill>
              </w:rPr>
              <w:t>《环境空气质量标准》（GB3095-20</w:t>
            </w:r>
            <w:r>
              <w:rPr>
                <w:rFonts w:ascii="Times New Roman" w:cs="Times New Roman"/>
                <w:b w:val="0"/>
                <w:bCs/>
                <w:color w:val="000000" w:themeColor="text1"/>
                <w:kern w:val="0"/>
                <w14:textFill>
                  <w14:solidFill>
                    <w14:schemeClr w14:val="tx1"/>
                  </w14:solidFill>
                </w14:textFill>
              </w:rPr>
              <w:t>26</w:t>
            </w:r>
            <w:r>
              <w:rPr>
                <w:rFonts w:ascii="Times New Roman" w:cs="Times New Roman"/>
                <w:b w:val="0"/>
                <w:bCs/>
                <w:color w:val="000000" w:themeColor="text1"/>
                <w:kern w:val="0"/>
                <w:lang w:val="zh-CN"/>
                <w14:textFill>
                  <w14:solidFill>
                    <w14:schemeClr w14:val="tx1"/>
                  </w14:solidFill>
                </w14:textFill>
              </w:rPr>
              <w:t>）</w:t>
            </w:r>
            <w:r>
              <w:rPr>
                <w:rFonts w:ascii="Times New Roman" w:cs="Times New Roman"/>
                <w:b w:val="0"/>
                <w:bCs/>
                <w:color w:val="000000" w:themeColor="text1"/>
                <w:kern w:val="0"/>
                <w14:textFill>
                  <w14:solidFill>
                    <w14:schemeClr w14:val="tx1"/>
                  </w14:solidFill>
                </w14:textFill>
              </w:rPr>
              <w:t>表1</w:t>
            </w:r>
            <w:r>
              <w:rPr>
                <w:rFonts w:ascii="Times New Roman" w:cs="Times New Roman"/>
                <w:b w:val="0"/>
                <w:bCs/>
                <w:color w:val="000000" w:themeColor="text1"/>
                <w:kern w:val="0"/>
                <w:lang w:val="zh-CN"/>
                <w14:textFill>
                  <w14:solidFill>
                    <w14:schemeClr w14:val="tx1"/>
                  </w14:solidFill>
                </w14:textFill>
              </w:rPr>
              <w:t>中</w:t>
            </w:r>
            <w:r>
              <w:rPr>
                <w:rFonts w:ascii="Times New Roman" w:cs="Times New Roman"/>
                <w:b w:val="0"/>
                <w:bCs/>
                <w:color w:val="000000" w:themeColor="text1"/>
                <w:kern w:val="0"/>
                <w14:textFill>
                  <w14:solidFill>
                    <w14:schemeClr w14:val="tx1"/>
                  </w14:solidFill>
                </w14:textFill>
              </w:rPr>
              <w:t>过渡阶段</w:t>
            </w:r>
            <w:r>
              <w:rPr>
                <w:rFonts w:ascii="Times New Roman" w:cs="Times New Roman"/>
                <w:b w:val="0"/>
                <w:bCs/>
                <w:color w:val="000000" w:themeColor="text1"/>
                <w:kern w:val="0"/>
                <w:lang w:val="zh-CN"/>
                <w14:textFill>
                  <w14:solidFill>
                    <w14:schemeClr w14:val="tx1"/>
                  </w14:solidFill>
                </w14:textFill>
              </w:rPr>
              <w:t>二级标准</w:t>
            </w:r>
            <w:r>
              <w:rPr>
                <w:rFonts w:ascii="Times New Roman" w:cs="Times New Roman"/>
                <w:b w:val="0"/>
                <w:bCs/>
                <w:color w:val="000000" w:themeColor="text1"/>
                <w:kern w:val="0"/>
                <w14:textFill>
                  <w14:solidFill>
                    <w14:schemeClr w14:val="tx1"/>
                  </w14:solidFill>
                </w14:textFill>
              </w:rPr>
              <w:t>浓度</w:t>
            </w:r>
            <w:r>
              <w:rPr>
                <w:rFonts w:ascii="Times New Roman" w:cs="Times New Roman"/>
                <w:b w:val="0"/>
                <w:bCs/>
                <w:color w:val="000000" w:themeColor="text1"/>
                <w:kern w:val="0"/>
                <w:lang w:val="zh-CN"/>
                <w14:textFill>
                  <w14:solidFill>
                    <w14:schemeClr w14:val="tx1"/>
                  </w14:solidFill>
                </w14:textFill>
              </w:rPr>
              <w:t>限值</w:t>
            </w:r>
            <w:r>
              <w:rPr>
                <w:rFonts w:hint="eastAsia" w:ascii="Times New Roman" w:cs="Times New Roman"/>
                <w:b w:val="0"/>
                <w:bCs/>
                <w:color w:val="000000" w:themeColor="text1"/>
                <w:kern w:val="0"/>
                <w:lang w:val="zh-CN"/>
                <w14:textFill>
                  <w14:solidFill>
                    <w14:schemeClr w14:val="tx1"/>
                  </w14:solidFill>
                </w14:textFill>
              </w:rPr>
              <w:t>，</w:t>
            </w:r>
            <w:r>
              <w:rPr>
                <w:rFonts w:ascii="Times New Roman" w:cs="Times New Roman"/>
                <w:b w:val="0"/>
                <w:bCs/>
                <w:color w:val="000000" w:themeColor="text1"/>
                <w:kern w:val="0"/>
                <w14:textFill>
                  <w14:solidFill>
                    <w14:schemeClr w14:val="tx1"/>
                  </w14:solidFill>
                </w14:textFill>
              </w:rPr>
              <w:t>项目所在区域为</w:t>
            </w:r>
            <w:r>
              <w:rPr>
                <w:rFonts w:hint="eastAsia" w:ascii="Times New Roman" w:cs="Times New Roman"/>
                <w:b w:val="0"/>
                <w:bCs/>
                <w:color w:val="000000" w:themeColor="text1"/>
                <w:kern w:val="0"/>
                <w14:textFill>
                  <w14:solidFill>
                    <w14:schemeClr w14:val="tx1"/>
                  </w14:solidFill>
                </w14:textFill>
              </w:rPr>
              <w:t>不</w:t>
            </w:r>
            <w:r>
              <w:rPr>
                <w:rFonts w:ascii="Times New Roman" w:cs="Times New Roman"/>
                <w:b w:val="0"/>
                <w:bCs/>
                <w:color w:val="000000" w:themeColor="text1"/>
                <w:kern w:val="0"/>
                <w:lang w:val="zh-CN"/>
                <w14:textFill>
                  <w14:solidFill>
                    <w14:schemeClr w14:val="tx1"/>
                  </w14:solidFill>
                </w14:textFill>
              </w:rPr>
              <w:t>达标区。</w:t>
            </w:r>
          </w:p>
          <w:p w14:paraId="24315DFC">
            <w:pPr>
              <w:ind w:firstLine="480"/>
              <w:rPr>
                <w:color w:val="000000" w:themeColor="text1"/>
                <w14:textFill>
                  <w14:solidFill>
                    <w14:schemeClr w14:val="tx1"/>
                  </w14:solidFill>
                </w14:textFill>
              </w:rPr>
            </w:pPr>
            <w:r>
              <w:rPr>
                <w:color w:val="000000" w:themeColor="text1"/>
                <w:kern w:val="0"/>
                <w14:textFill>
                  <w14:solidFill>
                    <w14:schemeClr w14:val="tx1"/>
                  </w14:solidFill>
                </w14:textFill>
              </w:rPr>
              <w:t>为持续降低区域</w:t>
            </w:r>
            <w:r>
              <w:rPr>
                <w:bCs/>
                <w:color w:val="000000" w:themeColor="text1"/>
                <w14:textFill>
                  <w14:solidFill>
                    <w14:schemeClr w14:val="tx1"/>
                  </w14:solidFill>
                </w14:textFill>
              </w:rPr>
              <w:t>PM</w:t>
            </w:r>
            <w:r>
              <w:rPr>
                <w:bCs/>
                <w:color w:val="000000" w:themeColor="text1"/>
                <w:vertAlign w:val="subscript"/>
                <w14:textFill>
                  <w14:solidFill>
                    <w14:schemeClr w14:val="tx1"/>
                  </w14:solidFill>
                </w14:textFill>
              </w:rPr>
              <w:t>10</w:t>
            </w:r>
            <w:r>
              <w:rPr>
                <w:bCs/>
                <w:color w:val="000000" w:themeColor="text1"/>
                <w:kern w:val="0"/>
                <w:lang w:val="zh-CN"/>
                <w14:textFill>
                  <w14:solidFill>
                    <w14:schemeClr w14:val="tx1"/>
                  </w14:solidFill>
                </w14:textFill>
              </w:rPr>
              <w:t>、</w:t>
            </w:r>
            <w:r>
              <w:rPr>
                <w:bCs/>
                <w:color w:val="000000" w:themeColor="text1"/>
                <w14:textFill>
                  <w14:solidFill>
                    <w14:schemeClr w14:val="tx1"/>
                  </w14:solidFill>
                </w14:textFill>
              </w:rPr>
              <w:t>PM</w:t>
            </w:r>
            <w:r>
              <w:rPr>
                <w:bCs/>
                <w:color w:val="000000" w:themeColor="text1"/>
                <w:vertAlign w:val="subscript"/>
                <w14:textFill>
                  <w14:solidFill>
                    <w14:schemeClr w14:val="tx1"/>
                  </w14:solidFill>
                </w14:textFill>
              </w:rPr>
              <w:t>2.5</w:t>
            </w:r>
            <w:r>
              <w:rPr>
                <w:color w:val="000000" w:themeColor="text1"/>
                <w:kern w:val="0"/>
                <w14:textFill>
                  <w14:solidFill>
                    <w14:schemeClr w14:val="tx1"/>
                  </w14:solidFill>
                </w14:textFill>
              </w:rPr>
              <w:t>浓度、推进空气质量达标，奇台县已出台系列大气污染治理管控文件，主要包括《奇台县2024-2025年生态环保攻坚行动方案》（奇环委办发〔2024〕2号）、《奇台县生态建设与环境保护第十四个五年规划》《关于调整奇台县高污染燃料禁燃区的通告》，同步执行《昌吉回族自治州重污染天气应急预案（2023年修订）》《昌吉回族自治州生态环境保护与建设“十四五”规划》及《新疆维吾尔自治区大气污染防治条例</w:t>
            </w:r>
            <w:r>
              <w:rPr>
                <w:rFonts w:hint="eastAsia"/>
                <w:color w:val="000000" w:themeColor="text1"/>
                <w:kern w:val="0"/>
                <w14:textFill>
                  <w14:solidFill>
                    <w14:schemeClr w14:val="tx1"/>
                  </w14:solidFill>
                </w14:textFill>
              </w:rPr>
              <w:t>》等</w:t>
            </w:r>
            <w:r>
              <w:rPr>
                <w:color w:val="000000" w:themeColor="text1"/>
                <w:kern w:val="0"/>
                <w14:textFill>
                  <w14:solidFill>
                    <w14:schemeClr w14:val="tx1"/>
                  </w14:solidFill>
                </w14:textFill>
              </w:rPr>
              <w:t>相关管控要求，聚焦扬尘、工业无组织粉尘、燃煤、移动源、沙尘生态修复五大方向实施全域颗粒物削减。</w:t>
            </w:r>
          </w:p>
          <w:p w14:paraId="14EF5348">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2.2 水环境质量现状</w:t>
            </w:r>
          </w:p>
          <w:p w14:paraId="3C5AB69E">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本项目区</w:t>
            </w:r>
            <w:r>
              <w:rPr>
                <w:rFonts w:hint="eastAsia" w:ascii="Times New Roman" w:hAnsi="Times New Roman"/>
                <w:color w:val="000000" w:themeColor="text1"/>
                <w:sz w:val="24"/>
                <w:szCs w:val="24"/>
                <w14:textFill>
                  <w14:solidFill>
                    <w14:schemeClr w14:val="tx1"/>
                  </w14:solidFill>
                </w14:textFill>
              </w:rPr>
              <w:t>西侧730m有墒户十六队斗渠，</w:t>
            </w:r>
            <w:r>
              <w:rPr>
                <w:rFonts w:ascii="Times New Roman" w:hAnsi="Times New Roman"/>
                <w:color w:val="000000" w:themeColor="text1"/>
                <w:sz w:val="24"/>
                <w:szCs w:val="24"/>
                <w14:textFill>
                  <w14:solidFill>
                    <w14:schemeClr w14:val="tx1"/>
                  </w14:solidFill>
                </w14:textFill>
              </w:rPr>
              <w:t>项目钻井期间钻井废水</w:t>
            </w:r>
            <w:r>
              <w:rPr>
                <w:rFonts w:hint="eastAsia" w:ascii="Times New Roman" w:hAnsi="Times New Roman"/>
                <w:color w:val="000000" w:themeColor="text1"/>
                <w:sz w:val="24"/>
                <w:szCs w:val="24"/>
                <w14:textFill>
                  <w14:solidFill>
                    <w14:schemeClr w14:val="tx1"/>
                  </w14:solidFill>
                </w14:textFill>
              </w:rPr>
              <w:t>循环使用，</w:t>
            </w:r>
            <w:r>
              <w:rPr>
                <w:rFonts w:hint="eastAsia" w:ascii="Times New Roman" w:hAnsi="Times New Roman"/>
                <w:color w:val="000000" w:themeColor="text1"/>
                <w:sz w:val="24"/>
                <w:szCs w:val="24"/>
                <w:lang w:val="en-US" w:eastAsia="zh-CN"/>
                <w14:textFill>
                  <w14:solidFill>
                    <w14:schemeClr w14:val="tx1"/>
                  </w14:solidFill>
                </w14:textFill>
              </w:rPr>
              <w:t>剩余水基/油基泥浆由钻井队委托专业公司合规处置，</w:t>
            </w:r>
            <w:r>
              <w:rPr>
                <w:rFonts w:ascii="Times New Roman" w:hAnsi="Times New Roman"/>
                <w:color w:val="000000" w:themeColor="text1"/>
                <w:sz w:val="24"/>
                <w:szCs w:val="24"/>
                <w14:textFill>
                  <w14:solidFill>
                    <w14:schemeClr w14:val="tx1"/>
                  </w14:solidFill>
                </w14:textFill>
              </w:rPr>
              <w:t>生活污水拉运至</w:t>
            </w:r>
            <w:r>
              <w:rPr>
                <w:rFonts w:hint="eastAsia" w:ascii="Times New Roman" w:hAnsi="Times New Roman"/>
                <w:color w:val="000000" w:themeColor="text1"/>
                <w:sz w:val="24"/>
                <w:szCs w:val="24"/>
                <w14:textFill>
                  <w14:solidFill>
                    <w14:schemeClr w14:val="tx1"/>
                  </w14:solidFill>
                </w14:textFill>
              </w:rPr>
              <w:t>吉木萨尔县</w:t>
            </w:r>
            <w:r>
              <w:rPr>
                <w:rFonts w:ascii="Times New Roman" w:hAnsi="Times New Roman"/>
                <w:color w:val="000000" w:themeColor="text1"/>
                <w:sz w:val="24"/>
                <w:szCs w:val="24"/>
                <w14:textFill>
                  <w14:solidFill>
                    <w14:schemeClr w14:val="tx1"/>
                  </w14:solidFill>
                </w14:textFill>
              </w:rPr>
              <w:t>污水处理站处理，与地表水体无水力联系，本次未对地表水环境进行现状评价。</w:t>
            </w:r>
          </w:p>
          <w:p w14:paraId="7F1C8D7B">
            <w:pPr>
              <w:pStyle w:val="32"/>
              <w:adjustRightInd/>
              <w:snapToGrid/>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根据《环境影响评价技术导则 地下水环境》（HJ610-2016）中4.1 一般性原则要求：“根据建设项目对地下水环境影响的程度，结合《建设项目环境影响评价分类管理名录》，将建设项目分为四类（地下水导则 附录A）。Ⅰ类、Ⅱ类、Ⅲ类建设项目的地下水环境影响评价应执行本标准，Ⅳ类建设项目不开展地下水环境影响评价。”本项目属于矿产资源勘查活动，地下水环境影响评价项目类别为Ⅳ类，故项目不开展地下水监测。</w:t>
            </w:r>
          </w:p>
          <w:p w14:paraId="056CAFD5">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2.3 声环境质量现状</w:t>
            </w:r>
          </w:p>
          <w:p w14:paraId="35A23381">
            <w:pPr>
              <w:pStyle w:val="32"/>
              <w:rPr>
                <w:rFonts w:ascii="Times New Roman" w:hAnsi="Times New Roman"/>
                <w:snapToGrid w:val="0"/>
                <w:color w:val="000000" w:themeColor="text1"/>
                <w:sz w:val="24"/>
                <w:szCs w:val="24"/>
                <w14:textFill>
                  <w14:solidFill>
                    <w14:schemeClr w14:val="tx1"/>
                  </w14:solidFill>
                </w14:textFill>
              </w:rPr>
            </w:pPr>
            <w:bookmarkStart w:id="9" w:name="OLE_LINK65"/>
            <w:bookmarkStart w:id="10" w:name="OLE_LINK64"/>
            <w:r>
              <w:rPr>
                <w:rFonts w:ascii="Times New Roman" w:hAnsi="Times New Roman"/>
                <w:color w:val="000000" w:themeColor="text1"/>
                <w:sz w:val="24"/>
                <w:szCs w:val="24"/>
                <w14:textFill>
                  <w14:solidFill>
                    <w14:schemeClr w14:val="tx1"/>
                  </w14:solidFill>
                </w14:textFill>
              </w:rPr>
              <w:t>根据《建设项目环境影响报告表编制技术指南（污染影响类）</w:t>
            </w:r>
            <w:r>
              <w:rPr>
                <w:rFonts w:hint="eastAsia" w:ascii="Times New Roman" w:hAnsi="Times New Roman"/>
                <w:color w:val="000000" w:themeColor="text1"/>
                <w:sz w:val="24"/>
                <w:szCs w:val="24"/>
                <w:lang w:eastAsia="zh-CN"/>
                <w14:textFill>
                  <w14:solidFill>
                    <w14:schemeClr w14:val="tx1"/>
                  </w14:solidFill>
                </w14:textFill>
              </w:rPr>
              <w:t>（试行）》</w:t>
            </w:r>
            <w:r>
              <w:rPr>
                <w:rFonts w:ascii="Times New Roman" w:hAnsi="Times New Roman"/>
                <w:color w:val="000000" w:themeColor="text1"/>
                <w:sz w:val="24"/>
                <w:szCs w:val="24"/>
                <w14:textFill>
                  <w14:solidFill>
                    <w14:schemeClr w14:val="tx1"/>
                  </w14:solidFill>
                </w14:textFill>
              </w:rPr>
              <w:t>，本项目周边50m范围内不存在声环境保护目标，无需监测声环境保护目标质量现状。</w:t>
            </w:r>
          </w:p>
          <w:p w14:paraId="2A9EAD63">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2.4 土壤环境质量评价</w:t>
            </w:r>
          </w:p>
          <w:bookmarkEnd w:id="9"/>
          <w:bookmarkEnd w:id="10"/>
          <w:p w14:paraId="246E7A6B">
            <w:pPr>
              <w:pStyle w:val="32"/>
              <w:adjustRightInd/>
              <w:snapToGrid/>
              <w:rPr>
                <w:rFonts w:ascii="Times New Roman" w:hAnsi="Times New Roman"/>
                <w:color w:val="000000" w:themeColor="text1"/>
                <w14:textFill>
                  <w14:solidFill>
                    <w14:schemeClr w14:val="tx1"/>
                  </w14:solidFill>
                </w14:textFill>
              </w:rPr>
            </w:pPr>
            <w:bookmarkStart w:id="11" w:name="_Hlk47367778"/>
            <w:r>
              <w:rPr>
                <w:rFonts w:ascii="Times New Roman" w:hAnsi="Times New Roman"/>
                <w:color w:val="000000" w:themeColor="text1"/>
                <w:sz w:val="24"/>
                <w:szCs w:val="24"/>
                <w14:textFill>
                  <w14:solidFill>
                    <w14:schemeClr w14:val="tx1"/>
                  </w14:solidFill>
                </w14:textFill>
              </w:rPr>
              <w:t>根据《环境影响评价技术导则 土壤环境（试行）》（HJ964-2018）附表A.1 土壤环境影响评价项目类别中无矿产资源地质勘查行业，本工程为109 矿产资源地质勘查（含勘探活动和油气资源勘探），“行业类别”属于“其他行业”，土壤环境影响评价项目类别为IV类，不需要进行土壤环境影响评价，仅进行简要的定性分析。</w:t>
            </w:r>
            <w:bookmarkEnd w:id="11"/>
          </w:p>
        </w:tc>
      </w:tr>
      <w:tr w14:paraId="2FBB5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904" w:type="dxa"/>
            <w:vAlign w:val="center"/>
          </w:tcPr>
          <w:p w14:paraId="6E80A19B">
            <w:pPr>
              <w:spacing w:line="240" w:lineRule="auto"/>
              <w:ind w:firstLine="0" w:firstLineChars="0"/>
              <w:jc w:val="center"/>
              <w:rPr>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与项目有关的原有环境污染和生态破坏问题</w:t>
            </w:r>
          </w:p>
        </w:tc>
        <w:tc>
          <w:tcPr>
            <w:tcW w:w="8253" w:type="dxa"/>
            <w:vAlign w:val="center"/>
          </w:tcPr>
          <w:p w14:paraId="57C4B0B1">
            <w:pPr>
              <w:ind w:firstLine="480"/>
              <w:rPr>
                <w:color w:val="000000" w:themeColor="text1"/>
                <w:kern w:val="0"/>
                <w:szCs w:val="21"/>
                <w14:textFill>
                  <w14:solidFill>
                    <w14:schemeClr w14:val="tx1"/>
                  </w14:solidFill>
                </w14:textFill>
              </w:rPr>
            </w:pPr>
            <w:r>
              <w:rPr>
                <w:color w:val="000000" w:themeColor="text1"/>
                <w14:textFill>
                  <w14:solidFill>
                    <w14:schemeClr w14:val="tx1"/>
                  </w14:solidFill>
                </w14:textFill>
              </w:rPr>
              <w:t>本项目为前期勘探工程，属于新建项目，不存在原有环境问题。</w:t>
            </w:r>
          </w:p>
        </w:tc>
      </w:tr>
      <w:tr w14:paraId="532704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4" w:type="dxa"/>
            <w:vAlign w:val="center"/>
          </w:tcPr>
          <w:p w14:paraId="4179B5AE">
            <w:pPr>
              <w:ind w:firstLine="0" w:firstLineChars="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生态环境保护目标</w:t>
            </w:r>
          </w:p>
        </w:tc>
        <w:tc>
          <w:tcPr>
            <w:tcW w:w="8253" w:type="dxa"/>
          </w:tcPr>
          <w:p w14:paraId="753BA6B4">
            <w:pPr>
              <w:pStyle w:val="3"/>
              <w:ind w:firstLine="0" w:firstLineChars="0"/>
              <w:rPr>
                <w:color w:val="000000" w:themeColor="text1"/>
                <w:sz w:val="28"/>
                <w:szCs w:val="28"/>
                <w14:textFill>
                  <w14:solidFill>
                    <w14:schemeClr w14:val="tx1"/>
                  </w14:solidFill>
                </w14:textFill>
              </w:rPr>
            </w:pPr>
            <w:bookmarkStart w:id="12" w:name="_Hlk48507087"/>
            <w:r>
              <w:rPr>
                <w:color w:val="000000" w:themeColor="text1"/>
                <w:sz w:val="28"/>
                <w:szCs w:val="28"/>
                <w14:textFill>
                  <w14:solidFill>
                    <w14:schemeClr w14:val="tx1"/>
                  </w14:solidFill>
                </w14:textFill>
              </w:rPr>
              <w:t>1 环境保护目标</w:t>
            </w:r>
          </w:p>
          <w:bookmarkEnd w:id="12"/>
          <w:p w14:paraId="0C77471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参照《环境影响评价技术导则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大气环境》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HJ2.2-2018</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、《环境影响评价技术导则 声环境》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HJ2.4-2021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、《环境影响评价技术导则 土壤环境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试行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HJ964-2018</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、《环境影响评价技术导则 生态影响》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HJ19-2022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地表水环境》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HJ2.3-2018</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地下水环境》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HJ610-2016</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、《建设项目环境风险评价技术导则》</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HJ169-2018</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bookmarkStart w:id="13" w:name="_Hlk167566341"/>
            <w:r>
              <w:rPr>
                <w:color w:val="000000" w:themeColor="text1"/>
                <w14:textFill>
                  <w14:solidFill>
                    <w14:schemeClr w14:val="tx1"/>
                  </w14:solidFill>
                </w14:textFill>
              </w:rPr>
              <w:t>《环境影响评价技术导则陆地石油天然气开发建设项目》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HJ349-2023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等相关导则要求，本项目大气环境、地表水环境、地下水环境、土壤环境、环境风险均不设评价范围，生态评价范围为井场和生活营地周围50m范围、</w:t>
            </w:r>
            <w:r>
              <w:rPr>
                <w:rFonts w:hint="eastAsia"/>
                <w:color w:val="000000" w:themeColor="text1"/>
                <w14:textFill>
                  <w14:solidFill>
                    <w14:schemeClr w14:val="tx1"/>
                  </w14:solidFill>
                </w14:textFill>
              </w:rPr>
              <w:t>临时</w:t>
            </w:r>
            <w:r>
              <w:rPr>
                <w:color w:val="000000" w:themeColor="text1"/>
                <w14:textFill>
                  <w14:solidFill>
                    <w14:schemeClr w14:val="tx1"/>
                  </w14:solidFill>
                </w14:textFill>
              </w:rPr>
              <w:t>道路两侧外延300m；声环境评价范围为井场外延200m的范围，</w:t>
            </w:r>
            <w:bookmarkEnd w:id="13"/>
            <w:r>
              <w:rPr>
                <w:color w:val="000000" w:themeColor="text1"/>
                <w14:textFill>
                  <w14:solidFill>
                    <w14:schemeClr w14:val="tx1"/>
                  </w14:solidFill>
                </w14:textFill>
              </w:rPr>
              <w:t>根据现场调查，本项目井场周边为</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，周边</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00m范围内无自然保护区、风景名胜区、居住区、文化区、人群较集中的区域，无地下水集中式饮用水水源和热水、矿泉水、温泉等特殊地下水资源；周边</w:t>
            </w:r>
            <w:r>
              <w:rPr>
                <w:rFonts w:hint="eastAsia"/>
                <w:color w:val="000000" w:themeColor="text1"/>
                <w14:textFill>
                  <w14:solidFill>
                    <w14:schemeClr w14:val="tx1"/>
                  </w14:solidFill>
                </w14:textFill>
              </w:rPr>
              <w:t>20</w:t>
            </w:r>
            <w:r>
              <w:rPr>
                <w:color w:val="000000" w:themeColor="text1"/>
                <w14:textFill>
                  <w14:solidFill>
                    <w14:schemeClr w14:val="tx1"/>
                  </w14:solidFill>
                </w14:textFill>
              </w:rPr>
              <w:t>0m范围内无声环境保护目标；本项目环境保护目标具体情况见表3-</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w:t>
            </w:r>
          </w:p>
          <w:p w14:paraId="56EE44CB">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表3-</w:t>
            </w:r>
            <w:r>
              <w:rPr>
                <w:rFonts w:hint="eastAsia"/>
                <w:bCs/>
                <w:color w:val="000000" w:themeColor="text1"/>
                <w:sz w:val="21"/>
                <w:szCs w:val="21"/>
                <w14:textFill>
                  <w14:solidFill>
                    <w14:schemeClr w14:val="tx1"/>
                  </w14:solidFill>
                </w14:textFill>
              </w:rPr>
              <w:t>4</w:t>
            </w:r>
            <w:r>
              <w:rPr>
                <w:bCs/>
                <w:color w:val="000000" w:themeColor="text1"/>
                <w:sz w:val="21"/>
                <w:szCs w:val="21"/>
                <w14:textFill>
                  <w14:solidFill>
                    <w14:schemeClr w14:val="tx1"/>
                  </w14:solidFill>
                </w14:textFill>
              </w:rPr>
              <w:t xml:space="preserve">  主要环境敏感目标一览表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1257"/>
              <w:gridCol w:w="1578"/>
              <w:gridCol w:w="4357"/>
            </w:tblGrid>
            <w:tr w14:paraId="4563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8" w:type="pct"/>
                  <w:vAlign w:val="center"/>
                </w:tcPr>
                <w:p w14:paraId="0DD215FC">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要素</w:t>
                  </w:r>
                </w:p>
              </w:tc>
              <w:tc>
                <w:tcPr>
                  <w:tcW w:w="783" w:type="pct"/>
                  <w:vAlign w:val="center"/>
                </w:tcPr>
                <w:p w14:paraId="4FA23026">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环境保护</w:t>
                  </w:r>
                </w:p>
                <w:p w14:paraId="1C1E0636">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目标</w:t>
                  </w:r>
                </w:p>
              </w:tc>
              <w:tc>
                <w:tcPr>
                  <w:tcW w:w="983" w:type="pct"/>
                  <w:vAlign w:val="center"/>
                </w:tcPr>
                <w:p w14:paraId="46E10861">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与项目区的关系</w:t>
                  </w:r>
                </w:p>
              </w:tc>
              <w:tc>
                <w:tcPr>
                  <w:tcW w:w="2714" w:type="pct"/>
                  <w:vAlign w:val="center"/>
                </w:tcPr>
                <w:p w14:paraId="420B4502">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保护</w:t>
                  </w:r>
                  <w:r>
                    <w:rPr>
                      <w:rFonts w:hint="eastAsia"/>
                      <w:b/>
                      <w:bCs/>
                      <w:color w:val="000000" w:themeColor="text1"/>
                      <w:sz w:val="21"/>
                      <w:szCs w:val="21"/>
                      <w14:textFill>
                        <w14:solidFill>
                          <w14:schemeClr w14:val="tx1"/>
                        </w14:solidFill>
                      </w14:textFill>
                    </w:rPr>
                    <w:t>要求</w:t>
                  </w:r>
                </w:p>
              </w:tc>
            </w:tr>
            <w:tr w14:paraId="4BC0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pct"/>
                  <w:vAlign w:val="center"/>
                </w:tcPr>
                <w:p w14:paraId="0AC4C27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大气环境</w:t>
                  </w:r>
                </w:p>
              </w:tc>
              <w:tc>
                <w:tcPr>
                  <w:tcW w:w="783" w:type="pct"/>
                  <w:vAlign w:val="center"/>
                </w:tcPr>
                <w:p w14:paraId="3963F29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项目区大气</w:t>
                  </w:r>
                </w:p>
              </w:tc>
              <w:tc>
                <w:tcPr>
                  <w:tcW w:w="983" w:type="pct"/>
                  <w:vAlign w:val="center"/>
                </w:tcPr>
                <w:p w14:paraId="4A5D8123">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井场</w:t>
                  </w:r>
                </w:p>
              </w:tc>
              <w:tc>
                <w:tcPr>
                  <w:tcW w:w="2714" w:type="pct"/>
                  <w:vAlign w:val="center"/>
                </w:tcPr>
                <w:p w14:paraId="002FFB1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《环境空气质量标准》（GB3095-20</w:t>
                  </w:r>
                  <w:r>
                    <w:rPr>
                      <w:rFonts w:hint="eastAsia"/>
                      <w:color w:val="000000" w:themeColor="text1"/>
                      <w:sz w:val="21"/>
                      <w:szCs w:val="21"/>
                      <w14:textFill>
                        <w14:solidFill>
                          <w14:schemeClr w14:val="tx1"/>
                        </w14:solidFill>
                      </w14:textFill>
                    </w:rPr>
                    <w:t>26</w:t>
                  </w:r>
                  <w:r>
                    <w:rPr>
                      <w:color w:val="000000" w:themeColor="text1"/>
                      <w:sz w:val="21"/>
                      <w:szCs w:val="21"/>
                      <w14:textFill>
                        <w14:solidFill>
                          <w14:schemeClr w14:val="tx1"/>
                        </w14:solidFill>
                      </w14:textFill>
                    </w:rPr>
                    <w:t>）过渡阶段二级标准</w:t>
                  </w:r>
                </w:p>
              </w:tc>
            </w:tr>
            <w:tr w14:paraId="7007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Merge w:val="restart"/>
                  <w:vAlign w:val="center"/>
                </w:tcPr>
                <w:p w14:paraId="3F12CB4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生态环境</w:t>
                  </w:r>
                </w:p>
              </w:tc>
              <w:tc>
                <w:tcPr>
                  <w:tcW w:w="783" w:type="pct"/>
                  <w:vAlign w:val="center"/>
                </w:tcPr>
                <w:p w14:paraId="4F0D34C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植被</w:t>
                  </w:r>
                </w:p>
              </w:tc>
              <w:tc>
                <w:tcPr>
                  <w:tcW w:w="983" w:type="pct"/>
                  <w:vMerge w:val="restart"/>
                  <w:vAlign w:val="center"/>
                </w:tcPr>
                <w:p w14:paraId="48AE121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井场占地</w:t>
                  </w:r>
                </w:p>
              </w:tc>
              <w:tc>
                <w:tcPr>
                  <w:tcW w:w="2714" w:type="pct"/>
                  <w:vAlign w:val="center"/>
                </w:tcPr>
                <w:p w14:paraId="58F9538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落实工程占地周边生态环境保护措施，施工结束后逐渐恢复到自然状态</w:t>
                  </w:r>
                </w:p>
              </w:tc>
            </w:tr>
            <w:tr w14:paraId="0B5C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Merge w:val="continue"/>
                  <w:vAlign w:val="center"/>
                </w:tcPr>
                <w:p w14:paraId="5ACFA736">
                  <w:pPr>
                    <w:spacing w:line="240" w:lineRule="auto"/>
                    <w:ind w:firstLine="0" w:firstLineChars="0"/>
                    <w:jc w:val="center"/>
                    <w:rPr>
                      <w:color w:val="000000" w:themeColor="text1"/>
                      <w:sz w:val="21"/>
                      <w:szCs w:val="21"/>
                      <w14:textFill>
                        <w14:solidFill>
                          <w14:schemeClr w14:val="tx1"/>
                        </w14:solidFill>
                      </w14:textFill>
                    </w:rPr>
                  </w:pPr>
                </w:p>
              </w:tc>
              <w:tc>
                <w:tcPr>
                  <w:tcW w:w="783" w:type="pct"/>
                  <w:vAlign w:val="center"/>
                </w:tcPr>
                <w:p w14:paraId="6B4E9DF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动物</w:t>
                  </w:r>
                </w:p>
              </w:tc>
              <w:tc>
                <w:tcPr>
                  <w:tcW w:w="983" w:type="pct"/>
                  <w:vMerge w:val="continue"/>
                  <w:vAlign w:val="center"/>
                </w:tcPr>
                <w:p w14:paraId="420E8397">
                  <w:pPr>
                    <w:spacing w:line="240" w:lineRule="auto"/>
                    <w:ind w:firstLine="0" w:firstLineChars="0"/>
                    <w:jc w:val="center"/>
                    <w:rPr>
                      <w:color w:val="000000" w:themeColor="text1"/>
                      <w:sz w:val="21"/>
                      <w:szCs w:val="21"/>
                      <w14:textFill>
                        <w14:solidFill>
                          <w14:schemeClr w14:val="tx1"/>
                        </w14:solidFill>
                      </w14:textFill>
                    </w:rPr>
                  </w:pPr>
                </w:p>
              </w:tc>
              <w:tc>
                <w:tcPr>
                  <w:tcW w:w="2714" w:type="pct"/>
                  <w:vAlign w:val="center"/>
                </w:tcPr>
                <w:p w14:paraId="41DB0BB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保护生境不被破坏，禁止捕杀野生动物</w:t>
                  </w:r>
                </w:p>
              </w:tc>
            </w:tr>
            <w:tr w14:paraId="2B96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pct"/>
                  <w:vMerge w:val="restart"/>
                  <w:vAlign w:val="center"/>
                </w:tcPr>
                <w:p w14:paraId="7EB2C46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水环境</w:t>
                  </w:r>
                </w:p>
              </w:tc>
              <w:tc>
                <w:tcPr>
                  <w:tcW w:w="783" w:type="pct"/>
                  <w:vAlign w:val="center"/>
                </w:tcPr>
                <w:p w14:paraId="2B2493D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地下水</w:t>
                  </w:r>
                </w:p>
              </w:tc>
              <w:tc>
                <w:tcPr>
                  <w:tcW w:w="983" w:type="pct"/>
                  <w:vAlign w:val="center"/>
                </w:tcPr>
                <w:p w14:paraId="3549118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井场</w:t>
                  </w:r>
                </w:p>
              </w:tc>
              <w:tc>
                <w:tcPr>
                  <w:tcW w:w="2714" w:type="pct"/>
                  <w:vAlign w:val="center"/>
                </w:tcPr>
                <w:p w14:paraId="4F31264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确保地下水不受污染</w:t>
                  </w:r>
                </w:p>
              </w:tc>
            </w:tr>
            <w:tr w14:paraId="49E0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18" w:type="pct"/>
                  <w:vMerge w:val="continue"/>
                  <w:vAlign w:val="center"/>
                </w:tcPr>
                <w:p w14:paraId="41788529">
                  <w:pPr>
                    <w:spacing w:line="240" w:lineRule="auto"/>
                    <w:ind w:firstLine="0" w:firstLineChars="0"/>
                    <w:jc w:val="center"/>
                    <w:rPr>
                      <w:color w:val="000000" w:themeColor="text1"/>
                      <w:sz w:val="21"/>
                      <w:szCs w:val="21"/>
                      <w14:textFill>
                        <w14:solidFill>
                          <w14:schemeClr w14:val="tx1"/>
                        </w14:solidFill>
                      </w14:textFill>
                    </w:rPr>
                  </w:pPr>
                </w:p>
              </w:tc>
              <w:tc>
                <w:tcPr>
                  <w:tcW w:w="783" w:type="pct"/>
                  <w:vAlign w:val="center"/>
                </w:tcPr>
                <w:p w14:paraId="4799458B">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地表水</w:t>
                  </w:r>
                </w:p>
              </w:tc>
              <w:tc>
                <w:tcPr>
                  <w:tcW w:w="983" w:type="pct"/>
                  <w:vAlign w:val="center"/>
                </w:tcPr>
                <w:p w14:paraId="5E0DC28E">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墒户十六队斗渠距离本项目区西侧730m</w:t>
                  </w:r>
                </w:p>
              </w:tc>
              <w:tc>
                <w:tcPr>
                  <w:tcW w:w="2714" w:type="pct"/>
                  <w:vAlign w:val="center"/>
                </w:tcPr>
                <w:p w14:paraId="50EDB25A">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确保渠道地表水体不受污染</w:t>
                  </w:r>
                </w:p>
              </w:tc>
            </w:tr>
            <w:tr w14:paraId="5BBE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18" w:type="pct"/>
                  <w:vAlign w:val="center"/>
                </w:tcPr>
                <w:p w14:paraId="33A0A100">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土壤环境</w:t>
                  </w:r>
                </w:p>
              </w:tc>
              <w:tc>
                <w:tcPr>
                  <w:tcW w:w="783" w:type="pct"/>
                  <w:vAlign w:val="center"/>
                </w:tcPr>
                <w:p w14:paraId="344D4AC7">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农田</w:t>
                  </w:r>
                </w:p>
              </w:tc>
              <w:tc>
                <w:tcPr>
                  <w:tcW w:w="983" w:type="pct"/>
                  <w:vAlign w:val="center"/>
                </w:tcPr>
                <w:p w14:paraId="143A7C9A">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最近距离本项目井场55m</w:t>
                  </w:r>
                </w:p>
              </w:tc>
              <w:tc>
                <w:tcPr>
                  <w:tcW w:w="2714" w:type="pct"/>
                  <w:vAlign w:val="center"/>
                </w:tcPr>
                <w:p w14:paraId="22CADE4A">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施工过程中严格执行降尘，污水储运和防渗等措施，保护农作物不受施工影响</w:t>
                  </w:r>
                </w:p>
              </w:tc>
            </w:tr>
          </w:tbl>
          <w:p w14:paraId="34A142D1">
            <w:pPr>
              <w:pStyle w:val="3"/>
              <w:ind w:firstLine="0" w:firstLineChars="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保护要求</w:t>
            </w:r>
          </w:p>
          <w:p w14:paraId="298D2A1D">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（1）保护项目所在区域的空气质量，保持现有空气质量级别，不因本项目的建设降低环境空气质量；</w:t>
            </w:r>
          </w:p>
          <w:p w14:paraId="27955A6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（2）保护项目所在区域地下水质量保持在现有水平，不受本项目所排废水的影响；</w:t>
            </w:r>
          </w:p>
          <w:p w14:paraId="27B8E56D">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（3）保护项目区声环境质量现状，符合《声环境质量标准》（GB3096-2008）的2类声环境功能限值；</w:t>
            </w:r>
          </w:p>
          <w:p w14:paraId="7B46442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（4）生态环境保护目标：本项目需保护项目区生态环境，使项目的建成不对项目区生态环境产生不利影响；</w:t>
            </w:r>
          </w:p>
          <w:p w14:paraId="51B2CB1D">
            <w:pPr>
              <w:pStyle w:val="32"/>
              <w:jc w:val="both"/>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 w:val="24"/>
                <w:szCs w:val="24"/>
                <w14:textFill>
                  <w14:solidFill>
                    <w14:schemeClr w14:val="tx1"/>
                  </w14:solidFill>
                </w14:textFill>
              </w:rPr>
              <w:t>（5）土壤环境质量执行</w:t>
            </w:r>
            <w:r>
              <w:rPr>
                <w:rFonts w:ascii="Times New Roman" w:hAnsi="Times New Roman"/>
                <w:color w:val="000000" w:themeColor="text1"/>
                <w:sz w:val="24"/>
                <w:szCs w:val="24"/>
                <w14:textFill>
                  <w14:solidFill>
                    <w14:schemeClr w14:val="tx1"/>
                  </w14:solidFill>
                </w14:textFill>
              </w:rPr>
              <w:t>《土壤环境质量 建设用地土壤污染风险管控标准（试行）》（GB36600-2018）</w:t>
            </w:r>
            <w:r>
              <w:rPr>
                <w:rFonts w:ascii="Times New Roman" w:hAnsi="Times New Roman"/>
                <w:color w:val="000000" w:themeColor="text1"/>
                <w:kern w:val="0"/>
                <w:sz w:val="24"/>
                <w:szCs w:val="24"/>
                <w14:textFill>
                  <w14:solidFill>
                    <w14:schemeClr w14:val="tx1"/>
                  </w14:solidFill>
                </w14:textFill>
              </w:rPr>
              <w:t>控制</w:t>
            </w:r>
            <w:r>
              <w:rPr>
                <w:rFonts w:ascii="Times New Roman" w:hAnsi="Times New Roman"/>
                <w:color w:val="000000" w:themeColor="text1"/>
                <w:sz w:val="24"/>
                <w:szCs w:val="24"/>
                <w14:textFill>
                  <w14:solidFill>
                    <w14:schemeClr w14:val="tx1"/>
                  </w14:solidFill>
                </w14:textFill>
              </w:rPr>
              <w:t>。</w:t>
            </w:r>
          </w:p>
        </w:tc>
      </w:tr>
      <w:tr w14:paraId="101488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904" w:type="dxa"/>
            <w:vAlign w:val="center"/>
          </w:tcPr>
          <w:p w14:paraId="1AD56138">
            <w:pPr>
              <w:ind w:firstLine="0" w:firstLineChars="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评价标准</w:t>
            </w:r>
          </w:p>
        </w:tc>
        <w:tc>
          <w:tcPr>
            <w:tcW w:w="8253" w:type="dxa"/>
            <w:vAlign w:val="center"/>
          </w:tcPr>
          <w:p w14:paraId="06FF59EB">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环境质量标准</w:t>
            </w:r>
          </w:p>
          <w:p w14:paraId="0D29452C">
            <w:pPr>
              <w:ind w:firstLine="480"/>
              <w:rPr>
                <w:color w:val="000000" w:themeColor="text1"/>
                <w14:textFill>
                  <w14:solidFill>
                    <w14:schemeClr w14:val="tx1"/>
                  </w14:solidFill>
                </w14:textFill>
              </w:rPr>
            </w:pPr>
            <w:r>
              <w:rPr>
                <w:color w:val="000000" w:themeColor="text1"/>
                <w14:textFill>
                  <w14:solidFill>
                    <w14:schemeClr w14:val="tx1"/>
                  </w14:solidFill>
                </w14:textFill>
              </w:rPr>
              <w:t>（1）大气环境：《环境空气质量标准》（GB3095-20</w:t>
            </w:r>
            <w:r>
              <w:rPr>
                <w:rFonts w:hint="eastAsia"/>
                <w:color w:val="000000" w:themeColor="text1"/>
                <w14:textFill>
                  <w14:solidFill>
                    <w14:schemeClr w14:val="tx1"/>
                  </w14:solidFill>
                </w14:textFill>
              </w:rPr>
              <w:t>26</w:t>
            </w:r>
            <w:r>
              <w:rPr>
                <w:color w:val="000000" w:themeColor="text1"/>
                <w14:textFill>
                  <w14:solidFill>
                    <w14:schemeClr w14:val="tx1"/>
                  </w14:solidFill>
                </w14:textFill>
              </w:rPr>
              <w:t>）中</w:t>
            </w:r>
            <w:r>
              <w:rPr>
                <w:rFonts w:hint="eastAsia"/>
                <w:color w:val="000000" w:themeColor="text1"/>
                <w14:textFill>
                  <w14:solidFill>
                    <w14:schemeClr w14:val="tx1"/>
                  </w14:solidFill>
                </w14:textFill>
              </w:rPr>
              <w:t>过渡阶段</w:t>
            </w:r>
            <w:r>
              <w:rPr>
                <w:color w:val="000000" w:themeColor="text1"/>
                <w14:textFill>
                  <w14:solidFill>
                    <w14:schemeClr w14:val="tx1"/>
                  </w14:solidFill>
                </w14:textFill>
              </w:rPr>
              <w:t>二级标准；非甲烷总烃参照《大气污染物综合排放标准详解》中推荐值2.0mg/m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执行；</w:t>
            </w:r>
          </w:p>
          <w:p w14:paraId="034F5053">
            <w:pPr>
              <w:ind w:firstLine="480"/>
              <w:rPr>
                <w:color w:val="000000" w:themeColor="text1"/>
                <w14:textFill>
                  <w14:solidFill>
                    <w14:schemeClr w14:val="tx1"/>
                  </w14:solidFill>
                </w14:textFill>
              </w:rPr>
            </w:pPr>
            <w:r>
              <w:rPr>
                <w:color w:val="000000" w:themeColor="text1"/>
                <w14:textFill>
                  <w14:solidFill>
                    <w14:schemeClr w14:val="tx1"/>
                  </w14:solidFill>
                </w14:textFill>
              </w:rPr>
              <w:t>（2）声环境：《声环境质量标准》（GB3096-2008）的2类标准限值；</w:t>
            </w:r>
          </w:p>
          <w:p w14:paraId="14C9417E">
            <w:pPr>
              <w:ind w:firstLine="480"/>
              <w:rPr>
                <w:color w:val="000000" w:themeColor="text1"/>
                <w14:textFill>
                  <w14:solidFill>
                    <w14:schemeClr w14:val="tx1"/>
                  </w14:solidFill>
                </w14:textFill>
              </w:rPr>
            </w:pPr>
            <w:r>
              <w:rPr>
                <w:color w:val="000000" w:themeColor="text1"/>
                <w14:textFill>
                  <w14:solidFill>
                    <w14:schemeClr w14:val="tx1"/>
                  </w14:solidFill>
                </w14:textFill>
              </w:rPr>
              <w:t>（3）土壤环境：土壤环境质量执行《土壤环境质量 建设用地土壤污染风险管控标准（试行）》（GB36600-2018）表1中第二类用地筛选值要求；</w:t>
            </w:r>
          </w:p>
          <w:p w14:paraId="07E2413E">
            <w:pPr>
              <w:ind w:firstLine="480"/>
              <w:rPr>
                <w:color w:val="000000" w:themeColor="text1"/>
                <w14:textFill>
                  <w14:solidFill>
                    <w14:schemeClr w14:val="tx1"/>
                  </w14:solidFill>
                </w14:textFill>
              </w:rPr>
            </w:pPr>
            <w:r>
              <w:rPr>
                <w:color w:val="000000" w:themeColor="text1"/>
                <w14:textFill>
                  <w14:solidFill>
                    <w14:schemeClr w14:val="tx1"/>
                  </w14:solidFill>
                </w14:textFill>
              </w:rPr>
              <w:t>（4）地下水环境：《地下水质量标准》（GB/T14848-2017）中的Ⅲ类标准。</w:t>
            </w:r>
          </w:p>
          <w:p w14:paraId="0DED9010">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污染物排放标准</w:t>
            </w:r>
          </w:p>
          <w:p w14:paraId="6DBC738D">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（1）《大气污染物综合排放标准》（GB16297-1996）表2的颗粒物无组织排放限值；</w:t>
            </w:r>
          </w:p>
          <w:p w14:paraId="71A9DBD6">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（2）试油期无组织非甲烷总烃执行《陆上石油天然气开采工业大气污染物排放标准》（GB39728-2020）、NO</w:t>
            </w:r>
            <w:r>
              <w:rPr>
                <w:rFonts w:ascii="Times New Roman" w:hAnsi="Times New Roman"/>
                <w:color w:val="000000" w:themeColor="text1"/>
                <w:sz w:val="24"/>
                <w:szCs w:val="24"/>
                <w:vertAlign w:val="subscript"/>
                <w14:textFill>
                  <w14:solidFill>
                    <w14:schemeClr w14:val="tx1"/>
                  </w14:solidFill>
                </w14:textFill>
              </w:rPr>
              <w:t>x</w:t>
            </w:r>
            <w:r>
              <w:rPr>
                <w:rFonts w:ascii="Times New Roman" w:hAnsi="Times New Roman"/>
                <w:color w:val="000000" w:themeColor="text1"/>
                <w:sz w:val="24"/>
                <w:szCs w:val="24"/>
                <w14:textFill>
                  <w14:solidFill>
                    <w14:schemeClr w14:val="tx1"/>
                  </w14:solidFill>
                </w14:textFill>
              </w:rPr>
              <w:t>和颗粒物执行《大气污染物综合排放标准》（GB16297-1996）表2的无组织排放限值要求；硫化氢排放浓度</w:t>
            </w:r>
            <w:r>
              <w:rPr>
                <w:rFonts w:hint="eastAsia" w:ascii="Times New Roman" w:hAnsi="Times New Roman"/>
                <w:color w:val="000000" w:themeColor="text1"/>
                <w:sz w:val="24"/>
                <w:szCs w:val="24"/>
                <w14:textFill>
                  <w14:solidFill>
                    <w14:schemeClr w14:val="tx1"/>
                  </w14:solidFill>
                </w14:textFill>
              </w:rPr>
              <w:t>执行</w:t>
            </w:r>
            <w:r>
              <w:rPr>
                <w:rFonts w:ascii="Times New Roman" w:hAnsi="Times New Roman"/>
                <w:color w:val="000000" w:themeColor="text1"/>
                <w:sz w:val="24"/>
                <w:szCs w:val="24"/>
                <w14:textFill>
                  <w14:solidFill>
                    <w14:schemeClr w14:val="tx1"/>
                  </w14:solidFill>
                </w14:textFill>
              </w:rPr>
              <w:t>《恶臭污染物排放标准》（GB14554-93）表1二级浓度要求</w:t>
            </w:r>
            <w:r>
              <w:rPr>
                <w:rFonts w:hint="eastAsia" w:ascii="Times New Roman" w:hAnsi="Times New Roman"/>
                <w:color w:val="000000" w:themeColor="text1"/>
                <w:sz w:val="24"/>
                <w:szCs w:val="24"/>
                <w14:textFill>
                  <w14:solidFill>
                    <w14:schemeClr w14:val="tx1"/>
                  </w14:solidFill>
                </w14:textFill>
              </w:rPr>
              <w:t>0.06mg/m</w:t>
            </w:r>
            <w:r>
              <w:rPr>
                <w:rFonts w:hint="eastAsia" w:ascii="Times New Roman" w:hAnsi="Times New Roman"/>
                <w:color w:val="000000" w:themeColor="text1"/>
                <w:sz w:val="24"/>
                <w:szCs w:val="24"/>
                <w:vertAlign w:val="superscript"/>
                <w14:textFill>
                  <w14:solidFill>
                    <w14:schemeClr w14:val="tx1"/>
                  </w14:solidFill>
                </w14:textFill>
              </w:rPr>
              <w:t>3</w:t>
            </w:r>
            <w:r>
              <w:rPr>
                <w:rFonts w:hint="eastAsia" w:ascii="Times New Roman" w:hAnsi="Times New Roman"/>
                <w:color w:val="000000" w:themeColor="text1"/>
                <w:sz w:val="24"/>
                <w:szCs w:val="24"/>
                <w14:textFill>
                  <w14:solidFill>
                    <w14:schemeClr w14:val="tx1"/>
                  </w14:solidFill>
                </w14:textFill>
              </w:rPr>
              <w:t>。</w:t>
            </w:r>
          </w:p>
          <w:p w14:paraId="1C63851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（3）生产废水执行《碎屑岩油藏注水水质指标技术要求及分析方法》（SY/T5329-2022）表1推荐水质主要控制指标要求；</w:t>
            </w:r>
          </w:p>
          <w:p w14:paraId="30F4E5C5">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（4）柴油发电机</w:t>
            </w: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甲醇发电机</w:t>
            </w:r>
            <w:r>
              <w:rPr>
                <w:rFonts w:ascii="Times New Roman" w:hAnsi="Times New Roman"/>
                <w:color w:val="000000" w:themeColor="text1"/>
                <w:sz w:val="24"/>
                <w:szCs w:val="24"/>
                <w14:textFill>
                  <w14:solidFill>
                    <w14:schemeClr w14:val="tx1"/>
                  </w14:solidFill>
                </w14:textFill>
              </w:rPr>
              <w:t>无组织废气执行《非道路移动机械用柴油机排气污染物排放限值及测量方法（中国第三、四阶段）》（GB20891-2014）</w:t>
            </w:r>
            <w:r>
              <w:rPr>
                <w:rFonts w:hint="eastAsia" w:ascii="Times New Roman" w:hAnsi="Times New Roman"/>
                <w:color w:val="000000" w:themeColor="text1"/>
                <w:sz w:val="24"/>
                <w:szCs w:val="24"/>
                <w14:textFill>
                  <w14:solidFill>
                    <w14:schemeClr w14:val="tx1"/>
                  </w14:solidFill>
                </w14:textFill>
              </w:rPr>
              <w:t>标准要求</w:t>
            </w:r>
            <w:r>
              <w:rPr>
                <w:rFonts w:ascii="Times New Roman" w:hAnsi="Times New Roman"/>
                <w:color w:val="000000" w:themeColor="text1"/>
                <w:sz w:val="24"/>
                <w:szCs w:val="24"/>
                <w14:textFill>
                  <w14:solidFill>
                    <w14:schemeClr w14:val="tx1"/>
                  </w14:solidFill>
                </w14:textFill>
              </w:rPr>
              <w:t>；</w:t>
            </w:r>
          </w:p>
          <w:p w14:paraId="3E1F956D">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（5）施工期施工噪声执行</w:t>
            </w:r>
            <w:r>
              <w:rPr>
                <w:rFonts w:hint="eastAsia" w:ascii="Times New Roman" w:hAnsi="Times New Roman"/>
                <w:color w:val="000000" w:themeColor="text1"/>
                <w:sz w:val="24"/>
                <w:szCs w:val="24"/>
                <w14:textFill>
                  <w14:solidFill>
                    <w14:schemeClr w14:val="tx1"/>
                  </w14:solidFill>
                </w14:textFill>
              </w:rPr>
              <w:t>《建筑施工噪声排放标准》（GB12523-2025）</w:t>
            </w:r>
            <w:r>
              <w:rPr>
                <w:rFonts w:ascii="Times New Roman" w:hAnsi="Times New Roman"/>
                <w:color w:val="000000" w:themeColor="text1"/>
                <w:sz w:val="24"/>
                <w:szCs w:val="24"/>
                <w14:textFill>
                  <w14:solidFill>
                    <w14:schemeClr w14:val="tx1"/>
                  </w14:solidFill>
                </w14:textFill>
              </w:rPr>
              <w:t>中表1排放限值；</w:t>
            </w:r>
          </w:p>
          <w:p w14:paraId="5CB44EC9">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（6）水基钻井岩屑执行《一般工业固体废物贮存和填埋污染控制标准》（GB18599-2020）标准要求；</w:t>
            </w:r>
          </w:p>
          <w:p w14:paraId="0C3F6D35">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（7）油基岩屑、含油污泥执行《油气田含油污泥及钻井固体废物处理处置技术规范》（DB65/T3999-2017）标准要求；</w:t>
            </w:r>
          </w:p>
          <w:p w14:paraId="784D4B37">
            <w:pPr>
              <w:pStyle w:val="32"/>
              <w:rPr>
                <w:rStyle w:val="21"/>
                <w:rFonts w:ascii="Times New Roman" w:hAnsi="Times New Roman"/>
                <w:color w:val="000000" w:themeColor="text1"/>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（8）钻井固体废物执行《油气田钻井固体废物综合利用污染控制要求》（DB65/T 3997-2017）标准要求。</w:t>
            </w:r>
          </w:p>
          <w:p w14:paraId="484B6954">
            <w:pPr>
              <w:pStyle w:val="32"/>
              <w:rPr>
                <w:rStyle w:val="21"/>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（9）</w:t>
            </w:r>
            <w:r>
              <w:rPr>
                <w:rFonts w:ascii="Times New Roman" w:hAnsi="Times New Roman"/>
                <w:color w:val="000000" w:themeColor="text1"/>
                <w:sz w:val="24"/>
                <w:szCs w:val="24"/>
                <w14:textFill>
                  <w14:solidFill>
                    <w14:schemeClr w14:val="tx1"/>
                  </w14:solidFill>
                </w14:textFill>
              </w:rPr>
              <w:t>危险废物</w:t>
            </w:r>
            <w:r>
              <w:rPr>
                <w:rFonts w:hint="eastAsia" w:ascii="Times New Roman" w:hAnsi="Times New Roman"/>
                <w:color w:val="000000" w:themeColor="text1"/>
                <w:sz w:val="24"/>
                <w:szCs w:val="24"/>
                <w14:textFill>
                  <w14:solidFill>
                    <w14:schemeClr w14:val="tx1"/>
                  </w14:solidFill>
                </w14:textFill>
              </w:rPr>
              <w:t>贮存</w:t>
            </w:r>
            <w:r>
              <w:rPr>
                <w:rFonts w:ascii="Times New Roman" w:hAnsi="Times New Roman"/>
                <w:color w:val="000000" w:themeColor="text1"/>
                <w:sz w:val="24"/>
                <w:szCs w:val="24"/>
                <w14:textFill>
                  <w14:solidFill>
                    <w14:schemeClr w14:val="tx1"/>
                  </w14:solidFill>
                </w14:textFill>
              </w:rPr>
              <w:t>执行《危险废物贮存污染控制标准》（GB 18597-2023）</w:t>
            </w:r>
            <w:r>
              <w:rPr>
                <w:rFonts w:hint="eastAsia" w:ascii="Times New Roman" w:hAnsi="Times New Roman"/>
                <w:color w:val="000000" w:themeColor="text1"/>
                <w:sz w:val="24"/>
                <w:szCs w:val="24"/>
                <w14:textFill>
                  <w14:solidFill>
                    <w14:schemeClr w14:val="tx1"/>
                  </w14:solidFill>
                </w14:textFill>
              </w:rPr>
              <w:t>标准要求。</w:t>
            </w:r>
          </w:p>
        </w:tc>
      </w:tr>
      <w:tr w14:paraId="54CD1A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04" w:type="dxa"/>
            <w:vAlign w:val="center"/>
          </w:tcPr>
          <w:p w14:paraId="7EB8AC7D">
            <w:pPr>
              <w:ind w:firstLine="0" w:firstLineChars="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其他</w:t>
            </w:r>
          </w:p>
        </w:tc>
        <w:tc>
          <w:tcPr>
            <w:tcW w:w="8253" w:type="dxa"/>
            <w:vAlign w:val="center"/>
          </w:tcPr>
          <w:p w14:paraId="0DBE3392">
            <w:pPr>
              <w:ind w:firstLine="0" w:firstLineChars="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无</w:t>
            </w:r>
          </w:p>
        </w:tc>
      </w:tr>
    </w:tbl>
    <w:p w14:paraId="5B88A9EB">
      <w:pPr>
        <w:pStyle w:val="14"/>
        <w:spacing w:before="0" w:beforeAutospacing="0" w:after="0" w:afterAutospacing="0" w:line="14" w:lineRule="auto"/>
        <w:jc w:val="center"/>
        <w:rPr>
          <w:rFonts w:ascii="Times New Roman" w:hAnsi="Times New Roman" w:eastAsia="黑体"/>
          <w:snapToGrid w:val="0"/>
          <w:color w:val="000000" w:themeColor="text1"/>
          <w:kern w:val="2"/>
          <w:sz w:val="36"/>
          <w:szCs w:val="36"/>
          <w14:textFill>
            <w14:solidFill>
              <w14:schemeClr w14:val="tx1"/>
            </w14:solidFill>
          </w14:textFill>
        </w:rPr>
      </w:pPr>
    </w:p>
    <w:p w14:paraId="24EB789C">
      <w:pPr>
        <w:pStyle w:val="14"/>
        <w:jc w:val="center"/>
        <w:outlineLvl w:val="0"/>
        <w:rPr>
          <w:rFonts w:ascii="Times New Roman" w:hAnsi="Times New Roman" w:eastAsia="黑体"/>
          <w:snapToGrid w:val="0"/>
          <w:color w:val="000000" w:themeColor="text1"/>
          <w:sz w:val="30"/>
          <w:szCs w:val="30"/>
          <w14:textFill>
            <w14:solidFill>
              <w14:schemeClr w14:val="tx1"/>
            </w14:solidFill>
          </w14:textFill>
        </w:rPr>
      </w:pPr>
      <w:r>
        <w:rPr>
          <w:rFonts w:ascii="Times New Roman" w:hAnsi="Times New Roman" w:eastAsia="黑体"/>
          <w:snapToGrid w:val="0"/>
          <w:color w:val="000000" w:themeColor="text1"/>
          <w:kern w:val="2"/>
          <w:sz w:val="36"/>
          <w:szCs w:val="36"/>
          <w14:textFill>
            <w14:solidFill>
              <w14:schemeClr w14:val="tx1"/>
            </w14:solidFill>
          </w14:textFill>
        </w:rPr>
        <w:br w:type="page"/>
      </w:r>
      <w:r>
        <w:rPr>
          <w:rFonts w:ascii="Times New Roman" w:hAnsi="Times New Roman" w:eastAsia="黑体"/>
          <w:snapToGrid w:val="0"/>
          <w:color w:val="000000" w:themeColor="text1"/>
          <w:sz w:val="30"/>
          <w:szCs w:val="30"/>
          <w14:textFill>
            <w14:solidFill>
              <w14:schemeClr w14:val="tx1"/>
            </w14:solidFill>
          </w14:textFill>
        </w:rPr>
        <w:t>四、生态环境影响分析</w:t>
      </w:r>
    </w:p>
    <w:tbl>
      <w:tblPr>
        <w:tblStyle w:val="16"/>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8730"/>
      </w:tblGrid>
      <w:tr w14:paraId="5A13AB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tcMar>
              <w:left w:w="28" w:type="dxa"/>
              <w:right w:w="28" w:type="dxa"/>
            </w:tcMar>
            <w:vAlign w:val="center"/>
          </w:tcPr>
          <w:p w14:paraId="787EC326">
            <w:pPr>
              <w:pStyle w:val="14"/>
              <w:spacing w:before="0" w:beforeAutospacing="0" w:after="0" w:afterAutospacing="0"/>
              <w:ind w:firstLine="0" w:firstLineChars="0"/>
              <w:jc w:val="both"/>
              <w:rPr>
                <w:rFonts w:ascii="Times New Roman" w:hAnsi="Times New Roman"/>
                <w:bCs/>
                <w:color w:val="000000" w:themeColor="text1"/>
                <w:kern w:val="2"/>
                <w14:textFill>
                  <w14:solidFill>
                    <w14:schemeClr w14:val="tx1"/>
                  </w14:solidFill>
                </w14:textFill>
              </w:rPr>
            </w:pPr>
            <w:bookmarkStart w:id="14" w:name="_Hlk49796138"/>
            <w:r>
              <w:rPr>
                <w:rFonts w:ascii="Times New Roman" w:hAnsi="Times New Roman"/>
                <w:bCs/>
                <w:color w:val="000000" w:themeColor="text1"/>
                <w:spacing w:val="10"/>
                <w:kern w:val="2"/>
                <w14:textFill>
                  <w14:solidFill>
                    <w14:schemeClr w14:val="tx1"/>
                  </w14:solidFill>
                </w14:textFill>
              </w:rPr>
              <w:t>施工期生态环境影响分析</w:t>
            </w:r>
            <w:bookmarkEnd w:id="14"/>
          </w:p>
        </w:tc>
        <w:tc>
          <w:tcPr>
            <w:tcW w:w="8363" w:type="dxa"/>
          </w:tcPr>
          <w:p w14:paraId="321177C6">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施工期主要污染环节和因素：</w:t>
            </w:r>
          </w:p>
          <w:p w14:paraId="632CC137">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本项目对环境的污染主要存在于钻井期、试油期三废排放。</w:t>
            </w:r>
          </w:p>
          <w:p w14:paraId="46FD5676">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本项目污染源按作业持续时间分为临时性污染源、连续性污染源和间歇性污染源三大</w:t>
            </w:r>
            <w:r>
              <w:rPr>
                <w:rFonts w:hint="eastAsia" w:ascii="Times New Roman" w:hAnsi="Times New Roman"/>
                <w:color w:val="000000" w:themeColor="text1"/>
                <w:sz w:val="24"/>
                <w:szCs w:val="24"/>
                <w14:textFill>
                  <w14:solidFill>
                    <w14:schemeClr w14:val="tx1"/>
                  </w14:solidFill>
                </w14:textFill>
              </w:rPr>
              <w:t>类</w:t>
            </w:r>
            <w:r>
              <w:rPr>
                <w:rFonts w:ascii="Times New Roman" w:hAnsi="Times New Roman"/>
                <w:color w:val="000000" w:themeColor="text1"/>
                <w:sz w:val="24"/>
                <w:szCs w:val="24"/>
                <w14:textFill>
                  <w14:solidFill>
                    <w14:schemeClr w14:val="tx1"/>
                  </w14:solidFill>
                </w14:textFill>
              </w:rPr>
              <w:t>，见表4-1。</w:t>
            </w:r>
          </w:p>
          <w:p w14:paraId="7FEAD3E4">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表4-1  本项目主要环境影响因素</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
              <w:gridCol w:w="1351"/>
              <w:gridCol w:w="2727"/>
              <w:gridCol w:w="3457"/>
            </w:tblGrid>
            <w:tr w14:paraId="72D5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8" w:type="pct"/>
                  <w:tcBorders>
                    <w:top w:val="single" w:color="auto" w:sz="4" w:space="0"/>
                    <w:left w:val="single" w:color="auto" w:sz="4" w:space="0"/>
                    <w:bottom w:val="single" w:color="auto" w:sz="4" w:space="0"/>
                    <w:right w:val="single" w:color="auto" w:sz="4" w:space="0"/>
                    <w:tl2br w:val="nil"/>
                    <w:tr2bl w:val="nil"/>
                  </w:tcBorders>
                  <w:vAlign w:val="center"/>
                </w:tcPr>
                <w:p w14:paraId="6ECFC8A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阶段</w:t>
                  </w: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3451FEE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污染物</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48AC68A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产污环节</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1937201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污染因子</w:t>
                  </w:r>
                </w:p>
              </w:tc>
            </w:tr>
            <w:tr w14:paraId="7C1B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120E9A0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钻井期</w:t>
                  </w:r>
                </w:p>
              </w:tc>
              <w:tc>
                <w:tcPr>
                  <w:tcW w:w="794" w:type="pct"/>
                  <w:vMerge w:val="restart"/>
                  <w:tcBorders>
                    <w:top w:val="single" w:color="auto" w:sz="4" w:space="0"/>
                    <w:left w:val="single" w:color="auto" w:sz="4" w:space="0"/>
                    <w:right w:val="single" w:color="auto" w:sz="4" w:space="0"/>
                    <w:tl2br w:val="nil"/>
                    <w:tr2bl w:val="nil"/>
                  </w:tcBorders>
                  <w:vAlign w:val="center"/>
                </w:tcPr>
                <w:p w14:paraId="553894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废气</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76B533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柴油机和柴油发电机</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209480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、NOx、CO、</w:t>
                  </w:r>
                  <w:r>
                    <w:rPr>
                      <w:rFonts w:hint="eastAsia"/>
                      <w:color w:val="000000" w:themeColor="text1"/>
                      <w14:textFill>
                        <w14:solidFill>
                          <w14:schemeClr w14:val="tx1"/>
                        </w14:solidFill>
                      </w14:textFill>
                    </w:rPr>
                    <w:t>非甲烷</w:t>
                  </w:r>
                  <w:r>
                    <w:rPr>
                      <w:color w:val="000000" w:themeColor="text1"/>
                      <w14:textFill>
                        <w14:solidFill>
                          <w14:schemeClr w14:val="tx1"/>
                        </w14:solidFill>
                      </w14:textFill>
                    </w:rPr>
                    <w:t>总烃、PM</w:t>
                  </w:r>
                  <w:r>
                    <w:rPr>
                      <w:color w:val="000000" w:themeColor="text1"/>
                      <w:vertAlign w:val="subscript"/>
                      <w14:textFill>
                        <w14:solidFill>
                          <w14:schemeClr w14:val="tx1"/>
                        </w14:solidFill>
                      </w14:textFill>
                    </w:rPr>
                    <w:t>10</w:t>
                  </w:r>
                  <w:r>
                    <w:rPr>
                      <w:color w:val="000000" w:themeColor="text1"/>
                      <w14:textFill>
                        <w14:solidFill>
                          <w14:schemeClr w14:val="tx1"/>
                        </w14:solidFill>
                      </w14:textFill>
                    </w:rPr>
                    <w:t>、PM</w:t>
                  </w:r>
                  <w:r>
                    <w:rPr>
                      <w:color w:val="000000" w:themeColor="text1"/>
                      <w:vertAlign w:val="subscript"/>
                      <w14:textFill>
                        <w14:solidFill>
                          <w14:schemeClr w14:val="tx1"/>
                        </w14:solidFill>
                      </w14:textFill>
                    </w:rPr>
                    <w:t>2.5</w:t>
                  </w:r>
                </w:p>
              </w:tc>
            </w:tr>
            <w:tr w14:paraId="7637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3D02F0F8">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left w:val="single" w:color="auto" w:sz="4" w:space="0"/>
                    <w:right w:val="single" w:color="auto" w:sz="4" w:space="0"/>
                    <w:tl2br w:val="nil"/>
                    <w:tr2bl w:val="nil"/>
                  </w:tcBorders>
                  <w:vAlign w:val="center"/>
                </w:tcPr>
                <w:p w14:paraId="34E33A3A">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0C3D9EA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施工扬尘、水基钻井岩屑暂存扬尘</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32FB855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颗粒物</w:t>
                  </w:r>
                </w:p>
              </w:tc>
            </w:tr>
            <w:tr w14:paraId="65A4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41DD88D1">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left w:val="single" w:color="auto" w:sz="4" w:space="0"/>
                    <w:bottom w:val="single" w:color="auto" w:sz="4" w:space="0"/>
                    <w:right w:val="single" w:color="auto" w:sz="4" w:space="0"/>
                    <w:tl2br w:val="nil"/>
                    <w:tr2bl w:val="nil"/>
                  </w:tcBorders>
                  <w:vAlign w:val="center"/>
                </w:tcPr>
                <w:p w14:paraId="6AD6817B">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423237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燃油机械废气、运输车辆尾气、柴油卸车及储存、油基岩屑储罐</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1B85589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非甲烷</w:t>
                  </w:r>
                  <w:r>
                    <w:rPr>
                      <w:color w:val="000000" w:themeColor="text1"/>
                      <w14:textFill>
                        <w14:solidFill>
                          <w14:schemeClr w14:val="tx1"/>
                        </w14:solidFill>
                      </w14:textFill>
                    </w:rPr>
                    <w:t>总烃</w:t>
                  </w:r>
                </w:p>
              </w:tc>
            </w:tr>
            <w:tr w14:paraId="046D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74B65B75">
                  <w:pPr>
                    <w:pStyle w:val="26"/>
                    <w:framePr w:hSpace="0" w:wrap="auto" w:vAnchor="margin" w:hAnchor="text" w:xAlign="left" w:yAlign="inline"/>
                    <w:rPr>
                      <w:color w:val="000000" w:themeColor="text1"/>
                      <w14:textFill>
                        <w14:solidFill>
                          <w14:schemeClr w14:val="tx1"/>
                        </w14:solidFill>
                      </w14:textFill>
                    </w:rPr>
                  </w:pPr>
                </w:p>
              </w:tc>
              <w:tc>
                <w:tcPr>
                  <w:tcW w:w="794" w:type="pct"/>
                  <w:vMerge w:val="restart"/>
                  <w:tcBorders>
                    <w:top w:val="single" w:color="auto" w:sz="4" w:space="0"/>
                    <w:left w:val="single" w:color="auto" w:sz="4" w:space="0"/>
                    <w:right w:val="single" w:color="auto" w:sz="4" w:space="0"/>
                    <w:tl2br w:val="nil"/>
                    <w:tr2bl w:val="nil"/>
                  </w:tcBorders>
                  <w:vAlign w:val="center"/>
                </w:tcPr>
                <w:p w14:paraId="12DF8CB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废水</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25253F7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生活营地生活污水</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20FF7D1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COD、SS、氨氮、BOD</w:t>
                  </w:r>
                  <w:r>
                    <w:rPr>
                      <w:color w:val="000000" w:themeColor="text1"/>
                      <w:vertAlign w:val="subscript"/>
                      <w14:textFill>
                        <w14:solidFill>
                          <w14:schemeClr w14:val="tx1"/>
                        </w14:solidFill>
                      </w14:textFill>
                    </w:rPr>
                    <w:t>5</w:t>
                  </w:r>
                </w:p>
              </w:tc>
            </w:tr>
            <w:tr w14:paraId="0E85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79AD5139">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left w:val="single" w:color="auto" w:sz="4" w:space="0"/>
                    <w:bottom w:val="single" w:color="auto" w:sz="4" w:space="0"/>
                    <w:right w:val="single" w:color="auto" w:sz="4" w:space="0"/>
                    <w:tl2br w:val="nil"/>
                    <w:tr2bl w:val="nil"/>
                  </w:tcBorders>
                  <w:vAlign w:val="center"/>
                </w:tcPr>
                <w:p w14:paraId="0911E854">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0F0A924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固井</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239B0E6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水泥颗粒、砂石碎屑</w:t>
                  </w:r>
                </w:p>
              </w:tc>
            </w:tr>
            <w:tr w14:paraId="321A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2CFBC660">
                  <w:pPr>
                    <w:pStyle w:val="26"/>
                    <w:framePr w:hSpace="0" w:wrap="auto" w:vAnchor="margin" w:hAnchor="text" w:xAlign="left" w:yAlign="inline"/>
                    <w:rPr>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51F60E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噪声</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6798B0C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动力设备、施工作业</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67C2AA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等效连续A声级</w:t>
                  </w:r>
                </w:p>
              </w:tc>
            </w:tr>
            <w:tr w14:paraId="6813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33A07C5C">
                  <w:pPr>
                    <w:pStyle w:val="26"/>
                    <w:framePr w:hSpace="0" w:wrap="auto" w:vAnchor="margin" w:hAnchor="text" w:xAlign="left" w:yAlign="inline"/>
                    <w:rPr>
                      <w:color w:val="000000" w:themeColor="text1"/>
                      <w14:textFill>
                        <w14:solidFill>
                          <w14:schemeClr w14:val="tx1"/>
                        </w14:solidFill>
                      </w14:textFill>
                    </w:rPr>
                  </w:pPr>
                </w:p>
              </w:tc>
              <w:tc>
                <w:tcPr>
                  <w:tcW w:w="794"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2ECF9F9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固体废物</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6E2AAA0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钻井井场</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75CA2C5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水基岩屑、油基岩屑、机械设备废油、废弃防渗膜</w:t>
                  </w:r>
                </w:p>
              </w:tc>
            </w:tr>
            <w:tr w14:paraId="489C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4FF6855A">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3F66AA75">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60A61F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生活营地</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600F5E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生活垃圾</w:t>
                  </w:r>
                </w:p>
              </w:tc>
            </w:tr>
            <w:tr w14:paraId="76BD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40AC03F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试油期</w:t>
                  </w:r>
                </w:p>
              </w:tc>
              <w:tc>
                <w:tcPr>
                  <w:tcW w:w="794"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221FDC3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机械排放废气和运输车辆尾气</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3B4EFAA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伴生气燃烧放空</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5FF28AA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、NOx、颗粒物</w:t>
                  </w:r>
                </w:p>
              </w:tc>
            </w:tr>
            <w:tr w14:paraId="4D47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67D6A11C">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2FEF9C58">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164DA86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柴油发电机</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3C420F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、NOx、CO、</w:t>
                  </w:r>
                  <w:r>
                    <w:rPr>
                      <w:rFonts w:hint="eastAsia"/>
                      <w:color w:val="000000" w:themeColor="text1"/>
                      <w14:textFill>
                        <w14:solidFill>
                          <w14:schemeClr w14:val="tx1"/>
                        </w14:solidFill>
                      </w14:textFill>
                    </w:rPr>
                    <w:t>非甲烷</w:t>
                  </w:r>
                  <w:r>
                    <w:rPr>
                      <w:color w:val="000000" w:themeColor="text1"/>
                      <w14:textFill>
                        <w14:solidFill>
                          <w14:schemeClr w14:val="tx1"/>
                        </w14:solidFill>
                      </w14:textFill>
                    </w:rPr>
                    <w:t>总烃、PM</w:t>
                  </w:r>
                  <w:r>
                    <w:rPr>
                      <w:color w:val="000000" w:themeColor="text1"/>
                      <w:vertAlign w:val="subscript"/>
                      <w14:textFill>
                        <w14:solidFill>
                          <w14:schemeClr w14:val="tx1"/>
                        </w14:solidFill>
                      </w14:textFill>
                    </w:rPr>
                    <w:t>10</w:t>
                  </w:r>
                  <w:r>
                    <w:rPr>
                      <w:color w:val="000000" w:themeColor="text1"/>
                      <w14:textFill>
                        <w14:solidFill>
                          <w14:schemeClr w14:val="tx1"/>
                        </w14:solidFill>
                      </w14:textFill>
                    </w:rPr>
                    <w:t>、PM</w:t>
                  </w:r>
                  <w:r>
                    <w:rPr>
                      <w:color w:val="000000" w:themeColor="text1"/>
                      <w:vertAlign w:val="subscript"/>
                      <w14:textFill>
                        <w14:solidFill>
                          <w14:schemeClr w14:val="tx1"/>
                        </w14:solidFill>
                      </w14:textFill>
                    </w:rPr>
                    <w:t>2.5</w:t>
                  </w:r>
                </w:p>
              </w:tc>
            </w:tr>
            <w:tr w14:paraId="3BF5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3AFC6C59">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00D56EA6">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1702816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临时储罐和采出液装载</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562A9DD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非甲烷</w:t>
                  </w:r>
                  <w:r>
                    <w:rPr>
                      <w:color w:val="000000" w:themeColor="text1"/>
                      <w14:textFill>
                        <w14:solidFill>
                          <w14:schemeClr w14:val="tx1"/>
                        </w14:solidFill>
                      </w14:textFill>
                    </w:rPr>
                    <w:t>总烃</w:t>
                  </w:r>
                </w:p>
              </w:tc>
            </w:tr>
            <w:tr w14:paraId="0770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450C51FC">
                  <w:pPr>
                    <w:pStyle w:val="26"/>
                    <w:framePr w:hSpace="0" w:wrap="auto" w:vAnchor="margin" w:hAnchor="text" w:xAlign="left" w:yAlign="inline"/>
                    <w:rPr>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04B1F7C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废水</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3A7C69B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井下作业废水（洗井废水、废压裂返排液）</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51F036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SS、石油类</w:t>
                  </w:r>
                </w:p>
              </w:tc>
            </w:tr>
            <w:tr w14:paraId="76C0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71EBFB02">
                  <w:pPr>
                    <w:pStyle w:val="26"/>
                    <w:framePr w:hSpace="0" w:wrap="auto" w:vAnchor="margin" w:hAnchor="text" w:xAlign="left" w:yAlign="inline"/>
                    <w:rPr>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050975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噪声</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56FB55C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动力设备、井下作业</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0315CF5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试油机械噪声</w:t>
                  </w:r>
                </w:p>
              </w:tc>
            </w:tr>
            <w:tr w14:paraId="59DB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4063B986">
                  <w:pPr>
                    <w:pStyle w:val="26"/>
                    <w:framePr w:hSpace="0" w:wrap="auto" w:vAnchor="margin" w:hAnchor="text" w:xAlign="left" w:yAlign="inline"/>
                    <w:rPr>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4CD112B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固废</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0BC893F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井下作业</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28E0F9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废弃防渗膜</w:t>
                  </w:r>
                </w:p>
              </w:tc>
            </w:tr>
          </w:tbl>
          <w:p w14:paraId="5AC05EA0">
            <w:pPr>
              <w:pStyle w:val="3"/>
              <w:ind w:firstLine="0" w:firstLineChars="0"/>
              <w:rPr>
                <w:color w:val="000000" w:themeColor="text1"/>
                <w:sz w:val="28"/>
                <w:szCs w:val="28"/>
                <w14:textFill>
                  <w14:solidFill>
                    <w14:schemeClr w14:val="tx1"/>
                  </w14:solidFill>
                </w14:textFill>
              </w:rPr>
            </w:pPr>
            <w:bookmarkStart w:id="15" w:name="_Hlk27231092"/>
            <w:bookmarkStart w:id="16" w:name="_Hlk2526104"/>
            <w:r>
              <w:rPr>
                <w:color w:val="000000" w:themeColor="text1"/>
                <w:sz w:val="28"/>
                <w:szCs w:val="28"/>
                <w14:textFill>
                  <w14:solidFill>
                    <w14:schemeClr w14:val="tx1"/>
                  </w14:solidFill>
                </w14:textFill>
              </w:rPr>
              <w:t>1 生态环境影响分析</w:t>
            </w:r>
          </w:p>
          <w:p w14:paraId="20FAF818">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1.1 生态环境影响因素及类型</w:t>
            </w:r>
          </w:p>
          <w:p w14:paraId="570C6DA2">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本项目井场、道路及施工营地施工过程中不可避免地会对周围生态环境造成不同程度的污染和破坏。</w:t>
            </w:r>
          </w:p>
          <w:p w14:paraId="12D6D38B">
            <w:pPr>
              <w:pStyle w:val="32"/>
              <w:rPr>
                <w:rFonts w:ascii="Times New Roman" w:hAnsi="Times New Roman"/>
                <w:color w:val="000000" w:themeColor="text1"/>
                <w:sz w:val="24"/>
                <w:szCs w:val="24"/>
                <w14:textFill>
                  <w14:solidFill>
                    <w14:schemeClr w14:val="tx1"/>
                  </w14:solidFill>
                </w14:textFill>
              </w:rPr>
            </w:pPr>
            <w:bookmarkStart w:id="17" w:name="_Hlk44523827"/>
            <w:bookmarkEnd w:id="17"/>
            <w:r>
              <w:rPr>
                <w:rFonts w:ascii="Times New Roman" w:hAnsi="Times New Roman"/>
                <w:color w:val="000000" w:themeColor="text1"/>
                <w:sz w:val="24"/>
                <w:szCs w:val="24"/>
                <w14:textFill>
                  <w14:solidFill>
                    <w14:schemeClr w14:val="tx1"/>
                  </w14:solidFill>
                </w14:textFill>
              </w:rPr>
              <w:t>（1）生态环境影响类型</w:t>
            </w:r>
          </w:p>
          <w:p w14:paraId="567E405B">
            <w:pPr>
              <w:overflowPunct w:val="0"/>
              <w:adjustRightInd/>
              <w:ind w:firstLine="480"/>
              <w:rPr>
                <w:color w:val="000000" w:themeColor="text1"/>
                <w14:textFill>
                  <w14:solidFill>
                    <w14:schemeClr w14:val="tx1"/>
                  </w14:solidFill>
                </w14:textFill>
              </w:rPr>
            </w:pPr>
            <w:bookmarkStart w:id="18" w:name="_Hlk67930575"/>
            <w:r>
              <w:rPr>
                <w:color w:val="000000" w:themeColor="text1"/>
                <w14:textFill>
                  <w14:solidFill>
                    <w14:schemeClr w14:val="tx1"/>
                  </w14:solidFill>
                </w14:textFill>
              </w:rPr>
              <w:t>①占地对地表土壤、植被影响</w:t>
            </w:r>
          </w:p>
          <w:p w14:paraId="4477BA2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井场、道路、施工营地施工占地范围内土壤翻出、植被清除，将破坏地表原有稳定砾石层，加剧风蚀，改变原有生态系统结构和功能，属暂时性影响。</w:t>
            </w:r>
            <w:bookmarkEnd w:id="18"/>
            <w:r>
              <w:rPr>
                <w:rFonts w:ascii="Times New Roman" w:hAnsi="Times New Roman"/>
                <w:color w:val="000000" w:themeColor="text1"/>
                <w:sz w:val="24"/>
                <w:szCs w:val="24"/>
                <w14:textFill>
                  <w14:solidFill>
                    <w14:schemeClr w14:val="tx1"/>
                  </w14:solidFill>
                </w14:textFill>
              </w:rPr>
              <w:t>施工完成后，临时性占地和影响将消除，使被破坏的生态环境逐步恢复。封井前井场将会在原来连续分布的生态环境中形成生态斑点，产生地表温度、水分等物理异常，以及干扰地面植被和野生动物繁殖、迁移和栖息，长久影响生态环境的类型和结构。</w:t>
            </w:r>
          </w:p>
          <w:p w14:paraId="402C3A0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②污染物排放对生态环境的影响</w:t>
            </w:r>
          </w:p>
          <w:p w14:paraId="7BBA5D8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主要污染源集中在钻井工程，其污染源分布广、排放源强小，污染因子简单，具有影响的全方位性、综合性的特点，其对生态环境影响的途径和程度取决于水环境、空气环境、声环境被污染的程度和固废的产生量及处置方式。</w:t>
            </w:r>
          </w:p>
          <w:p w14:paraId="37A20497">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（2）生态环境影响因素</w:t>
            </w:r>
          </w:p>
          <w:p w14:paraId="5D96EFE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环境影响因素识别实际上是对主体的识别，包括主要工程和辅助工程。对于本项目来讲，主要从钻井工程分析环境影响因素。</w:t>
            </w:r>
          </w:p>
          <w:p w14:paraId="027DF245">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本次部署</w:t>
            </w:r>
            <w:r>
              <w:rPr>
                <w:rFonts w:hint="eastAsia" w:ascii="Times New Roman" w:hAnsi="Times New Roman"/>
                <w:color w:val="000000" w:themeColor="text1"/>
                <w:sz w:val="24"/>
                <w:szCs w:val="24"/>
                <w14:textFill>
                  <w14:solidFill>
                    <w14:schemeClr w14:val="tx1"/>
                  </w14:solidFill>
                </w14:textFill>
              </w:rPr>
              <w:t>4</w:t>
            </w:r>
            <w:r>
              <w:rPr>
                <w:rFonts w:ascii="Times New Roman" w:hAnsi="Times New Roman"/>
                <w:color w:val="000000" w:themeColor="text1"/>
                <w:sz w:val="24"/>
                <w:szCs w:val="24"/>
                <w14:textFill>
                  <w14:solidFill>
                    <w14:schemeClr w14:val="tx1"/>
                  </w14:solidFill>
                </w14:textFill>
              </w:rPr>
              <w:t>口</w:t>
            </w:r>
            <w:r>
              <w:rPr>
                <w:rFonts w:hint="eastAsia" w:ascii="Times New Roman" w:hAnsi="Times New Roman"/>
                <w:color w:val="000000" w:themeColor="text1"/>
                <w:sz w:val="24"/>
                <w:szCs w:val="24"/>
                <w14:textFill>
                  <w14:solidFill>
                    <w14:schemeClr w14:val="tx1"/>
                  </w14:solidFill>
                </w14:textFill>
              </w:rPr>
              <w:t>预探</w:t>
            </w:r>
            <w:r>
              <w:rPr>
                <w:rFonts w:ascii="Times New Roman" w:hAnsi="Times New Roman"/>
                <w:color w:val="000000" w:themeColor="text1"/>
                <w:sz w:val="24"/>
                <w:szCs w:val="24"/>
                <w14:textFill>
                  <w14:solidFill>
                    <w14:schemeClr w14:val="tx1"/>
                  </w14:solidFill>
                </w14:textFill>
              </w:rPr>
              <w:t>井，井场的平整会产生土方的扰动；钻井过程中废物的排放、钻井机械的运输等施工活动均可对地表原生结构造成破坏，对生态环境带来不利影响。在井场选址过程中，应尽量选择动土作业量小的地段，场地平整所产生的土方随地势进行处置，尽可能填入低洼地带；采用钻井泥浆不落地技术；井场材料整齐堆放，严格管理，不得随地洒落，完井后全部回收外运；施工机械划定运行线路，不得随意开行便道，以减少对地表原生结构的破坏。各种措施的采用，可有效减轻钻井过程对生态环境的影响。</w:t>
            </w:r>
          </w:p>
          <w:p w14:paraId="34C3FEE2">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生态环境影响因素见表4-2。</w:t>
            </w:r>
          </w:p>
          <w:p w14:paraId="5E15F852">
            <w:pPr>
              <w:pStyle w:val="23"/>
              <w:rPr>
                <w:bCs/>
                <w:color w:val="000000" w:themeColor="text1"/>
                <w:sz w:val="21"/>
                <w:szCs w:val="21"/>
                <w14:textFill>
                  <w14:solidFill>
                    <w14:schemeClr w14:val="tx1"/>
                  </w14:solidFill>
                </w14:textFill>
              </w:rPr>
            </w:pPr>
            <w:bookmarkStart w:id="19" w:name="_Hlk47519731"/>
            <w:bookmarkEnd w:id="19"/>
            <w:r>
              <w:rPr>
                <w:bCs/>
                <w:color w:val="000000" w:themeColor="text1"/>
                <w:sz w:val="21"/>
                <w:szCs w:val="21"/>
                <w14:textFill>
                  <w14:solidFill>
                    <w14:schemeClr w14:val="tx1"/>
                  </w14:solidFill>
                </w14:textFill>
              </w:rPr>
              <w:t>表4-2  生态环境影响因素</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5"/>
              <w:gridCol w:w="6559"/>
            </w:tblGrid>
            <w:tr w14:paraId="3BB7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0BE458E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工程活动</w:t>
                  </w:r>
                </w:p>
              </w:tc>
              <w:tc>
                <w:tcPr>
                  <w:tcW w:w="6831" w:type="dxa"/>
                  <w:tcBorders>
                    <w:top w:val="single" w:color="auto" w:sz="4" w:space="0"/>
                    <w:left w:val="nil"/>
                    <w:bottom w:val="single" w:color="auto" w:sz="4" w:space="0"/>
                    <w:right w:val="single" w:color="auto" w:sz="4" w:space="0"/>
                  </w:tcBorders>
                  <w:vAlign w:val="center"/>
                </w:tcPr>
                <w:p w14:paraId="52344E9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主要影响</w:t>
                  </w:r>
                </w:p>
              </w:tc>
            </w:tr>
            <w:tr w14:paraId="08E6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1B79AD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钻井工程</w:t>
                  </w:r>
                </w:p>
              </w:tc>
              <w:tc>
                <w:tcPr>
                  <w:tcW w:w="6831" w:type="dxa"/>
                  <w:tcBorders>
                    <w:top w:val="single" w:color="auto" w:sz="4" w:space="0"/>
                    <w:left w:val="nil"/>
                    <w:bottom w:val="single" w:color="auto" w:sz="4" w:space="0"/>
                    <w:right w:val="single" w:color="auto" w:sz="4" w:space="0"/>
                  </w:tcBorders>
                </w:tcPr>
                <w:p w14:paraId="25EFB56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1、对井场及周围植被的破坏影响；</w:t>
                  </w:r>
                </w:p>
                <w:p w14:paraId="780F957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2、对井场土壤产生的不利影响。</w:t>
                  </w:r>
                </w:p>
              </w:tc>
            </w:tr>
            <w:tr w14:paraId="3FDE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0080DD8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施工营地修建</w:t>
                  </w:r>
                </w:p>
              </w:tc>
              <w:tc>
                <w:tcPr>
                  <w:tcW w:w="6831" w:type="dxa"/>
                  <w:tcBorders>
                    <w:top w:val="single" w:color="auto" w:sz="4" w:space="0"/>
                    <w:left w:val="nil"/>
                    <w:bottom w:val="single" w:color="auto" w:sz="4" w:space="0"/>
                    <w:right w:val="single" w:color="auto" w:sz="4" w:space="0"/>
                  </w:tcBorders>
                </w:tcPr>
                <w:p w14:paraId="6AC017A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、对施工营地及周围植被的破坏影响。</w:t>
                  </w:r>
                </w:p>
                <w:p w14:paraId="6657582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、对施工营地土壤产生的不利影响。</w:t>
                  </w:r>
                </w:p>
              </w:tc>
            </w:tr>
            <w:tr w14:paraId="79F1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583D13E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井场道路修建</w:t>
                  </w:r>
                </w:p>
              </w:tc>
              <w:tc>
                <w:tcPr>
                  <w:tcW w:w="6831" w:type="dxa"/>
                  <w:tcBorders>
                    <w:top w:val="single" w:color="auto" w:sz="4" w:space="0"/>
                    <w:left w:val="nil"/>
                    <w:bottom w:val="single" w:color="auto" w:sz="4" w:space="0"/>
                    <w:right w:val="single" w:color="auto" w:sz="4" w:space="0"/>
                  </w:tcBorders>
                </w:tcPr>
                <w:p w14:paraId="3A30B73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、施工过程对道路两侧植被和土壤产生不利影响。</w:t>
                  </w:r>
                </w:p>
              </w:tc>
            </w:tr>
          </w:tbl>
          <w:p w14:paraId="474649AC">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1.2 植被的影响分析</w:t>
            </w:r>
          </w:p>
          <w:p w14:paraId="6E85201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本项目钻井工程是造成植被破坏的主要原因。</w:t>
            </w:r>
          </w:p>
          <w:p w14:paraId="042C7BE2">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（1）工程占地对植被的影响</w:t>
            </w:r>
          </w:p>
          <w:p w14:paraId="39992DB2">
            <w:pPr>
              <w:pStyle w:val="32"/>
              <w:jc w:val="both"/>
              <w:rPr>
                <w:rFonts w:ascii="Times New Roman" w:hAnsi="Times New Roman"/>
                <w:color w:val="000000" w:themeColor="text1"/>
                <w:sz w:val="24"/>
                <w:szCs w:val="24"/>
                <w14:textFill>
                  <w14:solidFill>
                    <w14:schemeClr w14:val="tx1"/>
                  </w14:solidFill>
                </w14:textFill>
              </w:rPr>
            </w:pPr>
            <w:bookmarkStart w:id="20" w:name="_Hlk43446974"/>
            <w:bookmarkEnd w:id="20"/>
            <w:r>
              <w:rPr>
                <w:rFonts w:ascii="Times New Roman" w:hAnsi="Times New Roman"/>
                <w:color w:val="000000" w:themeColor="text1"/>
                <w:sz w:val="24"/>
                <w:szCs w:val="24"/>
                <w14:textFill>
                  <w14:solidFill>
                    <w14:schemeClr w14:val="tx1"/>
                  </w14:solidFill>
                </w14:textFill>
              </w:rPr>
              <w:t>钻井过程中的占地包括井场、入场道路及施工营地占地，对植被的影响主要表现在施工期，主要影响形式是对土地的占用以及施工阶段清场过程中对地表植被的清理及施工过程中的碾压。</w:t>
            </w:r>
          </w:p>
          <w:p w14:paraId="447AE007">
            <w:pPr>
              <w:pStyle w:val="32"/>
              <w:jc w:val="both"/>
              <w:rPr>
                <w:rFonts w:ascii="Times New Roman" w:hAnsi="Times New Roman"/>
                <w:color w:val="000000" w:themeColor="text1"/>
                <w:sz w:val="24"/>
                <w:szCs w:val="24"/>
                <w:highlight w:val="yellow"/>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在井场、道路及施工营地施工过程中土地被扰动，地表植被基本被毁。施工结束后重新回到原来的自然状态，但地表植被及地表结构却发生了变化。地表保护层被破坏后，其稳定性下降，防止水土流失的能力也随之下降。</w:t>
            </w:r>
            <w:bookmarkStart w:id="21" w:name="_Hlk43447011"/>
            <w:bookmarkEnd w:id="21"/>
          </w:p>
          <w:p w14:paraId="38F148A1">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本项目施工结束后如发现该井不</w:t>
            </w:r>
            <w:r>
              <w:rPr>
                <w:rFonts w:hint="eastAsia" w:ascii="Times New Roman" w:hAnsi="Times New Roman"/>
                <w:color w:val="000000" w:themeColor="text1"/>
                <w:sz w:val="24"/>
                <w:szCs w:val="24"/>
                <w14:textFill>
                  <w14:solidFill>
                    <w14:schemeClr w14:val="tx1"/>
                  </w14:solidFill>
                </w14:textFill>
              </w:rPr>
              <w:t>具有</w:t>
            </w:r>
            <w:r>
              <w:rPr>
                <w:rFonts w:ascii="Times New Roman" w:hAnsi="Times New Roman"/>
                <w:color w:val="000000" w:themeColor="text1"/>
                <w:sz w:val="24"/>
                <w:szCs w:val="24"/>
                <w14:textFill>
                  <w14:solidFill>
                    <w14:schemeClr w14:val="tx1"/>
                  </w14:solidFill>
                </w14:textFill>
              </w:rPr>
              <w:t>开发价值或目的层不含油，则进行封井，</w:t>
            </w:r>
            <w:r>
              <w:rPr>
                <w:rFonts w:hint="eastAsia" w:ascii="Times New Roman" w:hAnsi="Times New Roman"/>
                <w:color w:val="000000" w:themeColor="text1"/>
                <w:sz w:val="24"/>
                <w:szCs w:val="24"/>
                <w:lang w:val="en-US" w:eastAsia="zh-CN"/>
                <w14:textFill>
                  <w14:solidFill>
                    <w14:schemeClr w14:val="tx1"/>
                  </w14:solidFill>
                </w14:textFill>
              </w:rPr>
              <w:t>自然</w:t>
            </w:r>
            <w:r>
              <w:rPr>
                <w:rFonts w:ascii="Times New Roman" w:hAnsi="Times New Roman"/>
                <w:color w:val="000000" w:themeColor="text1"/>
                <w:sz w:val="24"/>
                <w:szCs w:val="24"/>
                <w14:textFill>
                  <w14:solidFill>
                    <w14:schemeClr w14:val="tx1"/>
                  </w14:solidFill>
                </w14:textFill>
              </w:rPr>
              <w:t>恢复</w:t>
            </w:r>
            <w:r>
              <w:rPr>
                <w:rFonts w:hint="eastAsia" w:ascii="Times New Roman" w:hAnsi="Times New Roman"/>
                <w:color w:val="000000" w:themeColor="text1"/>
                <w:sz w:val="24"/>
                <w:szCs w:val="24"/>
                <w:lang w:val="en-US" w:eastAsia="zh-CN"/>
                <w14:textFill>
                  <w14:solidFill>
                    <w14:schemeClr w14:val="tx1"/>
                  </w14:solidFill>
                </w14:textFill>
              </w:rPr>
              <w:t>植被</w:t>
            </w:r>
            <w:r>
              <w:rPr>
                <w:rFonts w:ascii="Times New Roman" w:hAnsi="Times New Roman"/>
                <w:color w:val="000000" w:themeColor="text1"/>
                <w:sz w:val="24"/>
                <w:szCs w:val="24"/>
                <w14:textFill>
                  <w14:solidFill>
                    <w14:schemeClr w14:val="tx1"/>
                  </w14:solidFill>
                </w14:textFill>
              </w:rPr>
              <w:t>。占地范围内植被覆盖度较低，且随着施工期的结束，被开挖部分将覆土回填，可以减少临时占地对植被的破坏程度。本次环评要求在井场、入场道路等临时占地选址过程中，应尽量选择动土作业量小的地段，场地平整所产生的土方随地势进行处置，尽可能填入低洼地带。施工结束后即对占地进行植被恢复；运输车辆沿道路行驶，禁止乱压乱碾，只要加强施工管理，项目实施不会对项目区的生态环境造成太大影响。</w:t>
            </w:r>
          </w:p>
          <w:p w14:paraId="1B7C2B65">
            <w:pPr>
              <w:pStyle w:val="32"/>
              <w:rPr>
                <w:rFonts w:ascii="Times New Roman" w:hAnsi="Times New Roman"/>
                <w:color w:val="000000" w:themeColor="text1"/>
                <w:sz w:val="24"/>
                <w:szCs w:val="24"/>
                <w14:textFill>
                  <w14:solidFill>
                    <w14:schemeClr w14:val="tx1"/>
                  </w14:solidFill>
                </w14:textFill>
              </w:rPr>
            </w:pPr>
            <w:bookmarkStart w:id="22" w:name="_Hlk48504594"/>
            <w:bookmarkEnd w:id="22"/>
            <w:r>
              <w:rPr>
                <w:rFonts w:ascii="Times New Roman" w:hAnsi="Times New Roman"/>
                <w:color w:val="000000" w:themeColor="text1"/>
                <w:sz w:val="24"/>
                <w:szCs w:val="24"/>
                <w14:textFill>
                  <w14:solidFill>
                    <w14:schemeClr w14:val="tx1"/>
                  </w14:solidFill>
                </w14:textFill>
              </w:rPr>
              <w:t>（2）道路修建对植被的影响</w:t>
            </w:r>
          </w:p>
          <w:p w14:paraId="0599928B">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本项目建设过程中需修建油区简易道路</w:t>
            </w:r>
            <w:r>
              <w:rPr>
                <w:rFonts w:hint="eastAsia" w:ascii="Times New Roman" w:hAnsi="Times New Roman"/>
                <w:color w:val="000000" w:themeColor="text1"/>
                <w:sz w:val="24"/>
                <w:szCs w:val="24"/>
                <w14:textFill>
                  <w14:solidFill>
                    <w14:schemeClr w14:val="tx1"/>
                  </w14:solidFill>
                </w14:textFill>
              </w:rPr>
              <w:t>244</w:t>
            </w:r>
            <w:r>
              <w:rPr>
                <w:rFonts w:ascii="Times New Roman" w:hAnsi="Times New Roman"/>
                <w:color w:val="000000" w:themeColor="text1"/>
                <w:sz w:val="24"/>
                <w:szCs w:val="24"/>
                <w14:textFill>
                  <w14:solidFill>
                    <w14:schemeClr w14:val="tx1"/>
                  </w14:solidFill>
                </w14:textFill>
              </w:rPr>
              <w:t>m。在道路修建过程中，除了路基占用原有土地外，主要影响的是道路两侧的植被。施工完成后，由于区域内有冬季降雪，在融雪季节道路两侧有积水产生，有利于道路两侧植被的自然恢复。</w:t>
            </w:r>
          </w:p>
          <w:p w14:paraId="6F979198">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（3）人类活动对植被的影响</w:t>
            </w:r>
          </w:p>
          <w:p w14:paraId="24B96FC7">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项目施工过程对植被的影响主要表现在人类和机械对植物的碾压和砍伐，使原生植被生境发生较大变化。区域单位面积上人口密度的增加将导致工程开发范围内及边缘区域地表土壤被践踏、自然植被减少。但评价区植被分布不均匀，覆盖度较低，因此，人类活动对该区域天然植被产生的不良影响非常有限。</w:t>
            </w:r>
          </w:p>
          <w:p w14:paraId="7DDFFD0F">
            <w:pPr>
              <w:pStyle w:val="5"/>
              <w:spacing w:line="360" w:lineRule="auto"/>
              <w:ind w:firstLine="480"/>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w:t>
            </w:r>
            <w:r>
              <w:rPr>
                <w:rFonts w:hint="eastAsia" w:ascii="Times New Roman" w:hAnsi="Times New Roman" w:cs="Times New Roman"/>
                <w:bCs/>
                <w:color w:val="000000" w:themeColor="text1"/>
                <w:sz w:val="24"/>
                <w:szCs w:val="24"/>
                <w:lang w:val="en-US" w:eastAsia="zh-CN"/>
                <w14:textFill>
                  <w14:solidFill>
                    <w14:schemeClr w14:val="tx1"/>
                  </w14:solidFill>
                </w14:textFill>
              </w:rPr>
              <w:t>4</w:t>
            </w:r>
            <w:r>
              <w:rPr>
                <w:rFonts w:hint="default" w:ascii="Times New Roman" w:hAnsi="Times New Roman" w:cs="Times New Roman"/>
                <w:bCs/>
                <w:color w:val="000000" w:themeColor="text1"/>
                <w:sz w:val="24"/>
                <w:szCs w:val="24"/>
                <w14:textFill>
                  <w14:solidFill>
                    <w14:schemeClr w14:val="tx1"/>
                  </w14:solidFill>
                </w14:textFill>
              </w:rPr>
              <w:t>）生物损失量核算</w:t>
            </w:r>
          </w:p>
          <w:p w14:paraId="104F2DCC">
            <w:pPr>
              <w:pStyle w:val="5"/>
              <w:spacing w:line="360" w:lineRule="auto"/>
              <w:ind w:firstLine="480"/>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本项目占地类型主要为其他草地</w:t>
            </w:r>
            <w:r>
              <w:rPr>
                <w:rFonts w:hint="eastAsia" w:ascii="Times New Roman" w:hAnsi="Times New Roman" w:cs="Times New Roman"/>
                <w:bCs/>
                <w:color w:val="000000" w:themeColor="text1"/>
                <w:sz w:val="24"/>
                <w:szCs w:val="24"/>
                <w:lang w:eastAsia="zh-CN"/>
                <w14:textFill>
                  <w14:solidFill>
                    <w14:schemeClr w14:val="tx1"/>
                  </w14:solidFill>
                </w14:textFill>
              </w:rPr>
              <w:t>，</w:t>
            </w:r>
            <w:r>
              <w:rPr>
                <w:rFonts w:hint="default" w:ascii="Times New Roman" w:hAnsi="Times New Roman" w:cs="Times New Roman"/>
                <w:bCs/>
                <w:color w:val="000000" w:themeColor="text1"/>
                <w:sz w:val="24"/>
                <w:szCs w:val="24"/>
                <w14:textFill>
                  <w14:solidFill>
                    <w14:schemeClr w14:val="tx1"/>
                  </w14:solidFill>
                </w14:textFill>
              </w:rPr>
              <w:t>植被类型为荒漠植被，平均覆盖度约10%，主要物种为骆驼蓬、欧洲山杨、伊犁小檗、多枝柽柳、芨芨草等。由于施工期进行表土剥离和平整，将导致占地范围内的生物量全部损失（按100%损失率计算）。</w:t>
            </w:r>
            <w:r>
              <w:rPr>
                <w:rFonts w:ascii="Times New Roman" w:hAnsi="Times New Roman" w:eastAsia="宋体" w:cs="Times New Roman"/>
                <w:color w:val="000000" w:themeColor="text1"/>
                <w:kern w:val="0"/>
                <w:sz w:val="24"/>
                <w14:textFill>
                  <w14:solidFill>
                    <w14:schemeClr w14:val="tx1"/>
                  </w14:solidFill>
                </w14:textFill>
              </w:rPr>
              <w:t>根据朴世龙、方精云等《中国草地植被生物量及其空间分布格局》（植物生态学报，2004，（04）：491-498）</w:t>
            </w:r>
            <w:r>
              <w:rPr>
                <w:rFonts w:hint="eastAsia" w:ascii="Times New Roman" w:hAnsi="Times New Roman" w:eastAsia="宋体" w:cs="Times New Roman"/>
                <w:color w:val="000000" w:themeColor="text1"/>
                <w:kern w:val="0"/>
                <w:sz w:val="24"/>
                <w:lang w:eastAsia="zh-CN"/>
                <w14:textFill>
                  <w14:solidFill>
                    <w14:schemeClr w14:val="tx1"/>
                  </w14:solidFill>
                </w14:textFill>
              </w:rPr>
              <w:t>，</w:t>
            </w:r>
            <w:r>
              <w:rPr>
                <w:rFonts w:ascii="Times New Roman" w:hAnsi="Times New Roman" w:eastAsia="宋体" w:cs="Times New Roman"/>
                <w:color w:val="000000" w:themeColor="text1"/>
                <w:kern w:val="0"/>
                <w:sz w:val="24"/>
                <w:szCs w:val="24"/>
                <w14:textFill>
                  <w14:solidFill>
                    <w14:schemeClr w14:val="tx1"/>
                  </w14:solidFill>
                </w14:textFill>
              </w:rPr>
              <w:t>新疆地区草地的平均生物量5.354t/hm</w:t>
            </w:r>
            <w:r>
              <w:rPr>
                <w:rFonts w:ascii="Times New Roman" w:hAnsi="Times New Roman" w:eastAsia="宋体" w:cs="Times New Roman"/>
                <w:color w:val="000000" w:themeColor="text1"/>
                <w:kern w:val="0"/>
                <w:sz w:val="24"/>
                <w:szCs w:val="24"/>
                <w:vertAlign w:val="superscript"/>
                <w14:textFill>
                  <w14:solidFill>
                    <w14:schemeClr w14:val="tx1"/>
                  </w14:solidFill>
                </w14:textFill>
              </w:rPr>
              <w:t>2</w:t>
            </w:r>
            <w:r>
              <w:rPr>
                <w:rFonts w:ascii="Times New Roman" w:hAnsi="Times New Roman" w:eastAsia="宋体" w:cs="Times New Roman"/>
                <w:color w:val="000000" w:themeColor="text1"/>
                <w:kern w:val="0"/>
                <w:sz w:val="24"/>
                <w:szCs w:val="24"/>
                <w14:textFill>
                  <w14:solidFill>
                    <w14:schemeClr w14:val="tx1"/>
                  </w14:solidFill>
                </w14:textFill>
              </w:rPr>
              <w:t>。</w:t>
            </w:r>
            <w:r>
              <w:rPr>
                <w:rFonts w:hint="default" w:ascii="Times New Roman" w:hAnsi="Times New Roman" w:cs="Times New Roman"/>
                <w:bCs/>
                <w:color w:val="000000" w:themeColor="text1"/>
                <w:sz w:val="24"/>
                <w:szCs w:val="24"/>
                <w14:textFill>
                  <w14:solidFill>
                    <w14:schemeClr w14:val="tx1"/>
                  </w14:solidFill>
                </w14:textFill>
              </w:rPr>
              <w:t>本项目临时占地总面积为</w:t>
            </w:r>
            <w:r>
              <w:rPr>
                <w:rFonts w:hint="eastAsia" w:ascii="Times New Roman" w:hAnsi="Times New Roman" w:cs="Times New Roman"/>
                <w:bCs/>
                <w:color w:val="000000" w:themeColor="text1"/>
                <w:sz w:val="24"/>
                <w:szCs w:val="24"/>
                <w:lang w:val="en-US" w:eastAsia="zh-CN"/>
                <w14:textFill>
                  <w14:solidFill>
                    <w14:schemeClr w14:val="tx1"/>
                  </w14:solidFill>
                </w14:textFill>
              </w:rPr>
              <w:t>29072</w:t>
            </w:r>
            <w:r>
              <w:rPr>
                <w:rFonts w:hint="default" w:ascii="Times New Roman" w:hAnsi="Times New Roman" w:cs="Times New Roman"/>
                <w:bCs/>
                <w:color w:val="000000" w:themeColor="text1"/>
                <w:sz w:val="24"/>
                <w:szCs w:val="24"/>
                <w14:textFill>
                  <w14:solidFill>
                    <w14:schemeClr w14:val="tx1"/>
                  </w14:solidFill>
                </w14:textFill>
              </w:rPr>
              <w:t>m</w:t>
            </w:r>
            <w:r>
              <w:rPr>
                <w:rFonts w:hint="default" w:ascii="Times New Roman" w:hAnsi="Times New Roman" w:cs="Times New Roman"/>
                <w:bCs/>
                <w:color w:val="000000" w:themeColor="text1"/>
                <w:sz w:val="24"/>
                <w:szCs w:val="24"/>
                <w:vertAlign w:val="superscript"/>
                <w14:textFill>
                  <w14:solidFill>
                    <w14:schemeClr w14:val="tx1"/>
                  </w14:solidFill>
                </w14:textFill>
              </w:rPr>
              <w:t>2</w:t>
            </w:r>
            <w:r>
              <w:rPr>
                <w:rFonts w:hint="default" w:ascii="Times New Roman" w:hAnsi="Times New Roman" w:cs="Times New Roman"/>
                <w:bCs/>
                <w:color w:val="000000" w:themeColor="text1"/>
                <w:sz w:val="24"/>
                <w:szCs w:val="24"/>
                <w14:textFill>
                  <w14:solidFill>
                    <w14:schemeClr w14:val="tx1"/>
                  </w14:solidFill>
                </w14:textFill>
              </w:rPr>
              <w:t>，生物损失量约为</w:t>
            </w:r>
            <w:r>
              <w:rPr>
                <w:rFonts w:hint="eastAsia" w:ascii="Times New Roman" w:hAnsi="Times New Roman" w:cs="Times New Roman"/>
                <w:bCs/>
                <w:color w:val="000000" w:themeColor="text1"/>
                <w:sz w:val="24"/>
                <w:szCs w:val="24"/>
                <w:lang w:val="en-US" w:eastAsia="zh-CN"/>
                <w14:textFill>
                  <w14:solidFill>
                    <w14:schemeClr w14:val="tx1"/>
                  </w14:solidFill>
                </w14:textFill>
              </w:rPr>
              <w:t>15.57</w:t>
            </w:r>
            <w:r>
              <w:rPr>
                <w:rFonts w:hint="default" w:ascii="Times New Roman" w:hAnsi="Times New Roman" w:cs="Times New Roman"/>
                <w:bCs/>
                <w:color w:val="000000" w:themeColor="text1"/>
                <w:sz w:val="24"/>
                <w:szCs w:val="24"/>
                <w14:textFill>
                  <w14:solidFill>
                    <w14:schemeClr w14:val="tx1"/>
                  </w14:solidFill>
                </w14:textFill>
              </w:rPr>
              <w:t>t。</w:t>
            </w:r>
          </w:p>
          <w:p w14:paraId="0286297E">
            <w:pPr>
              <w:pStyle w:val="32"/>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本项目施工结束后如发现该井不具有开发价值或目的层不含油，则进行封井，</w:t>
            </w:r>
            <w:r>
              <w:rPr>
                <w:rFonts w:hint="eastAsia" w:ascii="Times New Roman" w:hAnsi="Times New Roman" w:cs="Times New Roman"/>
                <w:bCs/>
                <w:color w:val="000000" w:themeColor="text1"/>
                <w:sz w:val="24"/>
                <w:szCs w:val="24"/>
                <w:lang w:val="en-US" w:eastAsia="zh-CN"/>
                <w14:textFill>
                  <w14:solidFill>
                    <w14:schemeClr w14:val="tx1"/>
                  </w14:solidFill>
                </w14:textFill>
              </w:rPr>
              <w:t>植被自然恢复</w:t>
            </w:r>
            <w:r>
              <w:rPr>
                <w:rFonts w:hint="default" w:ascii="Times New Roman" w:hAnsi="Times New Roman" w:cs="Times New Roman"/>
                <w:bCs/>
                <w:color w:val="000000" w:themeColor="text1"/>
                <w:sz w:val="24"/>
                <w:szCs w:val="24"/>
                <w14:textFill>
                  <w14:solidFill>
                    <w14:schemeClr w14:val="tx1"/>
                  </w14:solidFill>
                </w14:textFill>
              </w:rPr>
              <w:t>。占地范围内植被覆盖度较低，且随着施工期的结束，被开挖部分将覆土回填，可以减少临时占地对植被的破坏程度。本次环评要求在井场、入场道路等临时占地选址过程中，应尽量选择动土作业量小的地段，场地平整所产生的土方随地势进行处置，尽可能填入低洼地带。施工结束后即对占地进行植被恢复；运输车辆沿道路行驶，禁止乱压乱碾，只要加强施工管理，项目实施不会对项目区的生态环境造成太大影响。</w:t>
            </w:r>
          </w:p>
          <w:p w14:paraId="7901ECF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5</w:t>
            </w:r>
            <w:r>
              <w:rPr>
                <w:rFonts w:ascii="Times New Roman" w:hAnsi="Times New Roman"/>
                <w:color w:val="000000" w:themeColor="text1"/>
                <w:sz w:val="24"/>
                <w:szCs w:val="24"/>
                <w14:textFill>
                  <w14:solidFill>
                    <w14:schemeClr w14:val="tx1"/>
                  </w14:solidFill>
                </w14:textFill>
              </w:rPr>
              <w:t>）突发性事故对植被的影响</w:t>
            </w:r>
          </w:p>
          <w:p w14:paraId="59EDEC52">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项目施工过程中对生态环境造成严重破坏的主要事故类型为原油和含油污水泄漏，其产生的污染物排放均会对评价范围内的植被造成不同程度的影响，影响程度与发生事故时泄漏的油量及是否发生火灾有很大关系。植被体上附着的原油越多，植物死亡率就越高，而且草本植被比乔、灌木更敏感，更易受到致命的影响。如果发生火灾，则植被的地上部分会完全被毁，但如果土壤环境未被破坏，第二年植被将会重新生长。</w:t>
            </w:r>
          </w:p>
          <w:p w14:paraId="178FDF08">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交通事故通常发生在道路两旁，发生的概率及影响范围均极小，仅对路边很小范围的植被产生严重污染。相对于整个开发区域而言，事故均发生于一个较小的范围内，且可通过对原油的及时清理而减轻其影响，不会对整个区域植被产生明显不利影响。</w:t>
            </w:r>
          </w:p>
          <w:p w14:paraId="056BF633">
            <w:pPr>
              <w:pStyle w:val="3"/>
              <w:ind w:firstLine="0" w:firstLineChars="0"/>
              <w:rPr>
                <w:color w:val="000000" w:themeColor="text1"/>
                <w:szCs w:val="24"/>
                <w14:textFill>
                  <w14:solidFill>
                    <w14:schemeClr w14:val="tx1"/>
                  </w14:solidFill>
                </w14:textFill>
              </w:rPr>
            </w:pPr>
            <w:r>
              <w:rPr>
                <w:color w:val="000000" w:themeColor="text1"/>
                <w:szCs w:val="24"/>
                <w14:textFill>
                  <w14:solidFill>
                    <w14:schemeClr w14:val="tx1"/>
                  </w14:solidFill>
                </w14:textFill>
              </w:rPr>
              <w:t>1.3 对野生动物影响分析</w:t>
            </w:r>
          </w:p>
          <w:p w14:paraId="19D0B029">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施工对野生动物的生存环境、分布范围和种群数量的影响主要分为直接影响和间接影响两个方面。直接影响主要表现为建设项目的占地，使野生动物的原始生存环境被破坏或改变；间接影响主要表现为由于植被的减少或污染破坏而引起野生动物食物来源的减少。</w:t>
            </w:r>
          </w:p>
          <w:p w14:paraId="7602E01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（1）施工期对野生动物的影响</w:t>
            </w:r>
          </w:p>
          <w:p w14:paraId="675CED2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井场建设、钻井过程中，由于机械设备的轰鸣惊扰，人群活动的增加，鸟类和哺乳类动物将远离施工现场，使区域内单位面积上的动物种群数量下降，但此类影响对爬行类和小型啮齿类动物的干扰不大。一些伴人型鸟类如麻雀、乌鸦等，一般在离作业区30m以外活动，待无噪声干扰时较常见于人类生活区附近。因此，随着钻井、试油各个过程的变化，该区域内野生动物的种类和数量将发生一定的变化，原有荒漠型鸟类和哺乳类将逐渐避开人类活动的干扰迁至其他区域，而常见的伴人型野生动物种类有所增加。施工完成后，施工人员撤离作业区域，区域内的人为活动逐步减少，野生动物将逐步回归原有生境。</w:t>
            </w:r>
          </w:p>
          <w:p w14:paraId="730421E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（2）事故对野生动物的影响</w:t>
            </w:r>
          </w:p>
          <w:p w14:paraId="00948D9C">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发生事故时常常导致原油及天然气的泄出和渗漏，从而可能影响工程区域内的野生脊椎动物的生存环境。事故类型的不同，对野生动物的影响范围和程度也有所不同。当发生井喷事故时，井场周围200m~500m范围以内的各种小型脊椎动物会因躲避不及造成死亡，局部区域可能影响到的只是一些啮齿类动物、爬行动物和小型鸟类，对大中型动物，特别是对保护动物不会造成影响。如果发生火灾事故，由于生态环境及空气环境的变化，短时间内会使事故周围动物的分布数量下降。</w:t>
            </w:r>
          </w:p>
          <w:p w14:paraId="5E09374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（3）对野生动物生境的影响</w:t>
            </w:r>
          </w:p>
          <w:p w14:paraId="229A223E">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区域内各种野生动物经过长期的适应已形成较稳定的取食、饮水、栖息活动范围和分布，施工占地将使原有野生动物的分布、栖息活动范围受到压缩。人为活动的干扰使得区域上空活动的鸟类相对于未干扰时有所减少，而使得局部地段二、三级营养结构中的爬行类（啮齿类）和昆虫类数量有所增加或活动频度增大。这些占地影响对地面活动的野生动物种类产生隔离作用，使原分布区内的种类向外扩散，而钻井作业结束后，随着人类活动和占地的减少，原有生境将逐步恢复，野生动物对新环境适应后其活动和分布范围亦将恢复。</w:t>
            </w:r>
          </w:p>
          <w:p w14:paraId="0E20711B">
            <w:pPr>
              <w:pStyle w:val="3"/>
              <w:ind w:firstLine="0" w:firstLineChars="0"/>
              <w:rPr>
                <w:color w:val="000000" w:themeColor="text1"/>
                <w:szCs w:val="24"/>
                <w14:textFill>
                  <w14:solidFill>
                    <w14:schemeClr w14:val="tx1"/>
                  </w14:solidFill>
                </w14:textFill>
              </w:rPr>
            </w:pPr>
            <w:bookmarkStart w:id="23" w:name="_Hlk48510044"/>
            <w:bookmarkEnd w:id="23"/>
            <w:r>
              <w:rPr>
                <w:color w:val="000000" w:themeColor="text1"/>
                <w:szCs w:val="24"/>
                <w14:textFill>
                  <w14:solidFill>
                    <w14:schemeClr w14:val="tx1"/>
                  </w14:solidFill>
                </w14:textFill>
              </w:rPr>
              <w:t>1.4 对土壤的影响分析</w:t>
            </w:r>
          </w:p>
          <w:p w14:paraId="0D9FBE5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本项目属于“矿产资源地质勘查（含勘探活动和油气资源勘探）”，根据《环境影响评价技术导则土壤环境（试行）》（HJ 964-2018）附录A，本项目为Ⅳ类项目，可不开展土壤环境影响评价，本次环评仅作简单分析。</w:t>
            </w:r>
          </w:p>
          <w:p w14:paraId="4456363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（1）工程占地影响分析</w:t>
            </w:r>
          </w:p>
          <w:p w14:paraId="3A6BE787">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本项目占地主要为井场、施工营地及临时道路</w:t>
            </w:r>
            <w:r>
              <w:rPr>
                <w:rFonts w:hint="eastAsia" w:ascii="Times New Roman" w:hAnsi="Times New Roman"/>
                <w:color w:val="000000" w:themeColor="text1"/>
                <w:sz w:val="24"/>
                <w:szCs w:val="24"/>
                <w14:textFill>
                  <w14:solidFill>
                    <w14:schemeClr w14:val="tx1"/>
                  </w14:solidFill>
                </w14:textFill>
              </w:rPr>
              <w:t>等</w:t>
            </w:r>
            <w:r>
              <w:rPr>
                <w:rFonts w:ascii="Times New Roman" w:hAnsi="Times New Roman"/>
                <w:color w:val="000000" w:themeColor="text1"/>
                <w:sz w:val="24"/>
                <w:szCs w:val="24"/>
                <w14:textFill>
                  <w14:solidFill>
                    <w14:schemeClr w14:val="tx1"/>
                  </w14:solidFill>
                </w14:textFill>
              </w:rPr>
              <w:t>，施工期扰动总面积达</w:t>
            </w:r>
            <w:r>
              <w:rPr>
                <w:rFonts w:hint="eastAsia" w:ascii="Times New Roman" w:hAnsi="Times New Roman"/>
                <w:color w:val="000000" w:themeColor="text1"/>
                <w:sz w:val="24"/>
                <w:szCs w:val="24"/>
                <w14:textFill>
                  <w14:solidFill>
                    <w14:schemeClr w14:val="tx1"/>
                  </w14:solidFill>
                </w14:textFill>
              </w:rPr>
              <w:t>29072</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，均为临时占地。最主要的危害是破坏了地表结构，增加了土壤风蚀量和沙漠化的可能性。</w:t>
            </w:r>
          </w:p>
          <w:p w14:paraId="589DFB4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在进行井场施工时，将对作业范围内的土壤表层进行干扰和破坏，土壤表层结构（包括紧实度）、肥力将受到影响，土壤易受到侵蚀。</w:t>
            </w:r>
          </w:p>
          <w:p w14:paraId="3FBEFAA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当施工结束后，人为活动的范围缩小，将使受到破坏的地表逐渐得到恢复，风蚀和荒漠化影响将随着天然植被的恢复逐渐得到控制。</w:t>
            </w:r>
          </w:p>
          <w:p w14:paraId="1CA313FE">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（2）固体废物对土壤环境的影响</w:t>
            </w:r>
          </w:p>
          <w:p w14:paraId="3742AEA5">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在钻井过程中会产生钻井岩屑，本项目采用泥浆不落地技术，可以有效减缓钻井岩屑对土壤的影响范围和程度。</w:t>
            </w:r>
          </w:p>
          <w:p w14:paraId="1432D2B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（3）事故状态下对土壤环境的影响</w:t>
            </w:r>
          </w:p>
          <w:p w14:paraId="7CC9DFE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井喷是油田开发过程中的意外事故，钻井和井下作业中均可能发生井喷。一次井喷可抛洒大量的天然气和原油，其中的轻组分挥发，而重组分油对土壤有一定的影响。井喷会造成大量原油覆盖在土壤表层，使土壤表层的土壤透气性下降，理化性状发生变化，对影响范围内的土壤表层造成严重的污染。</w:t>
            </w:r>
          </w:p>
          <w:p w14:paraId="67A0DBE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井喷持续时间越长，对土壤造成的污染越严重。但根据已有的相关资料，井喷事故主要影响事故区域内的表层土壤。</w:t>
            </w:r>
          </w:p>
          <w:p w14:paraId="2120B4A3">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1.5 对</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的影响分析</w:t>
            </w:r>
          </w:p>
          <w:p w14:paraId="7EBE9FE3">
            <w:pPr>
              <w:widowControl/>
              <w:ind w:firstLine="480"/>
              <w:jc w:val="left"/>
              <w:rPr>
                <w:color w:val="000000" w:themeColor="text1"/>
                <w:kern w:val="0"/>
                <w:lang w:bidi="ar"/>
                <w14:textFill>
                  <w14:solidFill>
                    <w14:schemeClr w14:val="tx1"/>
                  </w14:solidFill>
                </w14:textFill>
              </w:rPr>
            </w:pPr>
            <w:r>
              <w:rPr>
                <w:color w:val="000000" w:themeColor="text1"/>
                <w:kern w:val="0"/>
                <w:lang w:bidi="ar"/>
                <w14:textFill>
                  <w14:solidFill>
                    <w14:schemeClr w14:val="tx1"/>
                  </w14:solidFill>
                </w14:textFill>
              </w:rPr>
              <w:t>井场、生活营地、道路等占地范围内的</w:t>
            </w:r>
            <w:r>
              <w:rPr>
                <w:rFonts w:hint="eastAsia"/>
                <w:color w:val="000000" w:themeColor="text1"/>
                <w:kern w:val="0"/>
                <w:lang w:bidi="ar"/>
                <w14:textFill>
                  <w14:solidFill>
                    <w14:schemeClr w14:val="tx1"/>
                  </w14:solidFill>
                </w14:textFill>
              </w:rPr>
              <w:t>草地</w:t>
            </w:r>
            <w:r>
              <w:rPr>
                <w:color w:val="000000" w:themeColor="text1"/>
                <w:kern w:val="0"/>
                <w:lang w:bidi="ar"/>
                <w14:textFill>
                  <w14:solidFill>
                    <w14:schemeClr w14:val="tx1"/>
                  </w14:solidFill>
                </w14:textFill>
              </w:rPr>
              <w:t>征用应按照地方征地补偿标准进行，本项目</w:t>
            </w:r>
            <w:r>
              <w:rPr>
                <w:rFonts w:hint="eastAsia"/>
                <w:color w:val="000000" w:themeColor="text1"/>
                <w:kern w:val="0"/>
                <w:lang w:bidi="ar"/>
                <w14:textFill>
                  <w14:solidFill>
                    <w14:schemeClr w14:val="tx1"/>
                  </w14:solidFill>
                </w14:textFill>
              </w:rPr>
              <w:t>正在</w:t>
            </w:r>
            <w:r>
              <w:rPr>
                <w:color w:val="000000" w:themeColor="text1"/>
                <w:kern w:val="0"/>
                <w:lang w:bidi="ar"/>
                <w14:textFill>
                  <w14:solidFill>
                    <w14:schemeClr w14:val="tx1"/>
                  </w14:solidFill>
                </w14:textFill>
              </w:rPr>
              <w:t>办理征地手续。施工作业时尽量避开</w:t>
            </w:r>
            <w:r>
              <w:rPr>
                <w:rFonts w:hint="eastAsia"/>
                <w:color w:val="000000" w:themeColor="text1"/>
                <w:kern w:val="0"/>
                <w:lang w:bidi="ar"/>
                <w14:textFill>
                  <w14:solidFill>
                    <w14:schemeClr w14:val="tx1"/>
                  </w14:solidFill>
                </w14:textFill>
              </w:rPr>
              <w:t>草地</w:t>
            </w:r>
            <w:r>
              <w:rPr>
                <w:color w:val="000000" w:themeColor="text1"/>
                <w:kern w:val="0"/>
                <w:lang w:bidi="ar"/>
                <w14:textFill>
                  <w14:solidFill>
                    <w14:schemeClr w14:val="tx1"/>
                  </w14:solidFill>
                </w14:textFill>
              </w:rPr>
              <w:t>茂密区域，最大程度地保护沿线的</w:t>
            </w:r>
            <w:r>
              <w:rPr>
                <w:rFonts w:hint="eastAsia"/>
                <w:color w:val="000000" w:themeColor="text1"/>
                <w:kern w:val="0"/>
                <w:lang w:bidi="ar"/>
                <w14:textFill>
                  <w14:solidFill>
                    <w14:schemeClr w14:val="tx1"/>
                  </w14:solidFill>
                </w14:textFill>
              </w:rPr>
              <w:t>草地</w:t>
            </w:r>
            <w:r>
              <w:rPr>
                <w:color w:val="000000" w:themeColor="text1"/>
                <w:kern w:val="0"/>
                <w:lang w:bidi="ar"/>
                <w14:textFill>
                  <w14:solidFill>
                    <w14:schemeClr w14:val="tx1"/>
                  </w14:solidFill>
                </w14:textFill>
              </w:rPr>
              <w:t>生态环境，建设单位须取得当地林草主管部门许可后方可开工，在规范施工以及严格按照林草部门的要求对占用</w:t>
            </w:r>
            <w:r>
              <w:rPr>
                <w:rFonts w:hint="eastAsia"/>
                <w:color w:val="000000" w:themeColor="text1"/>
                <w:kern w:val="0"/>
                <w:lang w:bidi="ar"/>
                <w14:textFill>
                  <w14:solidFill>
                    <w14:schemeClr w14:val="tx1"/>
                  </w14:solidFill>
                </w14:textFill>
              </w:rPr>
              <w:t>草地</w:t>
            </w:r>
            <w:r>
              <w:rPr>
                <w:color w:val="000000" w:themeColor="text1"/>
                <w:kern w:val="0"/>
                <w:lang w:bidi="ar"/>
                <w14:textFill>
                  <w14:solidFill>
                    <w14:schemeClr w14:val="tx1"/>
                  </w14:solidFill>
                </w14:textFill>
              </w:rPr>
              <w:t>采取相应补偿措施后，本项目的建设对区域</w:t>
            </w:r>
            <w:r>
              <w:rPr>
                <w:rFonts w:hint="eastAsia"/>
                <w:color w:val="000000" w:themeColor="text1"/>
                <w:kern w:val="0"/>
                <w:lang w:bidi="ar"/>
                <w14:textFill>
                  <w14:solidFill>
                    <w14:schemeClr w14:val="tx1"/>
                  </w14:solidFill>
                </w14:textFill>
              </w:rPr>
              <w:t>草地</w:t>
            </w:r>
            <w:r>
              <w:rPr>
                <w:color w:val="000000" w:themeColor="text1"/>
                <w:kern w:val="0"/>
                <w:lang w:bidi="ar"/>
                <w14:textFill>
                  <w14:solidFill>
                    <w14:schemeClr w14:val="tx1"/>
                  </w14:solidFill>
                </w14:textFill>
              </w:rPr>
              <w:t>的影响在可接受范围内。</w:t>
            </w:r>
          </w:p>
          <w:p w14:paraId="7208BD06">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 xml:space="preserve"> 土地沙化影响分析</w:t>
            </w:r>
          </w:p>
          <w:p w14:paraId="54488F3B">
            <w:pPr>
              <w:ind w:firstLine="480"/>
              <w:rPr>
                <w:color w:val="000000" w:themeColor="text1"/>
                <w14:textFill>
                  <w14:solidFill>
                    <w14:schemeClr w14:val="tx1"/>
                  </w14:solidFill>
                </w14:textFill>
              </w:rPr>
            </w:pPr>
            <w:r>
              <w:rPr>
                <w:color w:val="000000" w:themeColor="text1"/>
                <w14:textFill>
                  <w14:solidFill>
                    <w14:schemeClr w14:val="tx1"/>
                  </w14:solidFill>
                </w14:textFill>
              </w:rPr>
              <w:t>项目区钻井工程实施中，会使施工带范围内的土体结构遭到破坏，其范围内的植被也会受到严重破坏甚至被彻底清除，导致风沙作用加剧，主要表现为：</w:t>
            </w:r>
          </w:p>
          <w:p w14:paraId="7EABB49A">
            <w:pPr>
              <w:ind w:firstLine="480"/>
              <w:rPr>
                <w:color w:val="000000" w:themeColor="text1"/>
                <w14:textFill>
                  <w14:solidFill>
                    <w14:schemeClr w14:val="tx1"/>
                  </w14:solidFill>
                </w14:textFill>
              </w:rPr>
            </w:pPr>
            <w:r>
              <w:rPr>
                <w:color w:val="000000" w:themeColor="text1"/>
                <w14:textFill>
                  <w14:solidFill>
                    <w14:schemeClr w14:val="tx1"/>
                  </w14:solidFill>
                </w14:textFill>
              </w:rPr>
              <w:t>（1）土壤粗粒化</w:t>
            </w:r>
          </w:p>
          <w:p w14:paraId="1C3C86E9">
            <w:pPr>
              <w:ind w:firstLine="480"/>
              <w:rPr>
                <w:color w:val="000000" w:themeColor="text1"/>
                <w14:textFill>
                  <w14:solidFill>
                    <w14:schemeClr w14:val="tx1"/>
                  </w14:solidFill>
                </w14:textFill>
              </w:rPr>
            </w:pPr>
            <w:r>
              <w:rPr>
                <w:color w:val="000000" w:themeColor="text1"/>
                <w14:textFill>
                  <w14:solidFill>
                    <w14:schemeClr w14:val="tx1"/>
                  </w14:solidFill>
                </w14:textFill>
              </w:rPr>
              <w:t>在土壤沙化过程中，当风力作用地表产生风蚀时，便产生风蚀作用，细粒物质被带走，粗粒物质大部分原地保留下来，从而使土壤颗粒变粗，将未沙化的原始土壤和“就地起沙”形成的风沙土颗粒粒级加以比较，沙化后的风沙土较之原始土壤粗砂和细砂粒显著增加，而粉砂和粘粒粒级减少。</w:t>
            </w:r>
          </w:p>
          <w:p w14:paraId="59106200">
            <w:pPr>
              <w:ind w:firstLine="480"/>
              <w:rPr>
                <w:color w:val="000000" w:themeColor="text1"/>
                <w14:textFill>
                  <w14:solidFill>
                    <w14:schemeClr w14:val="tx1"/>
                  </w14:solidFill>
                </w14:textFill>
              </w:rPr>
            </w:pPr>
            <w:r>
              <w:rPr>
                <w:color w:val="000000" w:themeColor="text1"/>
                <w14:textFill>
                  <w14:solidFill>
                    <w14:schemeClr w14:val="tx1"/>
                  </w14:solidFill>
                </w14:textFill>
              </w:rPr>
              <w:t>（2）土壤贫瘠及含盐量变化</w:t>
            </w:r>
          </w:p>
          <w:p w14:paraId="648C6D2B">
            <w:pPr>
              <w:ind w:firstLine="480"/>
              <w:rPr>
                <w:color w:val="000000" w:themeColor="text1"/>
                <w14:textFill>
                  <w14:solidFill>
                    <w14:schemeClr w14:val="tx1"/>
                  </w14:solidFill>
                </w14:textFill>
              </w:rPr>
            </w:pPr>
            <w:r>
              <w:rPr>
                <w:color w:val="000000" w:themeColor="text1"/>
                <w14:textFill>
                  <w14:solidFill>
                    <w14:schemeClr w14:val="tx1"/>
                  </w14:solidFill>
                </w14:textFill>
              </w:rPr>
              <w:t>沙化引起土壤贫瘠化的原因，一是积累土壤有机质的表层被风吹蚀；二是在风沙化发展过程中，土壤干旱并在高温影响下，有机物质矿化加强，使原来积累的有机物大量分解；三是土壤粗粒化结果。从未沙化原始土壤与沙化地段土壤肥力对比看，土壤有机质和全氮含量随沙漠化增加有所降低，特别是土壤有机质随沙化强度的变化十分明显。磷素和钾素随沙化程度增加，含量无明显差异。土壤中的易溶性盐分是随土壤水分发生移动的，并随着土壤水分蒸发而在地表聚积。由于沙土毛管上升高度低，因此，通过毛管上升水流到达地表而产生的积盐很微弱，另外在土壤受到风蚀沙化时，表土层的盐分有的被吹蚀，有的和含盐轻的底土层发生混合，因而也降低了风沙土壤的盐分含量，据邻近油田的调查结果表明，随沙化增强，盐分含量降低。</w:t>
            </w:r>
          </w:p>
          <w:p w14:paraId="7A44FC49">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（3）对区域沙化土地的影响分析</w:t>
            </w:r>
          </w:p>
          <w:p w14:paraId="438F6B6A">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本项目位于古尔班通古特沙漠的南部，施工期临时占地将会破坏项目占地范围内的土壤表层稳定砾幕和地表荒漠植被，项目所在区域具有多风、降水量偏低等气候特征，地表稳定结皮被破坏后，在大风天气条件下，项目施工会使占地范围内的土地就地起沙，局部形成沙化土地。</w:t>
            </w:r>
          </w:p>
          <w:p w14:paraId="701894C0">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但是由于项目占地范围较小，施工结束后对临时占地范围内场地进行平整和清理，尽量利用井场施工时产生的表层弃土对临时占地进行覆盖，采用自然恢复的方式对区域植被进行恢复。综上所述，本项目对项目所在区域土地沙化影响不大。</w:t>
            </w:r>
          </w:p>
          <w:p w14:paraId="7A0F8262">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1.7 水土流失影响分析</w:t>
            </w:r>
          </w:p>
          <w:p w14:paraId="4009D486">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油田工程建设对当地水土流失影响的方式包括扰动、损坏、开挖、破坏原地貌、地表土壤结构及植被。工程施工及占地呈面状、线状分布，施工期间，井场占地、临时道路、机械作业人员活动等都会加剧水土流失。油田开发过程中加剧水土流失的不良影响主要表现在以下几个方面：</w:t>
            </w:r>
          </w:p>
          <w:p w14:paraId="542AFA4F">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（1）施工车辆对地表的大面积碾压，使所经过地段的植被和地表结构遭到不同程度的破坏，使荒漠化的过程加剧。</w:t>
            </w:r>
          </w:p>
          <w:p w14:paraId="0FD19C8B">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2）在井场开钻及临时设施搭建中，最直接而且易引起水土流失的是施工过程中使影响范围内的地表保护层变得松散，增加风蚀量。对于本项目油田的开发建设来讲，地面构筑物建设的内容主要包括井场、道路的敷设及配套工程等。临时占地范围内的土壤地表表层遭到破坏，下层的粉细物质暴露在地层表面，在风力的作用下，风蚀量会明显加大，这种影响在短时间内不会完全恢复。但随着时间的推移，风蚀量会随着地表新保护层的逐渐形成而减弱。</w:t>
            </w:r>
          </w:p>
          <w:p w14:paraId="776F2CED">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3）油田道路建设可能引起水土流失的因素较多，如破坏地表结构、砍伐植被、挖取土方等。带来的环境问题是使具有稳定结皮的地表结构被破坏，使其失去原有稳定性，引发流沙的重新分布。如遇起沙风，地表在没有保护的状态下极易被吹蚀，从而引起水土流失。道路施工期间的水土流失影响主要在于动土引起的风沙影响，风沙影响的范围主要集中于油田区域内。施工期结束后，路面风沙影响即告结束，但此时路边作业带的影响还将持续几年，呈逐渐衰减趋势。施工期内，管沟边堆起一道临时土垄，在大风状态下易发生风力侵蚀，即使在堆土回填后风蚀量会有所减少，但地表仍为疏松地带，需要一个较长的恢复阶段。</w:t>
            </w:r>
          </w:p>
          <w:p w14:paraId="7F1B7548">
            <w:pPr>
              <w:pStyle w:val="41"/>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本项目区域不属于水土流失，</w:t>
            </w:r>
            <w:r>
              <w:rPr>
                <w:color w:val="000000" w:themeColor="text1"/>
                <w:szCs w:val="24"/>
                <w14:textFill>
                  <w14:solidFill>
                    <w14:schemeClr w14:val="tx1"/>
                  </w14:solidFill>
                </w14:textFill>
              </w:rPr>
              <w:t>经查阅资料，</w:t>
            </w:r>
            <w:r>
              <w:rPr>
                <w:rFonts w:hint="eastAsia"/>
                <w:color w:val="000000" w:themeColor="text1"/>
                <w14:textFill>
                  <w14:solidFill>
                    <w14:schemeClr w14:val="tx1"/>
                  </w14:solidFill>
                </w14:textFill>
              </w:rPr>
              <w:t>昌吉回族自治州水土流失面积45596.02km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，侵蚀类型主要有水力侵蚀、风力侵蚀。其中风力侵蚀面积为41499.24km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，占水土流失面积的91.02%；水力侵蚀面积为4096.78km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，占水土流失面积的8.98%。</w:t>
            </w:r>
            <w:r>
              <w:rPr>
                <w:color w:val="000000" w:themeColor="text1"/>
                <w:szCs w:val="24"/>
                <w14:textFill>
                  <w14:solidFill>
                    <w14:schemeClr w14:val="tx1"/>
                  </w14:solidFill>
                </w14:textFill>
              </w:rPr>
              <w:t>随着细土物质不断被吹蚀，以后每年可吹物质减少，风蚀量将逐年降低，直到地表重新形成新的保护层后才能消失。</w:t>
            </w:r>
          </w:p>
          <w:p w14:paraId="5B6F4EA7">
            <w:pPr>
              <w:ind w:firstLine="480"/>
              <w:rPr>
                <w:color w:val="000000" w:themeColor="text1"/>
                <w14:textFill>
                  <w14:solidFill>
                    <w14:schemeClr w14:val="tx1"/>
                  </w14:solidFill>
                </w14:textFill>
              </w:rPr>
            </w:pPr>
            <w:r>
              <w:rPr>
                <w:color w:val="000000" w:themeColor="text1"/>
                <w14:textFill>
                  <w14:solidFill>
                    <w14:schemeClr w14:val="tx1"/>
                  </w14:solidFill>
                </w14:textFill>
              </w:rPr>
              <w:t>建设单位在采取一系列的水土保持措施后，对防止荒漠化促进生态环境的恢复起到了良好的作用，可将水土流失的程度降低到最低限度。</w:t>
            </w:r>
          </w:p>
          <w:p w14:paraId="5829547A">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施工期废气影响分析</w:t>
            </w:r>
          </w:p>
          <w:p w14:paraId="449AB72B">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本项目施工期废气主要来源于钻井期的柴油机组燃烧废气、施工扬尘、机械排放废气和运输车辆尾气，试油期的柴油机组燃烧废气、伴生气燃烧废气、临时储罐废气和采出液装卸废气。</w:t>
            </w:r>
          </w:p>
          <w:p w14:paraId="7E71C735">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（1）柴油机组燃烧废气</w:t>
            </w:r>
          </w:p>
          <w:p w14:paraId="6DF42D3E">
            <w:pPr>
              <w:pStyle w:val="32"/>
              <w:rPr>
                <w:rFonts w:ascii="Times New Roman" w:hAnsi="Times New Roman"/>
                <w:color w:val="000000" w:themeColor="text1"/>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本项目钻井期及试油期柴油耗量见表4-3。</w:t>
            </w:r>
          </w:p>
          <w:p w14:paraId="4B78A06E">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表4-3  钻井期和油气测试期消耗柴油量</w:t>
            </w:r>
          </w:p>
          <w:tbl>
            <w:tblPr>
              <w:tblStyle w:val="16"/>
              <w:tblW w:w="8187" w:type="dxa"/>
              <w:tblInd w:w="0" w:type="dxa"/>
              <w:tblLayout w:type="autofit"/>
              <w:tblCellMar>
                <w:top w:w="0" w:type="dxa"/>
                <w:left w:w="108" w:type="dxa"/>
                <w:bottom w:w="0" w:type="dxa"/>
                <w:right w:w="108" w:type="dxa"/>
              </w:tblCellMar>
            </w:tblPr>
            <w:tblGrid>
              <w:gridCol w:w="1549"/>
              <w:gridCol w:w="2249"/>
              <w:gridCol w:w="2042"/>
              <w:gridCol w:w="2347"/>
            </w:tblGrid>
            <w:tr w14:paraId="48512B56">
              <w:tblPrEx>
                <w:tblCellMar>
                  <w:top w:w="0" w:type="dxa"/>
                  <w:left w:w="108" w:type="dxa"/>
                  <w:bottom w:w="0" w:type="dxa"/>
                  <w:right w:w="108" w:type="dxa"/>
                </w:tblCellMar>
              </w:tblPrEx>
              <w:trPr>
                <w:trHeight w:val="155" w:hRule="atLeast"/>
              </w:trPr>
              <w:tc>
                <w:tcPr>
                  <w:tcW w:w="946" w:type="pct"/>
                  <w:tcBorders>
                    <w:top w:val="single" w:color="auto" w:sz="4" w:space="0"/>
                    <w:left w:val="single" w:color="auto" w:sz="4" w:space="0"/>
                    <w:bottom w:val="single" w:color="auto" w:sz="4" w:space="0"/>
                    <w:right w:val="single" w:color="auto" w:sz="4" w:space="0"/>
                  </w:tcBorders>
                  <w:noWrap/>
                  <w:vAlign w:val="center"/>
                </w:tcPr>
                <w:p w14:paraId="6DAF6E0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阶段</w:t>
                  </w:r>
                </w:p>
              </w:tc>
              <w:tc>
                <w:tcPr>
                  <w:tcW w:w="1373" w:type="pct"/>
                  <w:tcBorders>
                    <w:top w:val="single" w:color="auto" w:sz="4" w:space="0"/>
                    <w:left w:val="single" w:color="auto" w:sz="4" w:space="0"/>
                    <w:bottom w:val="single" w:color="auto" w:sz="4" w:space="0"/>
                    <w:right w:val="single" w:color="auto" w:sz="4" w:space="0"/>
                  </w:tcBorders>
                  <w:noWrap/>
                  <w:vAlign w:val="center"/>
                </w:tcPr>
                <w:p w14:paraId="7E1C189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周期（d）</w:t>
                  </w:r>
                </w:p>
              </w:tc>
              <w:tc>
                <w:tcPr>
                  <w:tcW w:w="1247" w:type="pct"/>
                  <w:tcBorders>
                    <w:top w:val="single" w:color="auto" w:sz="4" w:space="0"/>
                    <w:left w:val="single" w:color="auto" w:sz="4" w:space="0"/>
                    <w:bottom w:val="single" w:color="auto" w:sz="4" w:space="0"/>
                    <w:right w:val="single" w:color="auto" w:sz="4" w:space="0"/>
                  </w:tcBorders>
                  <w:noWrap/>
                  <w:vAlign w:val="center"/>
                </w:tcPr>
                <w:p w14:paraId="16E85F5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柴油用量（t/d）</w:t>
                  </w:r>
                </w:p>
              </w:tc>
              <w:tc>
                <w:tcPr>
                  <w:tcW w:w="1433" w:type="pct"/>
                  <w:tcBorders>
                    <w:top w:val="single" w:color="000000" w:sz="4" w:space="0"/>
                    <w:left w:val="single" w:color="auto" w:sz="4" w:space="0"/>
                    <w:right w:val="single" w:color="auto" w:sz="4" w:space="0"/>
                  </w:tcBorders>
                  <w:noWrap/>
                  <w:vAlign w:val="center"/>
                </w:tcPr>
                <w:p w14:paraId="6B9EDB5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柴油消耗总量（t）</w:t>
                  </w:r>
                </w:p>
              </w:tc>
            </w:tr>
            <w:tr w14:paraId="63031CD9">
              <w:tblPrEx>
                <w:tblCellMar>
                  <w:top w:w="0" w:type="dxa"/>
                  <w:left w:w="108" w:type="dxa"/>
                  <w:bottom w:w="0" w:type="dxa"/>
                  <w:right w:w="108" w:type="dxa"/>
                </w:tblCellMar>
              </w:tblPrEx>
              <w:trPr>
                <w:trHeight w:val="300" w:hRule="atLeast"/>
              </w:trPr>
              <w:tc>
                <w:tcPr>
                  <w:tcW w:w="946" w:type="pct"/>
                  <w:tcBorders>
                    <w:top w:val="single" w:color="auto" w:sz="4" w:space="0"/>
                    <w:left w:val="single" w:color="auto" w:sz="4" w:space="0"/>
                    <w:bottom w:val="single" w:color="auto" w:sz="4" w:space="0"/>
                    <w:right w:val="single" w:color="auto" w:sz="4" w:space="0"/>
                  </w:tcBorders>
                  <w:noWrap/>
                  <w:vAlign w:val="center"/>
                </w:tcPr>
                <w:p w14:paraId="6CF86BF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钻井期</w:t>
                  </w:r>
                </w:p>
              </w:tc>
              <w:tc>
                <w:tcPr>
                  <w:tcW w:w="1373" w:type="pct"/>
                  <w:tcBorders>
                    <w:top w:val="single" w:color="auto" w:sz="4" w:space="0"/>
                    <w:left w:val="single" w:color="auto" w:sz="4" w:space="0"/>
                    <w:bottom w:val="single" w:color="auto" w:sz="4" w:space="0"/>
                    <w:right w:val="single" w:color="auto" w:sz="4" w:space="0"/>
                  </w:tcBorders>
                  <w:noWrap/>
                  <w:vAlign w:val="center"/>
                </w:tcPr>
                <w:p w14:paraId="1152C7E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196</w:t>
                  </w:r>
                </w:p>
              </w:tc>
              <w:tc>
                <w:tcPr>
                  <w:tcW w:w="1247" w:type="pct"/>
                  <w:tcBorders>
                    <w:top w:val="single" w:color="auto" w:sz="4" w:space="0"/>
                    <w:left w:val="single" w:color="auto" w:sz="4" w:space="0"/>
                    <w:bottom w:val="single" w:color="auto" w:sz="4" w:space="0"/>
                    <w:right w:val="single" w:color="auto" w:sz="4" w:space="0"/>
                  </w:tcBorders>
                  <w:noWrap/>
                  <w:vAlign w:val="center"/>
                </w:tcPr>
                <w:p w14:paraId="2FCB0B5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c>
                <w:tcPr>
                  <w:tcW w:w="1433" w:type="pct"/>
                  <w:tcBorders>
                    <w:top w:val="single" w:color="000000" w:sz="4" w:space="0"/>
                    <w:left w:val="single" w:color="auto" w:sz="4" w:space="0"/>
                    <w:bottom w:val="single" w:color="000000" w:sz="4" w:space="0"/>
                    <w:right w:val="single" w:color="auto" w:sz="4" w:space="0"/>
                  </w:tcBorders>
                  <w:noWrap/>
                  <w:vAlign w:val="center"/>
                </w:tcPr>
                <w:p w14:paraId="1B7E9AB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294</w:t>
                  </w:r>
                </w:p>
              </w:tc>
            </w:tr>
            <w:tr w14:paraId="53DB7190">
              <w:tblPrEx>
                <w:tblCellMar>
                  <w:top w:w="0" w:type="dxa"/>
                  <w:left w:w="108" w:type="dxa"/>
                  <w:bottom w:w="0" w:type="dxa"/>
                  <w:right w:w="108" w:type="dxa"/>
                </w:tblCellMar>
              </w:tblPrEx>
              <w:trPr>
                <w:trHeight w:val="300" w:hRule="atLeast"/>
              </w:trPr>
              <w:tc>
                <w:tcPr>
                  <w:tcW w:w="946" w:type="pct"/>
                  <w:tcBorders>
                    <w:top w:val="single" w:color="auto" w:sz="4" w:space="0"/>
                    <w:left w:val="single" w:color="auto" w:sz="4" w:space="0"/>
                    <w:bottom w:val="single" w:color="auto" w:sz="4" w:space="0"/>
                    <w:right w:val="single" w:color="auto" w:sz="4" w:space="0"/>
                  </w:tcBorders>
                  <w:noWrap/>
                  <w:vAlign w:val="center"/>
                </w:tcPr>
                <w:p w14:paraId="0976A9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试油期</w:t>
                  </w:r>
                </w:p>
              </w:tc>
              <w:tc>
                <w:tcPr>
                  <w:tcW w:w="1373" w:type="pct"/>
                  <w:tcBorders>
                    <w:top w:val="single" w:color="auto" w:sz="4" w:space="0"/>
                    <w:left w:val="single" w:color="auto" w:sz="4" w:space="0"/>
                    <w:bottom w:val="single" w:color="auto" w:sz="4" w:space="0"/>
                    <w:right w:val="single" w:color="auto" w:sz="4" w:space="0"/>
                  </w:tcBorders>
                  <w:noWrap/>
                  <w:vAlign w:val="center"/>
                </w:tcPr>
                <w:p w14:paraId="283EE5C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720</w:t>
                  </w:r>
                </w:p>
              </w:tc>
              <w:tc>
                <w:tcPr>
                  <w:tcW w:w="1247" w:type="pct"/>
                  <w:tcBorders>
                    <w:top w:val="single" w:color="auto" w:sz="4" w:space="0"/>
                    <w:left w:val="single" w:color="auto" w:sz="4" w:space="0"/>
                    <w:bottom w:val="single" w:color="auto" w:sz="4" w:space="0"/>
                    <w:right w:val="single" w:color="auto" w:sz="4" w:space="0"/>
                  </w:tcBorders>
                  <w:noWrap/>
                  <w:vAlign w:val="center"/>
                </w:tcPr>
                <w:p w14:paraId="1001EFA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0.16</w:t>
                  </w:r>
                </w:p>
              </w:tc>
              <w:tc>
                <w:tcPr>
                  <w:tcW w:w="1433" w:type="pct"/>
                  <w:tcBorders>
                    <w:top w:val="single" w:color="000000" w:sz="4" w:space="0"/>
                    <w:left w:val="single" w:color="auto" w:sz="4" w:space="0"/>
                    <w:bottom w:val="single" w:color="000000" w:sz="4" w:space="0"/>
                    <w:right w:val="single" w:color="auto" w:sz="4" w:space="0"/>
                  </w:tcBorders>
                  <w:noWrap/>
                  <w:vAlign w:val="center"/>
                </w:tcPr>
                <w:p w14:paraId="3553331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115.2</w:t>
                  </w:r>
                </w:p>
              </w:tc>
            </w:tr>
            <w:tr w14:paraId="5741335F">
              <w:tblPrEx>
                <w:tblCellMar>
                  <w:top w:w="0" w:type="dxa"/>
                  <w:left w:w="108" w:type="dxa"/>
                  <w:bottom w:w="0" w:type="dxa"/>
                  <w:right w:w="108" w:type="dxa"/>
                </w:tblCellMar>
              </w:tblPrEx>
              <w:trPr>
                <w:trHeight w:val="153" w:hRule="atLeast"/>
              </w:trPr>
              <w:tc>
                <w:tcPr>
                  <w:tcW w:w="3566" w:type="pct"/>
                  <w:gridSpan w:val="3"/>
                  <w:tcBorders>
                    <w:top w:val="single" w:color="auto" w:sz="4" w:space="0"/>
                    <w:left w:val="single" w:color="auto" w:sz="4" w:space="0"/>
                    <w:bottom w:val="single" w:color="auto" w:sz="4" w:space="0"/>
                    <w:right w:val="single" w:color="auto" w:sz="4" w:space="0"/>
                  </w:tcBorders>
                  <w:noWrap/>
                  <w:vAlign w:val="center"/>
                </w:tcPr>
                <w:p w14:paraId="24A07F5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总计</w:t>
                  </w:r>
                </w:p>
              </w:tc>
              <w:tc>
                <w:tcPr>
                  <w:tcW w:w="1433" w:type="pct"/>
                  <w:tcBorders>
                    <w:top w:val="single" w:color="000000" w:sz="4" w:space="0"/>
                    <w:left w:val="single" w:color="auto" w:sz="4" w:space="0"/>
                    <w:bottom w:val="single" w:color="000000" w:sz="4" w:space="0"/>
                    <w:right w:val="single" w:color="auto" w:sz="4" w:space="0"/>
                  </w:tcBorders>
                  <w:noWrap/>
                  <w:vAlign w:val="center"/>
                </w:tcPr>
                <w:p w14:paraId="3C42519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409.2</w:t>
                  </w:r>
                </w:p>
              </w:tc>
            </w:tr>
          </w:tbl>
          <w:p w14:paraId="7B5CA6B7">
            <w:pPr>
              <w:ind w:firstLine="480"/>
              <w:rPr>
                <w:color w:val="000000" w:themeColor="text1"/>
                <w14:textFill>
                  <w14:solidFill>
                    <w14:schemeClr w14:val="tx1"/>
                  </w14:solidFill>
                </w14:textFill>
              </w:rPr>
            </w:pPr>
            <w:r>
              <w:rPr>
                <w:color w:val="000000" w:themeColor="text1"/>
                <w14:textFill>
                  <w14:solidFill>
                    <w14:schemeClr w14:val="tx1"/>
                  </w14:solidFill>
                </w14:textFill>
              </w:rPr>
              <w:t>根据《非道路移动污染源排放清单编制技术指南》，柴油机污染物排放系数和柴油机组燃烧废气中各污染物产生情况见表4-4。</w:t>
            </w:r>
          </w:p>
          <w:p w14:paraId="2C74A734">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表4-4  柴油机污染物排放量</w:t>
            </w:r>
          </w:p>
          <w:tbl>
            <w:tblPr>
              <w:tblStyle w:val="16"/>
              <w:tblW w:w="4955" w:type="pct"/>
              <w:tblInd w:w="0" w:type="dxa"/>
              <w:tblLayout w:type="autofit"/>
              <w:tblCellMar>
                <w:top w:w="0" w:type="dxa"/>
                <w:left w:w="108" w:type="dxa"/>
                <w:bottom w:w="0" w:type="dxa"/>
                <w:right w:w="108" w:type="dxa"/>
              </w:tblCellMar>
            </w:tblPr>
            <w:tblGrid>
              <w:gridCol w:w="1600"/>
              <w:gridCol w:w="2358"/>
              <w:gridCol w:w="2074"/>
              <w:gridCol w:w="2405"/>
            </w:tblGrid>
            <w:tr w14:paraId="0F3C30B7">
              <w:tblPrEx>
                <w:tblCellMar>
                  <w:top w:w="0" w:type="dxa"/>
                  <w:left w:w="108" w:type="dxa"/>
                  <w:bottom w:w="0" w:type="dxa"/>
                  <w:right w:w="108" w:type="dxa"/>
                </w:tblCellMar>
              </w:tblPrEx>
              <w:trPr>
                <w:trHeight w:val="270" w:hRule="atLeast"/>
              </w:trPr>
              <w:tc>
                <w:tcPr>
                  <w:tcW w:w="948" w:type="pct"/>
                  <w:tcBorders>
                    <w:top w:val="single" w:color="auto" w:sz="4" w:space="0"/>
                    <w:left w:val="single" w:color="auto" w:sz="0" w:space="0"/>
                    <w:bottom w:val="single" w:color="auto" w:sz="4" w:space="0"/>
                    <w:right w:val="single" w:color="auto" w:sz="4" w:space="0"/>
                  </w:tcBorders>
                  <w:noWrap/>
                  <w:vAlign w:val="center"/>
                </w:tcPr>
                <w:p w14:paraId="123F3EF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污染物</w:t>
                  </w:r>
                </w:p>
              </w:tc>
              <w:tc>
                <w:tcPr>
                  <w:tcW w:w="1397" w:type="pct"/>
                  <w:tcBorders>
                    <w:top w:val="single" w:color="auto" w:sz="4" w:space="0"/>
                    <w:left w:val="single" w:color="auto" w:sz="4" w:space="0"/>
                    <w:bottom w:val="single" w:color="auto" w:sz="4" w:space="0"/>
                    <w:right w:val="single" w:color="auto" w:sz="4" w:space="0"/>
                  </w:tcBorders>
                  <w:noWrap/>
                  <w:vAlign w:val="center"/>
                </w:tcPr>
                <w:p w14:paraId="1F5EA79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排污系数kg/t</w:t>
                  </w:r>
                </w:p>
              </w:tc>
              <w:tc>
                <w:tcPr>
                  <w:tcW w:w="1229" w:type="pct"/>
                  <w:tcBorders>
                    <w:top w:val="single" w:color="auto" w:sz="4" w:space="0"/>
                    <w:left w:val="single" w:color="auto" w:sz="4" w:space="0"/>
                    <w:bottom w:val="single" w:color="auto" w:sz="4" w:space="0"/>
                    <w:right w:val="single" w:color="auto" w:sz="4" w:space="0"/>
                  </w:tcBorders>
                  <w:noWrap/>
                  <w:vAlign w:val="center"/>
                </w:tcPr>
                <w:p w14:paraId="0D4F8E3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柴油用量（t）</w:t>
                  </w:r>
                </w:p>
              </w:tc>
              <w:tc>
                <w:tcPr>
                  <w:tcW w:w="1425" w:type="pct"/>
                  <w:tcBorders>
                    <w:top w:val="single" w:color="auto" w:sz="4" w:space="0"/>
                    <w:left w:val="single" w:color="auto" w:sz="4" w:space="0"/>
                    <w:bottom w:val="single" w:color="auto" w:sz="4" w:space="0"/>
                    <w:right w:val="single" w:color="auto" w:sz="4" w:space="0"/>
                  </w:tcBorders>
                  <w:noWrap/>
                  <w:vAlign w:val="center"/>
                </w:tcPr>
                <w:p w14:paraId="400EB4D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排放量（t）</w:t>
                  </w:r>
                </w:p>
              </w:tc>
            </w:tr>
            <w:tr w14:paraId="2A55607E">
              <w:tblPrEx>
                <w:tblCellMar>
                  <w:top w:w="0" w:type="dxa"/>
                  <w:left w:w="108" w:type="dxa"/>
                  <w:bottom w:w="0" w:type="dxa"/>
                  <w:right w:w="108" w:type="dxa"/>
                </w:tblCellMar>
              </w:tblPrEx>
              <w:trPr>
                <w:trHeight w:val="273"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13258E1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CO</w:t>
                  </w:r>
                </w:p>
              </w:tc>
              <w:tc>
                <w:tcPr>
                  <w:tcW w:w="1397" w:type="pct"/>
                  <w:tcBorders>
                    <w:top w:val="single" w:color="auto" w:sz="4" w:space="0"/>
                    <w:left w:val="single" w:color="auto" w:sz="4" w:space="0"/>
                    <w:bottom w:val="single" w:color="auto" w:sz="4" w:space="0"/>
                    <w:right w:val="single" w:color="auto" w:sz="4" w:space="0"/>
                  </w:tcBorders>
                  <w:noWrap/>
                  <w:vAlign w:val="center"/>
                </w:tcPr>
                <w:p w14:paraId="22C89EE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10.722</w:t>
                  </w:r>
                </w:p>
              </w:tc>
              <w:tc>
                <w:tcPr>
                  <w:tcW w:w="1229" w:type="pct"/>
                  <w:vMerge w:val="restart"/>
                  <w:tcBorders>
                    <w:top w:val="single" w:color="auto" w:sz="4" w:space="0"/>
                    <w:left w:val="single" w:color="auto" w:sz="4" w:space="0"/>
                    <w:right w:val="single" w:color="auto" w:sz="4" w:space="0"/>
                  </w:tcBorders>
                  <w:noWrap/>
                  <w:vAlign w:val="center"/>
                </w:tcPr>
                <w:p w14:paraId="05851DF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409.2</w:t>
                  </w:r>
                </w:p>
              </w:tc>
              <w:tc>
                <w:tcPr>
                  <w:tcW w:w="1425" w:type="pct"/>
                  <w:tcBorders>
                    <w:top w:val="single" w:color="auto" w:sz="4" w:space="0"/>
                    <w:left w:val="single" w:color="auto" w:sz="4" w:space="0"/>
                    <w:bottom w:val="single" w:color="auto" w:sz="4" w:space="0"/>
                    <w:right w:val="single" w:color="auto" w:sz="4" w:space="0"/>
                  </w:tcBorders>
                  <w:noWrap/>
                  <w:vAlign w:val="center"/>
                </w:tcPr>
                <w:p w14:paraId="5EDB9E5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4.39</w:t>
                  </w:r>
                </w:p>
              </w:tc>
            </w:tr>
            <w:tr w14:paraId="08BF1F6C">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28639E2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NOx</w:t>
                  </w:r>
                </w:p>
              </w:tc>
              <w:tc>
                <w:tcPr>
                  <w:tcW w:w="1397" w:type="pct"/>
                  <w:tcBorders>
                    <w:top w:val="single" w:color="auto" w:sz="4" w:space="0"/>
                    <w:left w:val="single" w:color="auto" w:sz="4" w:space="0"/>
                    <w:bottom w:val="single" w:color="auto" w:sz="4" w:space="0"/>
                    <w:right w:val="single" w:color="auto" w:sz="4" w:space="0"/>
                  </w:tcBorders>
                  <w:noWrap/>
                  <w:vAlign w:val="center"/>
                </w:tcPr>
                <w:p w14:paraId="10B7635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32.792</w:t>
                  </w:r>
                </w:p>
              </w:tc>
              <w:tc>
                <w:tcPr>
                  <w:tcW w:w="1229" w:type="pct"/>
                  <w:vMerge w:val="continue"/>
                  <w:tcBorders>
                    <w:left w:val="single" w:color="auto" w:sz="4" w:space="0"/>
                    <w:right w:val="single" w:color="auto" w:sz="4" w:space="0"/>
                  </w:tcBorders>
                  <w:noWrap/>
                  <w:vAlign w:val="center"/>
                </w:tcPr>
                <w:p w14:paraId="6669B46D">
                  <w:pPr>
                    <w:pStyle w:val="26"/>
                    <w:framePr w:hSpace="0" w:wrap="auto" w:vAnchor="margin" w:hAnchor="text" w:xAlign="left" w:yAlign="inline"/>
                    <w:rPr>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003B949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13.42</w:t>
                  </w:r>
                </w:p>
              </w:tc>
            </w:tr>
            <w:tr w14:paraId="5F738A93">
              <w:tblPrEx>
                <w:tblCellMar>
                  <w:top w:w="0" w:type="dxa"/>
                  <w:left w:w="108" w:type="dxa"/>
                  <w:bottom w:w="0" w:type="dxa"/>
                  <w:right w:w="108" w:type="dxa"/>
                </w:tblCellMar>
              </w:tblPrEx>
              <w:trPr>
                <w:trHeight w:val="300"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272534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THC</w:t>
                  </w:r>
                </w:p>
              </w:tc>
              <w:tc>
                <w:tcPr>
                  <w:tcW w:w="1397" w:type="pct"/>
                  <w:tcBorders>
                    <w:top w:val="single" w:color="auto" w:sz="4" w:space="0"/>
                    <w:left w:val="single" w:color="auto" w:sz="4" w:space="0"/>
                    <w:bottom w:val="single" w:color="auto" w:sz="4" w:space="0"/>
                    <w:right w:val="single" w:color="auto" w:sz="4" w:space="0"/>
                  </w:tcBorders>
                  <w:noWrap/>
                  <w:vAlign w:val="center"/>
                </w:tcPr>
                <w:p w14:paraId="594F5E3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3.385</w:t>
                  </w:r>
                </w:p>
              </w:tc>
              <w:tc>
                <w:tcPr>
                  <w:tcW w:w="1229" w:type="pct"/>
                  <w:vMerge w:val="continue"/>
                  <w:tcBorders>
                    <w:left w:val="single" w:color="auto" w:sz="4" w:space="0"/>
                    <w:right w:val="single" w:color="auto" w:sz="4" w:space="0"/>
                  </w:tcBorders>
                  <w:noWrap/>
                  <w:vAlign w:val="center"/>
                </w:tcPr>
                <w:p w14:paraId="54DDE6DD">
                  <w:pPr>
                    <w:pStyle w:val="26"/>
                    <w:framePr w:hSpace="0" w:wrap="auto" w:vAnchor="margin" w:hAnchor="text" w:xAlign="left" w:yAlign="inline"/>
                    <w:rPr>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5FEE991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1.39</w:t>
                  </w:r>
                </w:p>
              </w:tc>
            </w:tr>
            <w:tr w14:paraId="17807257">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6E98225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p>
              </w:tc>
              <w:tc>
                <w:tcPr>
                  <w:tcW w:w="1397" w:type="pct"/>
                  <w:tcBorders>
                    <w:top w:val="single" w:color="auto" w:sz="4" w:space="0"/>
                    <w:left w:val="single" w:color="auto" w:sz="4" w:space="0"/>
                    <w:bottom w:val="single" w:color="auto" w:sz="4" w:space="0"/>
                    <w:right w:val="single" w:color="auto" w:sz="4" w:space="0"/>
                  </w:tcBorders>
                  <w:noWrap/>
                  <w:vAlign w:val="center"/>
                </w:tcPr>
                <w:p w14:paraId="5D6A1D8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0.02</w:t>
                  </w:r>
                </w:p>
              </w:tc>
              <w:tc>
                <w:tcPr>
                  <w:tcW w:w="1229" w:type="pct"/>
                  <w:vMerge w:val="continue"/>
                  <w:tcBorders>
                    <w:left w:val="single" w:color="auto" w:sz="4" w:space="0"/>
                    <w:right w:val="single" w:color="auto" w:sz="4" w:space="0"/>
                  </w:tcBorders>
                  <w:noWrap/>
                  <w:vAlign w:val="center"/>
                </w:tcPr>
                <w:p w14:paraId="4AFB8741">
                  <w:pPr>
                    <w:pStyle w:val="26"/>
                    <w:framePr w:hSpace="0" w:wrap="auto" w:vAnchor="margin" w:hAnchor="text" w:xAlign="left" w:yAlign="inline"/>
                    <w:rPr>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2E809FD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0.0082</w:t>
                  </w:r>
                </w:p>
              </w:tc>
            </w:tr>
            <w:tr w14:paraId="3CCEE02B">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35AF43C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PM</w:t>
                  </w:r>
                  <w:r>
                    <w:rPr>
                      <w:color w:val="000000" w:themeColor="text1"/>
                      <w:vertAlign w:val="subscript"/>
                      <w14:textFill>
                        <w14:solidFill>
                          <w14:schemeClr w14:val="tx1"/>
                        </w14:solidFill>
                      </w14:textFill>
                    </w:rPr>
                    <w:t>10</w:t>
                  </w:r>
                </w:p>
              </w:tc>
              <w:tc>
                <w:tcPr>
                  <w:tcW w:w="1397" w:type="pct"/>
                  <w:tcBorders>
                    <w:top w:val="single" w:color="auto" w:sz="4" w:space="0"/>
                    <w:left w:val="single" w:color="auto" w:sz="4" w:space="0"/>
                    <w:bottom w:val="single" w:color="auto" w:sz="4" w:space="0"/>
                    <w:right w:val="single" w:color="auto" w:sz="4" w:space="0"/>
                  </w:tcBorders>
                  <w:noWrap/>
                  <w:vAlign w:val="center"/>
                </w:tcPr>
                <w:p w14:paraId="1FC810C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2.09</w:t>
                  </w:r>
                </w:p>
              </w:tc>
              <w:tc>
                <w:tcPr>
                  <w:tcW w:w="1229" w:type="pct"/>
                  <w:vMerge w:val="continue"/>
                  <w:tcBorders>
                    <w:left w:val="single" w:color="auto" w:sz="4" w:space="0"/>
                    <w:right w:val="single" w:color="auto" w:sz="4" w:space="0"/>
                  </w:tcBorders>
                  <w:noWrap/>
                  <w:vAlign w:val="center"/>
                </w:tcPr>
                <w:p w14:paraId="5938297C">
                  <w:pPr>
                    <w:pStyle w:val="26"/>
                    <w:framePr w:hSpace="0" w:wrap="auto" w:vAnchor="margin" w:hAnchor="text" w:xAlign="left" w:yAlign="inline"/>
                    <w:rPr>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5A9C64A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0.86</w:t>
                  </w:r>
                </w:p>
              </w:tc>
            </w:tr>
            <w:tr w14:paraId="3456CC04">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677AA89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PM</w:t>
                  </w:r>
                  <w:r>
                    <w:rPr>
                      <w:color w:val="000000" w:themeColor="text1"/>
                      <w:vertAlign w:val="subscript"/>
                      <w14:textFill>
                        <w14:solidFill>
                          <w14:schemeClr w14:val="tx1"/>
                        </w14:solidFill>
                      </w14:textFill>
                    </w:rPr>
                    <w:t>2.5</w:t>
                  </w:r>
                </w:p>
              </w:tc>
              <w:tc>
                <w:tcPr>
                  <w:tcW w:w="1397" w:type="pct"/>
                  <w:tcBorders>
                    <w:top w:val="single" w:color="auto" w:sz="4" w:space="0"/>
                    <w:left w:val="single" w:color="auto" w:sz="4" w:space="0"/>
                    <w:bottom w:val="single" w:color="auto" w:sz="4" w:space="0"/>
                    <w:right w:val="single" w:color="auto" w:sz="4" w:space="0"/>
                  </w:tcBorders>
                  <w:noWrap/>
                  <w:vAlign w:val="center"/>
                </w:tcPr>
                <w:p w14:paraId="67A3647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2.09</w:t>
                  </w:r>
                </w:p>
              </w:tc>
              <w:tc>
                <w:tcPr>
                  <w:tcW w:w="1229" w:type="pct"/>
                  <w:vMerge w:val="continue"/>
                  <w:tcBorders>
                    <w:left w:val="single" w:color="auto" w:sz="4" w:space="0"/>
                    <w:bottom w:val="single" w:color="auto" w:sz="4" w:space="0"/>
                    <w:right w:val="single" w:color="auto" w:sz="4" w:space="0"/>
                  </w:tcBorders>
                  <w:noWrap/>
                  <w:vAlign w:val="center"/>
                </w:tcPr>
                <w:p w14:paraId="025192AE">
                  <w:pPr>
                    <w:pStyle w:val="26"/>
                    <w:framePr w:hSpace="0" w:wrap="auto" w:vAnchor="margin" w:hAnchor="text" w:xAlign="left" w:yAlign="inline"/>
                    <w:rPr>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0E74DD3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0.86</w:t>
                  </w:r>
                </w:p>
              </w:tc>
            </w:tr>
          </w:tbl>
          <w:p w14:paraId="00DD81CF">
            <w:pPr>
              <w:pStyle w:val="32"/>
              <w:ind w:firstLine="360"/>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注：据《车用柴油》（GB19147-2016）表3要求，车用柴油中硫的含量≤10mg/kg，燃烧0.5t柴油产生的SO</w:t>
            </w:r>
            <w:r>
              <w:rPr>
                <w:rFonts w:ascii="Times New Roman" w:hAnsi="Times New Roman"/>
                <w:color w:val="000000" w:themeColor="text1"/>
                <w:sz w:val="18"/>
                <w:szCs w:val="18"/>
                <w:vertAlign w:val="subscript"/>
                <w14:textFill>
                  <w14:solidFill>
                    <w14:schemeClr w14:val="tx1"/>
                  </w14:solidFill>
                </w14:textFill>
              </w:rPr>
              <w:t>2</w:t>
            </w:r>
            <w:r>
              <w:rPr>
                <w:rFonts w:ascii="Times New Roman" w:hAnsi="Times New Roman"/>
                <w:color w:val="000000" w:themeColor="text1"/>
                <w:sz w:val="18"/>
                <w:szCs w:val="18"/>
                <w14:textFill>
                  <w14:solidFill>
                    <w14:schemeClr w14:val="tx1"/>
                  </w14:solidFill>
                </w14:textFill>
              </w:rPr>
              <w:t>为0.02kg。</w:t>
            </w:r>
          </w:p>
          <w:p w14:paraId="4CC99932">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环评要求钻井期和试油期间定期对柴油机、柴油发电机等设备进行维护，并且采用高品质的柴油、添加柴油助燃剂等措施，在很大程度上可降低柴油燃烧污染物的排放，减轻对大气环境的影响。钻井期间排放的大气污染物将随钻井工程的结束而消失。</w:t>
            </w:r>
          </w:p>
          <w:p w14:paraId="6D06F971">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（2）扬尘</w:t>
            </w:r>
          </w:p>
          <w:p w14:paraId="3F9C4708">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建设期进场道路修建、施工营地及井场场地平整、运输车辆行驶均会产生扬尘，施工扬尘造成大气中TSP值增高。在施工场地实施每天洒水抑尘作业1次，大风天气增加洒水次数。采用洒水降尘措施，其扬尘造成的污染距离可缩小到20～50m范围，对周围环境影响较小。从影响时间、范围和程度来看，通过洒水降尘等措施后，钻井施工扬尘对周围大气环境质量影响是有限的。</w:t>
            </w:r>
          </w:p>
          <w:p w14:paraId="695DD5CC">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（3）燃油机械废气和运输车辆尾气</w:t>
            </w:r>
          </w:p>
          <w:p w14:paraId="4FDFCF6C">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各类机械设备均使用符合国家标准的燃料，且施工期短暂、周边无居民区、地域空旷，大气扩散条件良好，加上施工期废气排放时段较为集中，属于阶段性排放源，随着施工的结束而停止排放，燃油机械废气和运输车辆尾气对周围大气环境影响不大。</w:t>
            </w:r>
          </w:p>
          <w:p w14:paraId="582533AE">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（4）伴生气燃烧废气</w:t>
            </w:r>
          </w:p>
          <w:p w14:paraId="263C851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钻井和试油过程中可能会出现油层伴生气排出地面的情况。伴生气通过气液分离器进行分离，并经排气管线燃放。由于勘探前油藏情况未明，伴生气产生量无法确定，伴生气放空燃烧属短期排放且产生量较少，因此，本评价不对伴生气燃烧排放的NO</w:t>
            </w:r>
            <w:r>
              <w:rPr>
                <w:rFonts w:ascii="Times New Roman" w:hAnsi="Times New Roman"/>
                <w:color w:val="000000" w:themeColor="text1"/>
                <w:sz w:val="24"/>
                <w:szCs w:val="24"/>
                <w:vertAlign w:val="subscript"/>
                <w14:textFill>
                  <w14:solidFill>
                    <w14:schemeClr w14:val="tx1"/>
                  </w14:solidFill>
                </w14:textFill>
              </w:rPr>
              <w:t>x</w:t>
            </w:r>
            <w:r>
              <w:rPr>
                <w:rFonts w:ascii="Times New Roman" w:hAnsi="Times New Roman"/>
                <w:color w:val="000000" w:themeColor="text1"/>
                <w:sz w:val="24"/>
                <w:szCs w:val="24"/>
                <w14:textFill>
                  <w14:solidFill>
                    <w14:schemeClr w14:val="tx1"/>
                  </w14:solidFill>
                </w14:textFill>
              </w:rPr>
              <w:t>和颗粒物进行量化分析。</w:t>
            </w:r>
          </w:p>
          <w:p w14:paraId="7AC96B09">
            <w:pPr>
              <w:pStyle w:val="8"/>
              <w:spacing w:after="0"/>
              <w:ind w:firstLine="480"/>
              <w:rPr>
                <w:color w:val="000000" w:themeColor="text1"/>
                <w:kern w:val="0"/>
                <w14:textFill>
                  <w14:solidFill>
                    <w14:schemeClr w14:val="tx1"/>
                  </w14:solidFill>
                </w14:textFill>
              </w:rPr>
            </w:pPr>
            <w:r>
              <w:rPr>
                <w:rFonts w:hint="eastAsia"/>
                <w:color w:val="000000" w:themeColor="text1"/>
                <w14:textFill>
                  <w14:solidFill>
                    <w14:schemeClr w14:val="tx1"/>
                  </w14:solidFill>
                </w14:textFill>
              </w:rPr>
              <w:t>根据地质设计可知，邻井钻井过程中均未发现H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S，但压裂、采油过程中多口井发现H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S。则</w:t>
            </w:r>
            <w:r>
              <w:rPr>
                <w:rFonts w:hint="eastAsia"/>
                <w:color w:val="000000" w:themeColor="text1"/>
                <w:kern w:val="0"/>
                <w14:textFill>
                  <w14:solidFill>
                    <w14:schemeClr w14:val="tx1"/>
                  </w14:solidFill>
                </w14:textFill>
              </w:rPr>
              <w:t>在试油过程中伴生气中可能含有少量的硫化氢，试油过程中可能通过阀门、法兰等连接件有少量的硫化氢逸散，井场配备有硫化氢监测仪，试油过程中伴生气主要通过排气管线燃烧放空，项目周围无大气环境保护目标，且地域空旷、扩散条件较好，不会对周围环境产生不利影响。</w:t>
            </w:r>
          </w:p>
          <w:p w14:paraId="1C1C294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（5）临时储罐和采出液装载过程无组织排放废气</w:t>
            </w:r>
          </w:p>
          <w:p w14:paraId="7F67C5E1">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本项目试油期采出液暂存于井场1个60m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采出液临时储罐中，由罐车定期拉运至</w:t>
            </w:r>
            <w:r>
              <w:rPr>
                <w:rFonts w:hint="eastAsia" w:ascii="Times New Roman" w:hAnsi="Times New Roman"/>
                <w:color w:val="000000" w:themeColor="text1"/>
                <w:sz w:val="24"/>
                <w:szCs w:val="24"/>
                <w14:textFill>
                  <w14:solidFill>
                    <w14:schemeClr w14:val="tx1"/>
                  </w14:solidFill>
                </w14:textFill>
              </w:rPr>
              <w:t>吉康脱水站</w:t>
            </w:r>
            <w:r>
              <w:rPr>
                <w:rFonts w:ascii="Times New Roman" w:hAnsi="Times New Roman"/>
                <w:color w:val="000000" w:themeColor="text1"/>
                <w:sz w:val="24"/>
                <w:szCs w:val="24"/>
                <w14:textFill>
                  <w14:solidFill>
                    <w14:schemeClr w14:val="tx1"/>
                  </w14:solidFill>
                </w14:textFill>
              </w:rPr>
              <w:t>处理，采出液装车过程中会产生VOCs，根据《石化行业VOCS污染源排查工作指南》，装载过程VOCs排放量与物料年周转量、装载温度、装载物料的真实蒸气压等因素有关。由于试油过程具有很大的不确定性，无法确定试油阶段产能情况，因此本评价仅对装载过程产生的VOCs进行定性分析，不进行定量计算。本环评要求建设单位在试油阶段采出液装载应符合《陆上石油天然气开采工业大气污染物排放标准》（GB39728-2020）要求，采用底部装载或顶部浸没式装载方式，采用顶部浸没式装载的，出口管口距离罐底部高度应小于200mm。采出液装载仅在试油期进行，随试油期结束而终止。</w:t>
            </w:r>
          </w:p>
          <w:p w14:paraId="4B1F4113">
            <w:pPr>
              <w:pStyle w:val="8"/>
              <w:spacing w:after="0"/>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（6）柴油卸车及储存无组织废气</w:t>
            </w:r>
          </w:p>
          <w:p w14:paraId="091044F5">
            <w:pPr>
              <w:widowControl/>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钻井期井场设有柴油罐（20m</w:t>
            </w:r>
            <w:r>
              <w:rPr>
                <w:color w:val="000000" w:themeColor="text1"/>
                <w:kern w:val="0"/>
                <w:vertAlign w:val="superscript"/>
                <w14:textFill>
                  <w14:solidFill>
                    <w14:schemeClr w14:val="tx1"/>
                  </w14:solidFill>
                </w14:textFill>
              </w:rPr>
              <w:t>3</w:t>
            </w:r>
            <w:r>
              <w:rPr>
                <w:color w:val="000000" w:themeColor="text1"/>
                <w:kern w:val="0"/>
                <w14:textFill>
                  <w14:solidFill>
                    <w14:schemeClr w14:val="tx1"/>
                  </w14:solidFill>
                </w14:textFill>
              </w:rPr>
              <w:t>），试油期设置</w:t>
            </w:r>
            <w:r>
              <w:rPr>
                <w:color w:val="000000" w:themeColor="text1"/>
                <w14:textFill>
                  <w14:solidFill>
                    <w14:schemeClr w14:val="tx1"/>
                  </w14:solidFill>
                </w14:textFill>
              </w:rPr>
              <w:t>1个5m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的柴油储罐，</w:t>
            </w:r>
            <w:r>
              <w:rPr>
                <w:color w:val="000000" w:themeColor="text1"/>
                <w:kern w:val="0"/>
                <w14:textFill>
                  <w14:solidFill>
                    <w14:schemeClr w14:val="tx1"/>
                  </w14:solidFill>
                </w14:textFill>
              </w:rPr>
              <w:t>均为固定顶罐，外购柴油由罐车拉运至井场后暂存于储罐内，最大贮存量约21t。</w:t>
            </w:r>
            <w:r>
              <w:rPr>
                <w:color w:val="000000" w:themeColor="text1"/>
                <w:kern w:val="0"/>
                <w:szCs w:val="20"/>
                <w14:textFill>
                  <w14:solidFill>
                    <w14:schemeClr w14:val="tx1"/>
                  </w14:solidFill>
                </w14:textFill>
              </w:rPr>
              <w:t>柴油卸车及临时贮存时会产生一定的无组织挥发性废气，由于柴油周转量较小，真实蒸气压较低，挥发性低，由柴油卸车及储罐临时储存产生的挥发性废气量较小，不会对周围大气环境产生明显不利影响。对比新疆油田其他类似钻井井场，井场场界外非甲烷总烃的浓度低于《陆上石油天然气开采工业大气污染物排放标准》（GB39728-2020）周界外无组织排放浓度限值4.0mg/m</w:t>
            </w:r>
            <w:r>
              <w:rPr>
                <w:color w:val="000000" w:themeColor="text1"/>
                <w:kern w:val="0"/>
                <w:szCs w:val="20"/>
                <w:vertAlign w:val="superscript"/>
                <w14:textFill>
                  <w14:solidFill>
                    <w14:schemeClr w14:val="tx1"/>
                  </w14:solidFill>
                </w14:textFill>
              </w:rPr>
              <w:t>3</w:t>
            </w:r>
            <w:r>
              <w:rPr>
                <w:color w:val="000000" w:themeColor="text1"/>
                <w:kern w:val="0"/>
                <w:szCs w:val="20"/>
                <w14:textFill>
                  <w14:solidFill>
                    <w14:schemeClr w14:val="tx1"/>
                  </w14:solidFill>
                </w14:textFill>
              </w:rPr>
              <w:t>的要求</w:t>
            </w:r>
            <w:r>
              <w:rPr>
                <w:color w:val="000000" w:themeColor="text1"/>
                <w:kern w:val="0"/>
                <w14:textFill>
                  <w14:solidFill>
                    <w14:schemeClr w14:val="tx1"/>
                  </w14:solidFill>
                </w14:textFill>
              </w:rPr>
              <w:t>。</w:t>
            </w:r>
          </w:p>
          <w:p w14:paraId="50321051">
            <w:pPr>
              <w:widowControl/>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（7）油基岩屑储罐无组织废气</w:t>
            </w:r>
          </w:p>
          <w:p w14:paraId="2BA8DECD">
            <w:pPr>
              <w:widowControl/>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油基岩屑暂存于油基岩屑储罐内，</w:t>
            </w:r>
            <w:r>
              <w:rPr>
                <w:color w:val="000000" w:themeColor="text1"/>
                <w14:textFill>
                  <w14:solidFill>
                    <w14:schemeClr w14:val="tx1"/>
                  </w14:solidFill>
                </w14:textFill>
              </w:rPr>
              <w:t>每口井2个罐，每个罐50m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color w:val="000000" w:themeColor="text1"/>
                <w:kern w:val="0"/>
                <w14:textFill>
                  <w14:solidFill>
                    <w14:schemeClr w14:val="tx1"/>
                  </w14:solidFill>
                </w14:textFill>
              </w:rPr>
              <w:t>油基岩屑储罐</w:t>
            </w:r>
            <w:r>
              <w:rPr>
                <w:color w:val="000000" w:themeColor="text1"/>
                <w:kern w:val="0"/>
                <w:szCs w:val="20"/>
                <w14:textFill>
                  <w14:solidFill>
                    <w14:schemeClr w14:val="tx1"/>
                  </w14:solidFill>
                </w14:textFill>
              </w:rPr>
              <w:t>暂存时会产生一定的无组织挥发性废气，储罐临时储存产生的挥发性废气量较小，不会对周围大气环境产生明显不利影响。对比新疆油田其他类似钻井井场，井场场界外非甲烷总烃的浓度低于《陆上石油天然气开采工业大气污染物排放标准》（GB39728-2020）周界外无组织排放浓度限值4.0mg/m</w:t>
            </w:r>
            <w:r>
              <w:rPr>
                <w:color w:val="000000" w:themeColor="text1"/>
                <w:kern w:val="0"/>
                <w:szCs w:val="20"/>
                <w:vertAlign w:val="superscript"/>
                <w14:textFill>
                  <w14:solidFill>
                    <w14:schemeClr w14:val="tx1"/>
                  </w14:solidFill>
                </w14:textFill>
              </w:rPr>
              <w:t>3</w:t>
            </w:r>
            <w:r>
              <w:rPr>
                <w:color w:val="000000" w:themeColor="text1"/>
                <w:kern w:val="0"/>
                <w:szCs w:val="20"/>
                <w14:textFill>
                  <w14:solidFill>
                    <w14:schemeClr w14:val="tx1"/>
                  </w14:solidFill>
                </w14:textFill>
              </w:rPr>
              <w:t>的要求</w:t>
            </w:r>
            <w:r>
              <w:rPr>
                <w:color w:val="000000" w:themeColor="text1"/>
                <w:kern w:val="0"/>
                <w14:textFill>
                  <w14:solidFill>
                    <w14:schemeClr w14:val="tx1"/>
                  </w14:solidFill>
                </w14:textFill>
              </w:rPr>
              <w:t>。</w:t>
            </w:r>
          </w:p>
          <w:p w14:paraId="08781D1E">
            <w:pPr>
              <w:widowControl/>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（8）水基钻井岩屑暂存扬尘</w:t>
            </w:r>
          </w:p>
          <w:p w14:paraId="0301B5AF">
            <w:pPr>
              <w:pStyle w:val="8"/>
              <w:spacing w:after="0"/>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水基钻井岩屑暂存于岩屑罐中，暂存过程中会产生少量的扬尘，不落地系统分离出的水基钻井岩屑含水率较高且产生后及时清运，由水基钻井岩屑临时暂存产生的扬尘量很少，不会对周围大气环境产生不利影响。</w:t>
            </w:r>
          </w:p>
          <w:p w14:paraId="73A3AD5F">
            <w:pPr>
              <w:pStyle w:val="8"/>
              <w:spacing w:after="0"/>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综上所述，施工期间产生的废气对大气环境影响不大。</w:t>
            </w:r>
          </w:p>
          <w:p w14:paraId="693F1B8F">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施工期废水影响分析</w:t>
            </w:r>
          </w:p>
          <w:p w14:paraId="35112C12">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本项目在钻井施工过程中采用“钻井泥浆不落地技术”，分离出的液相循环使用，</w:t>
            </w:r>
            <w:r>
              <w:rPr>
                <w:color w:val="000000" w:themeColor="text1"/>
                <w:highlight w:val="none"/>
                <w14:textFill>
                  <w14:solidFill>
                    <w14:schemeClr w14:val="tx1"/>
                  </w14:solidFill>
                </w14:textFill>
              </w:rPr>
              <w:t>完井后剩余水基/油基泥浆由钻井队委托专业公司回收利用。</w:t>
            </w:r>
            <w:r>
              <w:rPr>
                <w:color w:val="000000" w:themeColor="text1"/>
                <w14:textFill>
                  <w14:solidFill>
                    <w14:schemeClr w14:val="tx1"/>
                  </w14:solidFill>
                </w14:textFill>
              </w:rPr>
              <w:t>本项目施工期废水主要来源于钻井期施工人员的生活污水和试油期的井下作业废水（洗井废水和压裂返排液）。</w:t>
            </w:r>
          </w:p>
          <w:p w14:paraId="6ED47053">
            <w:pPr>
              <w:ind w:firstLine="480"/>
              <w:rPr>
                <w:color w:val="000000" w:themeColor="text1"/>
                <w14:textFill>
                  <w14:solidFill>
                    <w14:schemeClr w14:val="tx1"/>
                  </w14:solidFill>
                </w14:textFill>
              </w:rPr>
            </w:pPr>
            <w:r>
              <w:rPr>
                <w:color w:val="000000" w:themeColor="text1"/>
                <w14:textFill>
                  <w14:solidFill>
                    <w14:schemeClr w14:val="tx1"/>
                  </w14:solidFill>
                </w14:textFill>
              </w:rPr>
              <w:t>（1）洗井废水</w:t>
            </w:r>
          </w:p>
          <w:p w14:paraId="66E60C6C">
            <w:pPr>
              <w:ind w:firstLine="480"/>
              <w:rPr>
                <w:color w:val="000000" w:themeColor="text1"/>
                <w14:textFill>
                  <w14:solidFill>
                    <w14:schemeClr w14:val="tx1"/>
                  </w14:solidFill>
                </w14:textFill>
              </w:rPr>
            </w:pPr>
            <w:r>
              <w:rPr>
                <w:color w:val="000000" w:themeColor="text1"/>
                <w14:textFill>
                  <w14:solidFill>
                    <w14:schemeClr w14:val="tx1"/>
                  </w14:solidFill>
                </w14:textFill>
              </w:rPr>
              <w:t>与建设单位核实，本项目均属于低渗透油井，参照《排放源统计调查产排污核算方法和系数手册》（公告2021年第24号）中与石油和天然气开采有关的服务活动产排污系数计算洗井废水的产生量，见表4-5。</w:t>
            </w:r>
            <w:bookmarkStart w:id="24" w:name="_Hlk5211222"/>
          </w:p>
          <w:p w14:paraId="22777735">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表4-5  与石油和天然气开采有关的服务活动产排污系数一览表</w:t>
            </w:r>
          </w:p>
          <w:tbl>
            <w:tblPr>
              <w:tblStyle w:val="16"/>
              <w:tblW w:w="8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892"/>
              <w:gridCol w:w="929"/>
              <w:gridCol w:w="750"/>
              <w:gridCol w:w="930"/>
              <w:gridCol w:w="920"/>
              <w:gridCol w:w="820"/>
              <w:gridCol w:w="1270"/>
              <w:gridCol w:w="910"/>
            </w:tblGrid>
            <w:tr w14:paraId="2F57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752" w:type="dxa"/>
                  <w:tcBorders>
                    <w:top w:val="single" w:color="auto" w:sz="4" w:space="0"/>
                    <w:left w:val="single" w:color="auto" w:sz="4" w:space="0"/>
                    <w:bottom w:val="single" w:color="auto" w:sz="4" w:space="0"/>
                    <w:right w:val="single" w:color="auto" w:sz="4" w:space="0"/>
                    <w:tl2br w:val="nil"/>
                    <w:tr2bl w:val="nil"/>
                  </w:tcBorders>
                  <w:vAlign w:val="center"/>
                </w:tcPr>
                <w:p w14:paraId="5C24FC4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产品</w:t>
                  </w:r>
                </w:p>
                <w:p w14:paraId="11EF095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892" w:type="dxa"/>
                  <w:tcBorders>
                    <w:top w:val="single" w:color="auto" w:sz="4" w:space="0"/>
                    <w:left w:val="single" w:color="auto" w:sz="4" w:space="0"/>
                    <w:bottom w:val="single" w:color="auto" w:sz="4" w:space="0"/>
                    <w:right w:val="single" w:color="auto" w:sz="4" w:space="0"/>
                    <w:tl2br w:val="nil"/>
                    <w:tr2bl w:val="nil"/>
                  </w:tcBorders>
                  <w:vAlign w:val="center"/>
                </w:tcPr>
                <w:p w14:paraId="1A45DE0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原料</w:t>
                  </w:r>
                </w:p>
                <w:p w14:paraId="05640F8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929" w:type="dxa"/>
                  <w:tcBorders>
                    <w:top w:val="single" w:color="auto" w:sz="4" w:space="0"/>
                    <w:left w:val="single" w:color="auto" w:sz="4" w:space="0"/>
                    <w:bottom w:val="single" w:color="auto" w:sz="4" w:space="0"/>
                    <w:right w:val="single" w:color="auto" w:sz="4" w:space="0"/>
                    <w:tl2br w:val="nil"/>
                    <w:tr2bl w:val="nil"/>
                  </w:tcBorders>
                  <w:vAlign w:val="center"/>
                </w:tcPr>
                <w:p w14:paraId="6AB3BAF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工艺名称</w:t>
                  </w: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14:paraId="0C17FC7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规模等级</w:t>
                  </w:r>
                </w:p>
              </w:tc>
              <w:tc>
                <w:tcPr>
                  <w:tcW w:w="930" w:type="dxa"/>
                  <w:tcBorders>
                    <w:top w:val="single" w:color="auto" w:sz="4" w:space="0"/>
                    <w:left w:val="single" w:color="auto" w:sz="4" w:space="0"/>
                    <w:bottom w:val="single" w:color="auto" w:sz="4" w:space="0"/>
                    <w:right w:val="single" w:color="auto" w:sz="4" w:space="0"/>
                    <w:tl2br w:val="nil"/>
                    <w:tr2bl w:val="nil"/>
                  </w:tcBorders>
                  <w:vAlign w:val="center"/>
                </w:tcPr>
                <w:p w14:paraId="0F3DCC5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污染物指标</w:t>
                  </w: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14:paraId="50D5987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单位</w:t>
                  </w:r>
                </w:p>
              </w:tc>
              <w:tc>
                <w:tcPr>
                  <w:tcW w:w="820" w:type="dxa"/>
                  <w:tcBorders>
                    <w:top w:val="single" w:color="auto" w:sz="4" w:space="0"/>
                    <w:left w:val="single" w:color="auto" w:sz="4" w:space="0"/>
                    <w:bottom w:val="single" w:color="auto" w:sz="4" w:space="0"/>
                    <w:right w:val="single" w:color="auto" w:sz="4" w:space="0"/>
                    <w:tl2br w:val="nil"/>
                    <w:tr2bl w:val="nil"/>
                  </w:tcBorders>
                  <w:vAlign w:val="center"/>
                </w:tcPr>
                <w:p w14:paraId="2D46420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产污</w:t>
                  </w:r>
                </w:p>
                <w:p w14:paraId="7B5EEC1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系数</w:t>
                  </w:r>
                </w:p>
              </w:tc>
              <w:tc>
                <w:tcPr>
                  <w:tcW w:w="1270" w:type="dxa"/>
                  <w:tcBorders>
                    <w:top w:val="single" w:color="auto" w:sz="4" w:space="0"/>
                    <w:left w:val="single" w:color="auto" w:sz="4" w:space="0"/>
                    <w:bottom w:val="single" w:color="auto" w:sz="4" w:space="0"/>
                    <w:right w:val="single" w:color="auto" w:sz="4" w:space="0"/>
                    <w:tl2br w:val="nil"/>
                    <w:tr2bl w:val="nil"/>
                  </w:tcBorders>
                  <w:vAlign w:val="center"/>
                </w:tcPr>
                <w:p w14:paraId="039506E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末端治理技术名称</w:t>
                  </w:r>
                </w:p>
              </w:tc>
              <w:tc>
                <w:tcPr>
                  <w:tcW w:w="910" w:type="dxa"/>
                  <w:tcBorders>
                    <w:top w:val="single" w:color="auto" w:sz="4" w:space="0"/>
                    <w:left w:val="single" w:color="auto" w:sz="4" w:space="0"/>
                    <w:bottom w:val="single" w:color="auto" w:sz="4" w:space="0"/>
                    <w:right w:val="single" w:color="auto" w:sz="4" w:space="0"/>
                    <w:tl2br w:val="nil"/>
                    <w:tr2bl w:val="nil"/>
                  </w:tcBorders>
                  <w:vAlign w:val="center"/>
                </w:tcPr>
                <w:p w14:paraId="0735A06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排污系数</w:t>
                  </w:r>
                </w:p>
              </w:tc>
            </w:tr>
            <w:tr w14:paraId="7246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752"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4E78298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井下作业</w:t>
                  </w:r>
                </w:p>
              </w:tc>
              <w:tc>
                <w:tcPr>
                  <w:tcW w:w="892"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2DF452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洗井液（水）</w:t>
                  </w:r>
                </w:p>
              </w:tc>
              <w:tc>
                <w:tcPr>
                  <w:tcW w:w="929"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A6C49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低渗透油井洗井作业</w:t>
                  </w:r>
                </w:p>
              </w:tc>
              <w:tc>
                <w:tcPr>
                  <w:tcW w:w="750"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273A48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所有规模</w:t>
                  </w:r>
                </w:p>
              </w:tc>
              <w:tc>
                <w:tcPr>
                  <w:tcW w:w="930" w:type="dxa"/>
                  <w:tcBorders>
                    <w:top w:val="single" w:color="auto" w:sz="4" w:space="0"/>
                    <w:left w:val="single" w:color="auto" w:sz="4" w:space="0"/>
                    <w:bottom w:val="single" w:color="auto" w:sz="4" w:space="0"/>
                    <w:right w:val="single" w:color="auto" w:sz="4" w:space="0"/>
                    <w:tl2br w:val="nil"/>
                    <w:tr2bl w:val="nil"/>
                  </w:tcBorders>
                  <w:vAlign w:val="center"/>
                </w:tcPr>
                <w:p w14:paraId="01E99D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工业废水量</w:t>
                  </w: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14:paraId="7A47DA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t/井次-产品</w:t>
                  </w:r>
                </w:p>
              </w:tc>
              <w:tc>
                <w:tcPr>
                  <w:tcW w:w="820" w:type="dxa"/>
                  <w:tcBorders>
                    <w:top w:val="single" w:color="auto" w:sz="4" w:space="0"/>
                    <w:left w:val="single" w:color="auto" w:sz="4" w:space="0"/>
                    <w:bottom w:val="single" w:color="auto" w:sz="4" w:space="0"/>
                    <w:right w:val="single" w:color="auto" w:sz="4" w:space="0"/>
                    <w:tl2br w:val="nil"/>
                    <w:tr2bl w:val="nil"/>
                  </w:tcBorders>
                  <w:vAlign w:val="center"/>
                </w:tcPr>
                <w:p w14:paraId="318E6E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27.13</w:t>
                  </w:r>
                </w:p>
              </w:tc>
              <w:tc>
                <w:tcPr>
                  <w:tcW w:w="1270" w:type="dxa"/>
                  <w:tcBorders>
                    <w:top w:val="single" w:color="auto" w:sz="4" w:space="0"/>
                    <w:left w:val="single" w:color="auto" w:sz="4" w:space="0"/>
                    <w:bottom w:val="single" w:color="auto" w:sz="4" w:space="0"/>
                    <w:right w:val="single" w:color="auto" w:sz="4" w:space="0"/>
                    <w:tl2br w:val="nil"/>
                    <w:tr2bl w:val="nil"/>
                  </w:tcBorders>
                  <w:vAlign w:val="center"/>
                </w:tcPr>
                <w:p w14:paraId="4039B8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回收回注</w:t>
                  </w:r>
                </w:p>
              </w:tc>
              <w:tc>
                <w:tcPr>
                  <w:tcW w:w="910" w:type="dxa"/>
                  <w:tcBorders>
                    <w:top w:val="single" w:color="auto" w:sz="4" w:space="0"/>
                    <w:left w:val="single" w:color="auto" w:sz="4" w:space="0"/>
                    <w:bottom w:val="single" w:color="auto" w:sz="4" w:space="0"/>
                    <w:right w:val="single" w:color="auto" w:sz="4" w:space="0"/>
                    <w:tl2br w:val="nil"/>
                    <w:tr2bl w:val="nil"/>
                  </w:tcBorders>
                  <w:vAlign w:val="center"/>
                </w:tcPr>
                <w:p w14:paraId="01714A9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r>
            <w:tr w14:paraId="014A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7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6905526">
                  <w:pPr>
                    <w:pStyle w:val="26"/>
                    <w:framePr w:hSpace="0" w:wrap="auto" w:vAnchor="margin" w:hAnchor="text" w:xAlign="left" w:yAlign="inline"/>
                    <w:rPr>
                      <w:color w:val="000000" w:themeColor="text1"/>
                      <w14:textFill>
                        <w14:solidFill>
                          <w14:schemeClr w14:val="tx1"/>
                        </w14:solidFill>
                      </w14:textFill>
                    </w:rPr>
                  </w:pPr>
                </w:p>
              </w:tc>
              <w:tc>
                <w:tcPr>
                  <w:tcW w:w="89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A1F4B39">
                  <w:pPr>
                    <w:pStyle w:val="26"/>
                    <w:framePr w:hSpace="0" w:wrap="auto" w:vAnchor="margin" w:hAnchor="text" w:xAlign="left" w:yAlign="inline"/>
                    <w:rPr>
                      <w:color w:val="000000" w:themeColor="text1"/>
                      <w14:textFill>
                        <w14:solidFill>
                          <w14:schemeClr w14:val="tx1"/>
                        </w14:solidFill>
                      </w14:textFill>
                    </w:rPr>
                  </w:pPr>
                </w:p>
              </w:tc>
              <w:tc>
                <w:tcPr>
                  <w:tcW w:w="9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D95C14B">
                  <w:pPr>
                    <w:pStyle w:val="26"/>
                    <w:framePr w:hSpace="0" w:wrap="auto" w:vAnchor="margin" w:hAnchor="text" w:xAlign="left" w:yAlign="inline"/>
                    <w:rPr>
                      <w:color w:val="000000" w:themeColor="text1"/>
                      <w14:textFill>
                        <w14:solidFill>
                          <w14:schemeClr w14:val="tx1"/>
                        </w14:solidFill>
                      </w14:textFill>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5253031">
                  <w:pPr>
                    <w:pStyle w:val="26"/>
                    <w:framePr w:hSpace="0" w:wrap="auto" w:vAnchor="margin" w:hAnchor="text" w:xAlign="left" w:yAlign="inline"/>
                    <w:rPr>
                      <w:color w:val="000000" w:themeColor="text1"/>
                      <w14:textFill>
                        <w14:solidFill>
                          <w14:schemeClr w14:val="tx1"/>
                        </w14:solidFill>
                      </w14:textFill>
                    </w:rPr>
                  </w:pPr>
                </w:p>
              </w:tc>
              <w:tc>
                <w:tcPr>
                  <w:tcW w:w="930" w:type="dxa"/>
                  <w:tcBorders>
                    <w:top w:val="single" w:color="auto" w:sz="4" w:space="0"/>
                    <w:left w:val="single" w:color="auto" w:sz="4" w:space="0"/>
                    <w:bottom w:val="single" w:color="auto" w:sz="4" w:space="0"/>
                    <w:right w:val="single" w:color="auto" w:sz="4" w:space="0"/>
                    <w:tl2br w:val="nil"/>
                    <w:tr2bl w:val="nil"/>
                  </w:tcBorders>
                  <w:vAlign w:val="center"/>
                </w:tcPr>
                <w:p w14:paraId="7EB688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化学需氧量</w:t>
                  </w: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14:paraId="3B9B2DD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g/井次-产品</w:t>
                  </w:r>
                </w:p>
              </w:tc>
              <w:tc>
                <w:tcPr>
                  <w:tcW w:w="820" w:type="dxa"/>
                  <w:tcBorders>
                    <w:top w:val="single" w:color="auto" w:sz="4" w:space="0"/>
                    <w:left w:val="single" w:color="auto" w:sz="4" w:space="0"/>
                    <w:bottom w:val="single" w:color="auto" w:sz="4" w:space="0"/>
                    <w:right w:val="single" w:color="auto" w:sz="4" w:space="0"/>
                    <w:tl2br w:val="nil"/>
                    <w:tr2bl w:val="nil"/>
                  </w:tcBorders>
                  <w:vAlign w:val="center"/>
                </w:tcPr>
                <w:p w14:paraId="4B3A258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34679</w:t>
                  </w:r>
                </w:p>
              </w:tc>
              <w:tc>
                <w:tcPr>
                  <w:tcW w:w="1270" w:type="dxa"/>
                  <w:tcBorders>
                    <w:top w:val="single" w:color="auto" w:sz="4" w:space="0"/>
                    <w:left w:val="single" w:color="auto" w:sz="4" w:space="0"/>
                    <w:bottom w:val="single" w:color="auto" w:sz="4" w:space="0"/>
                    <w:right w:val="single" w:color="auto" w:sz="4" w:space="0"/>
                    <w:tl2br w:val="nil"/>
                    <w:tr2bl w:val="nil"/>
                  </w:tcBorders>
                  <w:vAlign w:val="center"/>
                </w:tcPr>
                <w:p w14:paraId="10BFCF5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回收回注</w:t>
                  </w:r>
                </w:p>
              </w:tc>
              <w:tc>
                <w:tcPr>
                  <w:tcW w:w="910" w:type="dxa"/>
                  <w:tcBorders>
                    <w:top w:val="single" w:color="auto" w:sz="4" w:space="0"/>
                    <w:left w:val="single" w:color="auto" w:sz="4" w:space="0"/>
                    <w:bottom w:val="single" w:color="auto" w:sz="4" w:space="0"/>
                    <w:right w:val="single" w:color="auto" w:sz="4" w:space="0"/>
                    <w:tl2br w:val="nil"/>
                    <w:tr2bl w:val="nil"/>
                  </w:tcBorders>
                  <w:vAlign w:val="center"/>
                </w:tcPr>
                <w:p w14:paraId="2982282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r>
            <w:tr w14:paraId="6E47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7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981F495">
                  <w:pPr>
                    <w:pStyle w:val="26"/>
                    <w:framePr w:hSpace="0" w:wrap="auto" w:vAnchor="margin" w:hAnchor="text" w:xAlign="left" w:yAlign="inline"/>
                    <w:rPr>
                      <w:color w:val="000000" w:themeColor="text1"/>
                      <w14:textFill>
                        <w14:solidFill>
                          <w14:schemeClr w14:val="tx1"/>
                        </w14:solidFill>
                      </w14:textFill>
                    </w:rPr>
                  </w:pPr>
                </w:p>
              </w:tc>
              <w:tc>
                <w:tcPr>
                  <w:tcW w:w="89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990ABAF">
                  <w:pPr>
                    <w:pStyle w:val="26"/>
                    <w:framePr w:hSpace="0" w:wrap="auto" w:vAnchor="margin" w:hAnchor="text" w:xAlign="left" w:yAlign="inline"/>
                    <w:rPr>
                      <w:color w:val="000000" w:themeColor="text1"/>
                      <w14:textFill>
                        <w14:solidFill>
                          <w14:schemeClr w14:val="tx1"/>
                        </w14:solidFill>
                      </w14:textFill>
                    </w:rPr>
                  </w:pPr>
                </w:p>
              </w:tc>
              <w:tc>
                <w:tcPr>
                  <w:tcW w:w="9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E17165B">
                  <w:pPr>
                    <w:pStyle w:val="26"/>
                    <w:framePr w:hSpace="0" w:wrap="auto" w:vAnchor="margin" w:hAnchor="text" w:xAlign="left" w:yAlign="inline"/>
                    <w:rPr>
                      <w:color w:val="000000" w:themeColor="text1"/>
                      <w14:textFill>
                        <w14:solidFill>
                          <w14:schemeClr w14:val="tx1"/>
                        </w14:solidFill>
                      </w14:textFill>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6C15E9D">
                  <w:pPr>
                    <w:pStyle w:val="26"/>
                    <w:framePr w:hSpace="0" w:wrap="auto" w:vAnchor="margin" w:hAnchor="text" w:xAlign="left" w:yAlign="inline"/>
                    <w:rPr>
                      <w:color w:val="000000" w:themeColor="text1"/>
                      <w14:textFill>
                        <w14:solidFill>
                          <w14:schemeClr w14:val="tx1"/>
                        </w14:solidFill>
                      </w14:textFill>
                    </w:rPr>
                  </w:pPr>
                </w:p>
              </w:tc>
              <w:tc>
                <w:tcPr>
                  <w:tcW w:w="930" w:type="dxa"/>
                  <w:tcBorders>
                    <w:top w:val="single" w:color="auto" w:sz="4" w:space="0"/>
                    <w:left w:val="single" w:color="auto" w:sz="4" w:space="0"/>
                    <w:bottom w:val="single" w:color="auto" w:sz="4" w:space="0"/>
                    <w:right w:val="single" w:color="auto" w:sz="4" w:space="0"/>
                    <w:tl2br w:val="nil"/>
                    <w:tr2bl w:val="nil"/>
                  </w:tcBorders>
                  <w:vAlign w:val="center"/>
                </w:tcPr>
                <w:p w14:paraId="03577C0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石油类</w:t>
                  </w: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14:paraId="4E3EB3C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g/井次-产品</w:t>
                  </w:r>
                </w:p>
              </w:tc>
              <w:tc>
                <w:tcPr>
                  <w:tcW w:w="820" w:type="dxa"/>
                  <w:tcBorders>
                    <w:top w:val="single" w:color="auto" w:sz="4" w:space="0"/>
                    <w:left w:val="single" w:color="auto" w:sz="4" w:space="0"/>
                    <w:bottom w:val="single" w:color="auto" w:sz="4" w:space="0"/>
                    <w:right w:val="single" w:color="auto" w:sz="4" w:space="0"/>
                    <w:tl2br w:val="nil"/>
                    <w:tr2bl w:val="nil"/>
                  </w:tcBorders>
                  <w:vAlign w:val="center"/>
                </w:tcPr>
                <w:p w14:paraId="56837D7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6122</w:t>
                  </w:r>
                </w:p>
              </w:tc>
              <w:tc>
                <w:tcPr>
                  <w:tcW w:w="1270" w:type="dxa"/>
                  <w:tcBorders>
                    <w:top w:val="single" w:color="auto" w:sz="4" w:space="0"/>
                    <w:left w:val="single" w:color="auto" w:sz="4" w:space="0"/>
                    <w:bottom w:val="single" w:color="auto" w:sz="4" w:space="0"/>
                    <w:right w:val="single" w:color="auto" w:sz="4" w:space="0"/>
                    <w:tl2br w:val="nil"/>
                    <w:tr2bl w:val="nil"/>
                  </w:tcBorders>
                  <w:vAlign w:val="center"/>
                </w:tcPr>
                <w:p w14:paraId="0D71CDA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回收回注</w:t>
                  </w:r>
                </w:p>
              </w:tc>
              <w:tc>
                <w:tcPr>
                  <w:tcW w:w="910" w:type="dxa"/>
                  <w:tcBorders>
                    <w:top w:val="single" w:color="auto" w:sz="4" w:space="0"/>
                    <w:left w:val="single" w:color="auto" w:sz="4" w:space="0"/>
                    <w:bottom w:val="single" w:color="auto" w:sz="4" w:space="0"/>
                    <w:right w:val="single" w:color="auto" w:sz="4" w:space="0"/>
                    <w:tl2br w:val="nil"/>
                    <w:tr2bl w:val="nil"/>
                  </w:tcBorders>
                  <w:vAlign w:val="center"/>
                </w:tcPr>
                <w:p w14:paraId="61EA22D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r>
            <w:bookmarkEnd w:id="24"/>
          </w:tbl>
          <w:p w14:paraId="5A51DF41">
            <w:pPr>
              <w:pStyle w:val="32"/>
              <w:adjustRightInd/>
              <w:snapToGrid/>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本项目属于低渗透油井，</w:t>
            </w:r>
            <w:r>
              <w:rPr>
                <w:rFonts w:hint="eastAsia" w:ascii="Times New Roman" w:hAnsi="Times New Roman"/>
                <w:color w:val="000000" w:themeColor="text1"/>
                <w:sz w:val="24"/>
                <w:szCs w:val="24"/>
                <w14:textFill>
                  <w14:solidFill>
                    <w14:schemeClr w14:val="tx1"/>
                  </w14:solidFill>
                </w14:textFill>
              </w:rPr>
              <w:t>4</w:t>
            </w:r>
            <w:r>
              <w:rPr>
                <w:rFonts w:ascii="Times New Roman" w:hAnsi="Times New Roman"/>
                <w:color w:val="000000" w:themeColor="text1"/>
                <w:sz w:val="24"/>
                <w:szCs w:val="24"/>
                <w14:textFill>
                  <w14:solidFill>
                    <w14:schemeClr w14:val="tx1"/>
                  </w14:solidFill>
                </w14:textFill>
              </w:rPr>
              <w:t>口新井完钻后须进行1次洗井作业，根据《排放源统计调查产排污核算方法和系数手册》（公告2021年第24号）统计结果，本项目井下作业废水污染物产生量见表4-</w:t>
            </w:r>
            <w:r>
              <w:rPr>
                <w:rFonts w:hint="eastAsia" w:ascii="Times New Roman" w:hAnsi="Times New Roman"/>
                <w:color w:val="000000" w:themeColor="text1"/>
                <w:sz w:val="24"/>
                <w:szCs w:val="24"/>
                <w14:textFill>
                  <w14:solidFill>
                    <w14:schemeClr w14:val="tx1"/>
                  </w14:solidFill>
                </w14:textFill>
              </w:rPr>
              <w:t>6</w:t>
            </w:r>
            <w:r>
              <w:rPr>
                <w:rFonts w:ascii="Times New Roman" w:hAnsi="Times New Roman"/>
                <w:snapToGrid w:val="0"/>
                <w:color w:val="000000" w:themeColor="text1"/>
                <w:sz w:val="24"/>
                <w:szCs w:val="24"/>
                <w14:textFill>
                  <w14:solidFill>
                    <w14:schemeClr w14:val="tx1"/>
                  </w14:solidFill>
                </w14:textFill>
              </w:rPr>
              <w:t>。</w:t>
            </w:r>
          </w:p>
          <w:p w14:paraId="11EEA28C">
            <w:pPr>
              <w:pStyle w:val="23"/>
              <w:rPr>
                <w:bCs/>
                <w:color w:val="000000" w:themeColor="text1"/>
                <w:sz w:val="21"/>
                <w:szCs w:val="21"/>
                <w:lang w:bidi="ar"/>
                <w14:textFill>
                  <w14:solidFill>
                    <w14:schemeClr w14:val="tx1"/>
                  </w14:solidFill>
                </w14:textFill>
              </w:rPr>
            </w:pPr>
            <w:r>
              <w:rPr>
                <w:rFonts w:hint="eastAsia"/>
                <w:bCs/>
                <w:color w:val="000000" w:themeColor="text1"/>
                <w:sz w:val="21"/>
                <w:szCs w:val="21"/>
                <w:lang w:bidi="ar"/>
                <w14:textFill>
                  <w14:solidFill>
                    <w14:schemeClr w14:val="tx1"/>
                  </w14:solidFill>
                </w14:textFill>
              </w:rPr>
              <w:t>表4-6  井下作业废水污染物产生量一览表</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2100"/>
              <w:gridCol w:w="1301"/>
              <w:gridCol w:w="1654"/>
              <w:gridCol w:w="2033"/>
            </w:tblGrid>
            <w:tr w14:paraId="64A3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829" w:type="pct"/>
                  <w:noWrap/>
                  <w:vAlign w:val="center"/>
                </w:tcPr>
                <w:p w14:paraId="0ADE97D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污染物</w:t>
                  </w:r>
                </w:p>
              </w:tc>
              <w:tc>
                <w:tcPr>
                  <w:tcW w:w="1235" w:type="pct"/>
                  <w:noWrap/>
                  <w:vAlign w:val="center"/>
                </w:tcPr>
                <w:p w14:paraId="1874222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排污系数</w:t>
                  </w:r>
                </w:p>
              </w:tc>
              <w:tc>
                <w:tcPr>
                  <w:tcW w:w="765" w:type="pct"/>
                  <w:noWrap/>
                  <w:vAlign w:val="center"/>
                </w:tcPr>
                <w:p w14:paraId="3A4EB5C4">
                  <w:pPr>
                    <w:pStyle w:val="26"/>
                    <w:framePr w:hSpace="0" w:wrap="auto" w:vAnchor="margin" w:hAnchor="text" w:xAlign="left" w:yAlign="inline"/>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井数（口）</w:t>
                  </w:r>
                </w:p>
              </w:tc>
              <w:tc>
                <w:tcPr>
                  <w:tcW w:w="973" w:type="pct"/>
                  <w:noWrap/>
                  <w:vAlign w:val="center"/>
                </w:tcPr>
                <w:p w14:paraId="789FEF40">
                  <w:pPr>
                    <w:pStyle w:val="26"/>
                    <w:framePr w:hSpace="0" w:wrap="auto" w:vAnchor="margin" w:hAnchor="text" w:xAlign="left" w:yAlign="inline"/>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产生量（t/a）</w:t>
                  </w:r>
                </w:p>
              </w:tc>
              <w:tc>
                <w:tcPr>
                  <w:tcW w:w="1196" w:type="pct"/>
                  <w:noWrap/>
                  <w:vAlign w:val="center"/>
                </w:tcPr>
                <w:p w14:paraId="2AAA5C4B">
                  <w:pPr>
                    <w:pStyle w:val="26"/>
                    <w:framePr w:hSpace="0" w:wrap="auto" w:vAnchor="margin" w:hAnchor="text" w:xAlign="left" w:yAlign="inline"/>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产生浓度（mg/L）</w:t>
                  </w:r>
                </w:p>
              </w:tc>
            </w:tr>
            <w:tr w14:paraId="4DA7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29" w:type="pct"/>
                  <w:noWrap/>
                  <w:vAlign w:val="center"/>
                </w:tcPr>
                <w:p w14:paraId="6CCF585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洗井废水</w:t>
                  </w:r>
                </w:p>
              </w:tc>
              <w:tc>
                <w:tcPr>
                  <w:tcW w:w="1235" w:type="pct"/>
                  <w:noWrap/>
                  <w:vAlign w:val="center"/>
                </w:tcPr>
                <w:p w14:paraId="697D8D5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27.13</w:t>
                  </w:r>
                  <w:r>
                    <w:rPr>
                      <w:color w:val="000000" w:themeColor="text1"/>
                      <w14:textFill>
                        <w14:solidFill>
                          <w14:schemeClr w14:val="tx1"/>
                        </w14:solidFill>
                      </w14:textFill>
                    </w:rPr>
                    <w:t>t/井次-产品</w:t>
                  </w:r>
                </w:p>
              </w:tc>
              <w:tc>
                <w:tcPr>
                  <w:tcW w:w="765" w:type="pct"/>
                  <w:noWrap/>
                  <w:vAlign w:val="center"/>
                </w:tcPr>
                <w:p w14:paraId="10A3832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973" w:type="pct"/>
                  <w:noWrap/>
                  <w:vAlign w:val="center"/>
                </w:tcPr>
                <w:p w14:paraId="6BEADBAF">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108.52</w:t>
                  </w:r>
                </w:p>
              </w:tc>
              <w:tc>
                <w:tcPr>
                  <w:tcW w:w="1196" w:type="pct"/>
                  <w:noWrap/>
                  <w:vAlign w:val="center"/>
                </w:tcPr>
                <w:p w14:paraId="2BFAC01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13F2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29" w:type="pct"/>
                  <w:noWrap/>
                  <w:vAlign w:val="center"/>
                </w:tcPr>
                <w:p w14:paraId="3B8B00A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化学需氧量</w:t>
                  </w:r>
                </w:p>
              </w:tc>
              <w:tc>
                <w:tcPr>
                  <w:tcW w:w="1235" w:type="pct"/>
                  <w:noWrap/>
                  <w:vAlign w:val="center"/>
                </w:tcPr>
                <w:p w14:paraId="5EA5B1D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34679</w:t>
                  </w:r>
                  <w:r>
                    <w:rPr>
                      <w:color w:val="000000" w:themeColor="text1"/>
                      <w14:textFill>
                        <w14:solidFill>
                          <w14:schemeClr w14:val="tx1"/>
                        </w14:solidFill>
                      </w14:textFill>
                    </w:rPr>
                    <w:t>g/井次-产品</w:t>
                  </w:r>
                </w:p>
              </w:tc>
              <w:tc>
                <w:tcPr>
                  <w:tcW w:w="765" w:type="pct"/>
                  <w:noWrap/>
                  <w:vAlign w:val="center"/>
                </w:tcPr>
                <w:p w14:paraId="15A5039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973" w:type="pct"/>
                  <w:noWrap/>
                  <w:vAlign w:val="center"/>
                </w:tcPr>
                <w:p w14:paraId="76867F7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0.14</w:t>
                  </w:r>
                </w:p>
              </w:tc>
              <w:tc>
                <w:tcPr>
                  <w:tcW w:w="1196" w:type="pct"/>
                  <w:noWrap/>
                  <w:vAlign w:val="center"/>
                </w:tcPr>
                <w:p w14:paraId="20D484A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1290.08</w:t>
                  </w:r>
                </w:p>
              </w:tc>
            </w:tr>
            <w:tr w14:paraId="3721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29" w:type="pct"/>
                  <w:noWrap/>
                  <w:vAlign w:val="center"/>
                </w:tcPr>
                <w:p w14:paraId="57573DB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石油类</w:t>
                  </w:r>
                </w:p>
              </w:tc>
              <w:tc>
                <w:tcPr>
                  <w:tcW w:w="1235" w:type="pct"/>
                  <w:noWrap/>
                  <w:vAlign w:val="center"/>
                </w:tcPr>
                <w:p w14:paraId="48E6984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6122</w:t>
                  </w:r>
                  <w:r>
                    <w:rPr>
                      <w:color w:val="000000" w:themeColor="text1"/>
                      <w14:textFill>
                        <w14:solidFill>
                          <w14:schemeClr w14:val="tx1"/>
                        </w14:solidFill>
                      </w14:textFill>
                    </w:rPr>
                    <w:t>g/井次-产品</w:t>
                  </w:r>
                </w:p>
              </w:tc>
              <w:tc>
                <w:tcPr>
                  <w:tcW w:w="765" w:type="pct"/>
                  <w:noWrap/>
                  <w:vAlign w:val="center"/>
                </w:tcPr>
                <w:p w14:paraId="516CA1A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973" w:type="pct"/>
                  <w:noWrap/>
                  <w:vAlign w:val="center"/>
                </w:tcPr>
                <w:p w14:paraId="4F815C0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0.024</w:t>
                  </w:r>
                </w:p>
              </w:tc>
              <w:tc>
                <w:tcPr>
                  <w:tcW w:w="1196" w:type="pct"/>
                  <w:noWrap/>
                  <w:vAlign w:val="center"/>
                </w:tcPr>
                <w:p w14:paraId="30B5524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221.16</w:t>
                  </w:r>
                </w:p>
              </w:tc>
            </w:tr>
          </w:tbl>
          <w:p w14:paraId="22A82670">
            <w:pPr>
              <w:ind w:firstLine="480"/>
              <w:rPr>
                <w:color w:val="000000" w:themeColor="text1"/>
                <w14:textFill>
                  <w14:solidFill>
                    <w14:schemeClr w14:val="tx1"/>
                  </w14:solidFill>
                </w14:textFill>
              </w:rPr>
            </w:pPr>
            <w:r>
              <w:rPr>
                <w:color w:val="000000" w:themeColor="text1"/>
                <w14:textFill>
                  <w14:solidFill>
                    <w14:schemeClr w14:val="tx1"/>
                  </w14:solidFill>
                </w14:textFill>
              </w:rPr>
              <w:t>试油期</w:t>
            </w:r>
            <w:r>
              <w:rPr>
                <w:rFonts w:hint="eastAsia"/>
                <w:color w:val="000000" w:themeColor="text1"/>
                <w14:textFill>
                  <w14:solidFill>
                    <w14:schemeClr w14:val="tx1"/>
                  </w14:solidFill>
                </w14:textFill>
              </w:rPr>
              <w:t>洗井</w:t>
            </w:r>
            <w:r>
              <w:rPr>
                <w:color w:val="000000" w:themeColor="text1"/>
                <w14:textFill>
                  <w14:solidFill>
                    <w14:schemeClr w14:val="tx1"/>
                  </w14:solidFill>
                </w14:textFill>
              </w:rPr>
              <w:t>废水</w:t>
            </w:r>
            <w:r>
              <w:rPr>
                <w:rFonts w:hint="eastAsia"/>
                <w:color w:val="000000" w:themeColor="text1"/>
                <w14:textFill>
                  <w14:solidFill>
                    <w14:schemeClr w14:val="tx1"/>
                  </w14:solidFill>
                </w14:textFill>
              </w:rPr>
              <w:t>带罐作业，</w:t>
            </w:r>
            <w:r>
              <w:rPr>
                <w:color w:val="000000" w:themeColor="text1"/>
                <w14:textFill>
                  <w14:solidFill>
                    <w14:schemeClr w14:val="tx1"/>
                  </w14:solidFill>
                </w14:textFill>
              </w:rPr>
              <w:t>拉运至</w:t>
            </w:r>
            <w:r>
              <w:rPr>
                <w:rFonts w:hint="eastAsia"/>
                <w:color w:val="000000" w:themeColor="text1"/>
                <w14:textFill>
                  <w14:solidFill>
                    <w14:schemeClr w14:val="tx1"/>
                  </w14:solidFill>
                </w14:textFill>
              </w:rPr>
              <w:t>吉康脱水站采出水处理系统处理后全部回注，不外排</w:t>
            </w:r>
            <w:r>
              <w:rPr>
                <w:color w:val="000000" w:themeColor="text1"/>
                <w14:textFill>
                  <w14:solidFill>
                    <w14:schemeClr w14:val="tx1"/>
                  </w14:solidFill>
                </w14:textFill>
              </w:rPr>
              <w:t>，对环境影响较小。</w:t>
            </w:r>
          </w:p>
          <w:p w14:paraId="27D74BF7">
            <w:pPr>
              <w:ind w:firstLine="480"/>
              <w:rPr>
                <w:color w:val="000000" w:themeColor="text1"/>
                <w14:textFill>
                  <w14:solidFill>
                    <w14:schemeClr w14:val="tx1"/>
                  </w14:solidFill>
                </w14:textFill>
              </w:rPr>
            </w:pPr>
            <w:r>
              <w:rPr>
                <w:color w:val="000000" w:themeColor="text1"/>
                <w14:textFill>
                  <w14:solidFill>
                    <w14:schemeClr w14:val="tx1"/>
                  </w14:solidFill>
                </w14:textFill>
              </w:rPr>
              <w:t>（2）压裂返排液</w:t>
            </w:r>
          </w:p>
          <w:p w14:paraId="0989FBD4">
            <w:pPr>
              <w:pStyle w:val="32"/>
              <w:adjustRightInd/>
              <w:snapToGrid/>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根据《排放源统计调查产排污核算方法和系数手册》（公告2021年第24号）结果，压裂返排液约153.21m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/井。</w:t>
            </w:r>
            <w:bookmarkStart w:id="44" w:name="_GoBack"/>
            <w:bookmarkEnd w:id="44"/>
          </w:p>
          <w:p w14:paraId="0D8EB73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本项目4口井试油期各压裂1次，则压裂返排液产生量为612.84m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color w:val="000000" w:themeColor="text1"/>
                <w:lang w:bidi="ar"/>
                <w14:textFill>
                  <w14:solidFill>
                    <w14:schemeClr w14:val="tx1"/>
                  </w14:solidFill>
                </w14:textFill>
              </w:rPr>
              <w:t>井下作业采用带罐作业，压裂返排液</w:t>
            </w:r>
            <w:r>
              <w:rPr>
                <w:rFonts w:hint="eastAsia"/>
                <w:color w:val="000000" w:themeColor="text1"/>
                <w14:textFill>
                  <w14:solidFill>
                    <w14:schemeClr w14:val="tx1"/>
                  </w14:solidFill>
                </w14:textFill>
              </w:rPr>
              <w:t>进入罐车拉运至吉康脱水站</w:t>
            </w:r>
            <w:r>
              <w:rPr>
                <w:color w:val="000000" w:themeColor="text1"/>
                <w:lang w:bidi="ar"/>
                <w14:textFill>
                  <w14:solidFill>
                    <w14:schemeClr w14:val="tx1"/>
                  </w14:solidFill>
                </w14:textFill>
              </w:rPr>
              <w:t>，拉运过程中</w:t>
            </w:r>
            <w:r>
              <w:rPr>
                <w:rFonts w:hint="eastAsia"/>
                <w:color w:val="000000" w:themeColor="text1"/>
                <w:lang w:bidi="ar"/>
                <w14:textFill>
                  <w14:solidFill>
                    <w14:schemeClr w14:val="tx1"/>
                  </w14:solidFill>
                </w14:textFill>
              </w:rPr>
              <w:t>参考</w:t>
            </w:r>
            <w:r>
              <w:rPr>
                <w:color w:val="000000" w:themeColor="text1"/>
                <w:lang w:bidi="ar"/>
                <w14:textFill>
                  <w14:solidFill>
                    <w14:schemeClr w14:val="tx1"/>
                  </w14:solidFill>
                </w14:textFill>
              </w:rPr>
              <w:t>《危险废物收集</w:t>
            </w:r>
            <w:r>
              <w:rPr>
                <w:rFonts w:hint="eastAsia"/>
                <w:color w:val="000000" w:themeColor="text1"/>
                <w:lang w:bidi="ar"/>
                <w14:textFill>
                  <w14:solidFill>
                    <w14:schemeClr w14:val="tx1"/>
                  </w14:solidFill>
                </w14:textFill>
              </w:rPr>
              <w:t xml:space="preserve"> </w:t>
            </w:r>
            <w:r>
              <w:rPr>
                <w:color w:val="000000" w:themeColor="text1"/>
                <w:lang w:bidi="ar"/>
                <w14:textFill>
                  <w14:solidFill>
                    <w14:schemeClr w14:val="tx1"/>
                  </w14:solidFill>
                </w14:textFill>
              </w:rPr>
              <w:t>贮存</w:t>
            </w:r>
            <w:r>
              <w:rPr>
                <w:rFonts w:hint="eastAsia"/>
                <w:color w:val="000000" w:themeColor="text1"/>
                <w:lang w:bidi="ar"/>
                <w14:textFill>
                  <w14:solidFill>
                    <w14:schemeClr w14:val="tx1"/>
                  </w14:solidFill>
                </w14:textFill>
              </w:rPr>
              <w:t xml:space="preserve"> </w:t>
            </w:r>
            <w:r>
              <w:rPr>
                <w:color w:val="000000" w:themeColor="text1"/>
                <w:lang w:bidi="ar"/>
                <w14:textFill>
                  <w14:solidFill>
                    <w14:schemeClr w14:val="tx1"/>
                  </w14:solidFill>
                </w14:textFill>
              </w:rPr>
              <w:t>运输技术规范（HJ</w:t>
            </w:r>
            <w:r>
              <w:rPr>
                <w:rFonts w:hint="eastAsia"/>
                <w:color w:val="000000" w:themeColor="text1"/>
                <w:lang w:bidi="ar"/>
                <w14:textFill>
                  <w14:solidFill>
                    <w14:schemeClr w14:val="tx1"/>
                  </w14:solidFill>
                </w14:textFill>
              </w:rPr>
              <w:t xml:space="preserve"> </w:t>
            </w:r>
            <w:r>
              <w:rPr>
                <w:color w:val="000000" w:themeColor="text1"/>
                <w:lang w:bidi="ar"/>
                <w14:textFill>
                  <w14:solidFill>
                    <w14:schemeClr w14:val="tx1"/>
                  </w14:solidFill>
                </w14:textFill>
              </w:rPr>
              <w:t>2025-2012）》</w:t>
            </w:r>
            <w:r>
              <w:rPr>
                <w:rFonts w:hint="eastAsia"/>
                <w:color w:val="000000" w:themeColor="text1"/>
                <w:lang w:bidi="ar"/>
                <w14:textFill>
                  <w14:solidFill>
                    <w14:schemeClr w14:val="tx1"/>
                  </w14:solidFill>
                </w14:textFill>
              </w:rPr>
              <w:t>、《危险废物转移管理办法》</w:t>
            </w:r>
            <w:r>
              <w:rPr>
                <w:rFonts w:hint="eastAsia"/>
                <w:color w:val="000000" w:themeColor="text1"/>
                <w:lang w:eastAsia="zh-CN" w:bidi="ar"/>
                <w14:textFill>
                  <w14:solidFill>
                    <w14:schemeClr w14:val="tx1"/>
                  </w14:solidFill>
                </w14:textFill>
              </w:rPr>
              <w:t>（交通运输部令</w:t>
            </w:r>
            <w:r>
              <w:rPr>
                <w:rFonts w:hint="eastAsia"/>
                <w:color w:val="000000" w:themeColor="text1"/>
                <w:lang w:bidi="ar"/>
                <w14:textFill>
                  <w14:solidFill>
                    <w14:schemeClr w14:val="tx1"/>
                  </w14:solidFill>
                </w14:textFill>
              </w:rPr>
              <w:t>第23号，2022年1月1日起实施）等文件要求</w:t>
            </w:r>
            <w:r>
              <w:rPr>
                <w:color w:val="000000" w:themeColor="text1"/>
                <w:lang w:bidi="ar"/>
                <w14:textFill>
                  <w14:solidFill>
                    <w14:schemeClr w14:val="tx1"/>
                  </w14:solidFill>
                </w14:textFill>
              </w:rPr>
              <w:t>；</w:t>
            </w:r>
            <w:r>
              <w:rPr>
                <w:rFonts w:hint="eastAsia"/>
                <w:color w:val="000000" w:themeColor="text1"/>
                <w:lang w:bidi="ar"/>
                <w14:textFill>
                  <w14:solidFill>
                    <w14:schemeClr w14:val="tx1"/>
                  </w14:solidFill>
                </w14:textFill>
              </w:rPr>
              <w:t>根据《排放源统计调查产排污核算方法和系数手册》，压裂返排液属于石油开采行业产生的固体废物，根据《危险废物环境管理指南 陆上石油天然气开采》（2021年12月21日实施），压裂返排液不属于表1石油开采过程中产生的主要危险废物。</w:t>
            </w:r>
            <w:r>
              <w:rPr>
                <w:color w:val="000000" w:themeColor="text1"/>
                <w14:textFill>
                  <w14:solidFill>
                    <w14:schemeClr w14:val="tx1"/>
                  </w14:solidFill>
                </w14:textFill>
              </w:rPr>
              <w:t>压裂返排液进入</w:t>
            </w:r>
            <w:r>
              <w:rPr>
                <w:rFonts w:hint="eastAsia"/>
                <w:color w:val="000000" w:themeColor="text1"/>
                <w14:textFill>
                  <w14:solidFill>
                    <w14:schemeClr w14:val="tx1"/>
                  </w14:solidFill>
                </w14:textFill>
              </w:rPr>
              <w:t>方罐由</w:t>
            </w:r>
            <w:r>
              <w:rPr>
                <w:color w:val="000000" w:themeColor="text1"/>
                <w14:textFill>
                  <w14:solidFill>
                    <w14:schemeClr w14:val="tx1"/>
                  </w14:solidFill>
                </w14:textFill>
              </w:rPr>
              <w:t>罐车拉运至</w:t>
            </w:r>
            <w:r>
              <w:rPr>
                <w:rFonts w:hint="eastAsia"/>
                <w:color w:val="000000" w:themeColor="text1"/>
                <w:spacing w:val="4"/>
                <w14:textFill>
                  <w14:solidFill>
                    <w14:schemeClr w14:val="tx1"/>
                  </w14:solidFill>
                </w14:textFill>
              </w:rPr>
              <w:t>吉康脱水站</w:t>
            </w:r>
            <w:r>
              <w:rPr>
                <w:color w:val="000000" w:themeColor="text1"/>
                <w14:textFill>
                  <w14:solidFill>
                    <w14:schemeClr w14:val="tx1"/>
                  </w14:solidFill>
                </w14:textFill>
              </w:rPr>
              <w:t>，处理达到《碎屑岩油藏注水水质指标技术要求及分析方法》（SY/T5329-2022）中</w:t>
            </w:r>
            <w:r>
              <w:rPr>
                <w:rFonts w:hint="default" w:ascii="Times New Roman" w:hAnsi="Times New Roman" w:eastAsia="宋体" w:cs="Times New Roman"/>
                <w:color w:val="000000" w:themeColor="text1"/>
                <w14:textFill>
                  <w14:solidFill>
                    <w14:schemeClr w14:val="tx1"/>
                  </w14:solidFill>
                </w14:textFill>
              </w:rPr>
              <w:t>Ⅱ</w:t>
            </w:r>
            <w:r>
              <w:rPr>
                <w:rFonts w:hint="default" w:ascii="Times New Roman" w:hAnsi="Times New Roman" w:eastAsia="宋体" w:cs="Times New Roman"/>
                <w:color w:val="000000" w:themeColor="text1"/>
                <w:lang w:val="en-US" w:eastAsia="zh-CN"/>
                <w14:textFill>
                  <w14:solidFill>
                    <w14:schemeClr w14:val="tx1"/>
                  </w14:solidFill>
                </w14:textFill>
              </w:rPr>
              <w:t>级</w:t>
            </w:r>
            <w:r>
              <w:rPr>
                <w:color w:val="000000" w:themeColor="text1"/>
                <w14:textFill>
                  <w14:solidFill>
                    <w14:schemeClr w14:val="tx1"/>
                  </w14:solidFill>
                </w14:textFill>
              </w:rPr>
              <w:t>标准后回注油藏。</w:t>
            </w:r>
            <w:r>
              <w:rPr>
                <w:rFonts w:hint="eastAsia"/>
                <w:color w:val="000000" w:themeColor="text1"/>
                <w14:textFill>
                  <w14:solidFill>
                    <w14:schemeClr w14:val="tx1"/>
                  </w14:solidFill>
                </w14:textFill>
              </w:rPr>
              <w:t>油泥定期交由新疆中建环能北庭环保科技有限公司进行无害化处置。</w:t>
            </w:r>
          </w:p>
          <w:p w14:paraId="3718034A">
            <w:pPr>
              <w:ind w:firstLine="480"/>
              <w:rPr>
                <w:color w:val="000000" w:themeColor="text1"/>
                <w14:textFill>
                  <w14:solidFill>
                    <w14:schemeClr w14:val="tx1"/>
                  </w14:solidFill>
                </w14:textFill>
              </w:rPr>
            </w:pPr>
            <w:r>
              <w:rPr>
                <w:color w:val="000000" w:themeColor="text1"/>
                <w14:textFill>
                  <w14:solidFill>
                    <w14:schemeClr w14:val="tx1"/>
                  </w14:solidFill>
                </w14:textFill>
              </w:rPr>
              <w:t>（3）生活污水</w:t>
            </w:r>
          </w:p>
          <w:p w14:paraId="2F42F1D8">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本项目施工人员</w:t>
            </w:r>
            <w:r>
              <w:rPr>
                <w:rFonts w:hint="eastAsia"/>
                <w:color w:val="000000" w:themeColor="text1"/>
                <w:lang w:val="en-US" w:eastAsia="zh-CN"/>
                <w14:textFill>
                  <w14:solidFill>
                    <w14:schemeClr w14:val="tx1"/>
                  </w14:solidFill>
                </w14:textFill>
              </w:rPr>
              <w:t>40</w:t>
            </w:r>
            <w:r>
              <w:rPr>
                <w:color w:val="000000" w:themeColor="text1"/>
                <w14:textFill>
                  <w14:solidFill>
                    <w14:schemeClr w14:val="tx1"/>
                  </w14:solidFill>
                </w14:textFill>
              </w:rPr>
              <w:t>人，按每人每天用水80L计算，钻井期</w:t>
            </w:r>
            <w:r>
              <w:rPr>
                <w:rFonts w:hint="eastAsia"/>
                <w:color w:val="000000" w:themeColor="text1"/>
                <w14:textFill>
                  <w14:solidFill>
                    <w14:schemeClr w14:val="tx1"/>
                  </w14:solidFill>
                </w14:textFill>
              </w:rPr>
              <w:t>196</w:t>
            </w:r>
            <w:r>
              <w:rPr>
                <w:color w:val="000000" w:themeColor="text1"/>
                <w14:textFill>
                  <w14:solidFill>
                    <w14:schemeClr w14:val="tx1"/>
                  </w14:solidFill>
                </w14:textFill>
              </w:rPr>
              <w:t>天，生活用水</w:t>
            </w:r>
            <w:r>
              <w:rPr>
                <w:rFonts w:hint="eastAsia"/>
                <w:color w:val="000000" w:themeColor="text1"/>
                <w:lang w:eastAsia="zh-CN"/>
                <w14:textFill>
                  <w14:solidFill>
                    <w14:schemeClr w14:val="tx1"/>
                  </w14:solidFill>
                </w14:textFill>
              </w:rPr>
              <w:t>627.2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。生活污水产生量为用水量的80%，预计生活污水产生量为</w:t>
            </w:r>
            <w:r>
              <w:rPr>
                <w:rFonts w:hint="eastAsia"/>
                <w:color w:val="000000" w:themeColor="text1"/>
                <w:lang w:eastAsia="zh-CN"/>
                <w14:textFill>
                  <w14:solidFill>
                    <w14:schemeClr w14:val="tx1"/>
                  </w14:solidFill>
                </w14:textFill>
              </w:rPr>
              <w:t>501.76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。试油期设2人值班，不在井区食宿。</w:t>
            </w:r>
          </w:p>
          <w:p w14:paraId="3644BBA5">
            <w:pPr>
              <w:ind w:firstLine="480"/>
              <w:rPr>
                <w:color w:val="000000" w:themeColor="text1"/>
                <w14:textFill>
                  <w14:solidFill>
                    <w14:schemeClr w14:val="tx1"/>
                  </w14:solidFill>
                </w14:textFill>
              </w:rPr>
            </w:pPr>
            <w:r>
              <w:rPr>
                <w:color w:val="000000" w:themeColor="text1"/>
                <w14:textFill>
                  <w14:solidFill>
                    <w14:schemeClr w14:val="tx1"/>
                  </w14:solidFill>
                </w14:textFill>
              </w:rPr>
              <w:t>钻井生活污水水质与居民生活污水相近似，其中COD产生浓度350mg/L，产生量0.</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8</w:t>
            </w:r>
            <w:r>
              <w:rPr>
                <w:color w:val="000000" w:themeColor="text1"/>
                <w14:textFill>
                  <w14:solidFill>
                    <w14:schemeClr w14:val="tx1"/>
                  </w14:solidFill>
                </w14:textFill>
              </w:rPr>
              <w:t>t；BOD</w:t>
            </w:r>
            <w:r>
              <w:rPr>
                <w:color w:val="000000" w:themeColor="text1"/>
                <w:vertAlign w:val="subscript"/>
                <w14:textFill>
                  <w14:solidFill>
                    <w14:schemeClr w14:val="tx1"/>
                  </w14:solidFill>
                </w14:textFill>
              </w:rPr>
              <w:t>5</w:t>
            </w:r>
            <w:r>
              <w:rPr>
                <w:color w:val="000000" w:themeColor="text1"/>
                <w14:textFill>
                  <w14:solidFill>
                    <w14:schemeClr w14:val="tx1"/>
                  </w14:solidFill>
                </w14:textFill>
              </w:rPr>
              <w:t>产生浓度300mg/L，产生量0.</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t；SS产生浓度200mg/L，产生量0</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t；NH</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-N产生浓度30mg/L，产生量0.0</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t。</w:t>
            </w:r>
          </w:p>
          <w:p w14:paraId="05DF6A0F">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本项目生活污水排入防渗收集池</w:t>
            </w:r>
            <w:r>
              <w:rPr>
                <w:rFonts w:hint="eastAsia"/>
                <w:color w:val="000000" w:themeColor="text1"/>
                <w14:textFill>
                  <w14:solidFill>
                    <w14:schemeClr w14:val="tx1"/>
                  </w14:solidFill>
                </w14:textFill>
              </w:rPr>
              <w:t>（容积30m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，定期清运至</w:t>
            </w:r>
            <w:r>
              <w:rPr>
                <w:rFonts w:hint="eastAsia"/>
                <w:color w:val="000000" w:themeColor="text1"/>
                <w:szCs w:val="21"/>
                <w14:textFill>
                  <w14:solidFill>
                    <w14:schemeClr w14:val="tx1"/>
                  </w14:solidFill>
                </w14:textFill>
              </w:rPr>
              <w:t>吉木萨尔县</w:t>
            </w:r>
            <w:r>
              <w:rPr>
                <w:color w:val="000000" w:themeColor="text1"/>
                <w:szCs w:val="21"/>
                <w14:textFill>
                  <w14:solidFill>
                    <w14:schemeClr w14:val="tx1"/>
                  </w14:solidFill>
                </w14:textFill>
              </w:rPr>
              <w:t>污水处理</w:t>
            </w:r>
            <w:r>
              <w:rPr>
                <w:rFonts w:hint="eastAsia"/>
                <w:color w:val="000000" w:themeColor="text1"/>
                <w:szCs w:val="21"/>
                <w14:textFill>
                  <w14:solidFill>
                    <w14:schemeClr w14:val="tx1"/>
                  </w14:solidFill>
                </w14:textFill>
              </w:rPr>
              <w:t>厂</w:t>
            </w:r>
            <w:r>
              <w:rPr>
                <w:color w:val="000000" w:themeColor="text1"/>
                <w14:textFill>
                  <w14:solidFill>
                    <w14:schemeClr w14:val="tx1"/>
                  </w14:solidFill>
                </w14:textFill>
              </w:rPr>
              <w:t>处理。</w:t>
            </w:r>
          </w:p>
          <w:p w14:paraId="66F46F01">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本项目废水合规处理，不会对区域水环境产生不利影响。本项目施工期各类废水污染物统计情况见表4-</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w:t>
            </w:r>
          </w:p>
          <w:p w14:paraId="4A5363FC">
            <w:pPr>
              <w:pStyle w:val="25"/>
              <w:spacing w:line="360" w:lineRule="auto"/>
              <w:rPr>
                <w:rFonts w:hint="default"/>
                <w:color w:val="000000" w:themeColor="text1"/>
                <w14:textFill>
                  <w14:solidFill>
                    <w14:schemeClr w14:val="tx1"/>
                  </w14:solidFill>
                </w14:textFill>
              </w:rPr>
            </w:pPr>
            <w:bookmarkStart w:id="25" w:name="_Ref490401896"/>
            <w:r>
              <w:rPr>
                <w:rFonts w:hint="default"/>
                <w:color w:val="000000" w:themeColor="text1"/>
                <w14:textFill>
                  <w14:solidFill>
                    <w14:schemeClr w14:val="tx1"/>
                  </w14:solidFill>
                </w14:textFill>
              </w:rPr>
              <w:t>表</w:t>
            </w:r>
            <w:bookmarkEnd w:id="25"/>
            <w:r>
              <w:rPr>
                <w:rFonts w:hint="default"/>
                <w:color w:val="000000" w:themeColor="text1"/>
                <w14:textFill>
                  <w14:solidFill>
                    <w14:schemeClr w14:val="tx1"/>
                  </w14:solidFill>
                </w14:textFill>
              </w:rPr>
              <w:t>4-</w:t>
            </w:r>
            <w:r>
              <w:rPr>
                <w:color w:val="000000" w:themeColor="text1"/>
                <w14:textFill>
                  <w14:solidFill>
                    <w14:schemeClr w14:val="tx1"/>
                  </w14:solidFill>
                </w14:textFill>
              </w:rPr>
              <w:t>7</w:t>
            </w:r>
            <w:r>
              <w:rPr>
                <w:rFonts w:hint="default"/>
                <w:color w:val="000000" w:themeColor="text1"/>
                <w14:textFill>
                  <w14:solidFill>
                    <w14:schemeClr w14:val="tx1"/>
                  </w14:solidFill>
                </w14:textFill>
              </w:rPr>
              <w:t xml:space="preserve">  项目废水污染物产生量及去向</w:t>
            </w:r>
          </w:p>
          <w:tbl>
            <w:tblPr>
              <w:tblStyle w:val="16"/>
              <w:tblW w:w="8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1438"/>
              <w:gridCol w:w="1086"/>
              <w:gridCol w:w="5084"/>
            </w:tblGrid>
            <w:tr w14:paraId="66B3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7C2FA69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1438" w:type="dxa"/>
                  <w:tcBorders>
                    <w:top w:val="single" w:color="auto" w:sz="4" w:space="0"/>
                    <w:left w:val="single" w:color="auto" w:sz="4" w:space="0"/>
                    <w:bottom w:val="single" w:color="auto" w:sz="4" w:space="0"/>
                    <w:right w:val="single" w:color="auto" w:sz="4" w:space="0"/>
                    <w:tl2br w:val="nil"/>
                    <w:tr2bl w:val="nil"/>
                  </w:tcBorders>
                  <w:vAlign w:val="center"/>
                </w:tcPr>
                <w:p w14:paraId="4B16EC3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污染源</w:t>
                  </w:r>
                </w:p>
              </w:tc>
              <w:tc>
                <w:tcPr>
                  <w:tcW w:w="1086" w:type="dxa"/>
                  <w:tcBorders>
                    <w:top w:val="single" w:color="auto" w:sz="4" w:space="0"/>
                    <w:left w:val="single" w:color="auto" w:sz="4" w:space="0"/>
                    <w:bottom w:val="single" w:color="auto" w:sz="4" w:space="0"/>
                    <w:right w:val="single" w:color="auto" w:sz="4" w:space="0"/>
                    <w:tl2br w:val="nil"/>
                    <w:tr2bl w:val="nil"/>
                  </w:tcBorders>
                  <w:vAlign w:val="center"/>
                </w:tcPr>
                <w:p w14:paraId="4970A91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产生量</w:t>
                  </w:r>
                </w:p>
              </w:tc>
              <w:tc>
                <w:tcPr>
                  <w:tcW w:w="5084" w:type="dxa"/>
                  <w:tcBorders>
                    <w:top w:val="single" w:color="auto" w:sz="4" w:space="0"/>
                    <w:left w:val="single" w:color="auto" w:sz="4" w:space="0"/>
                    <w:bottom w:val="single" w:color="auto" w:sz="4" w:space="0"/>
                    <w:right w:val="single" w:color="auto" w:sz="4" w:space="0"/>
                    <w:tl2br w:val="nil"/>
                    <w:tr2bl w:val="nil"/>
                  </w:tcBorders>
                  <w:vAlign w:val="center"/>
                </w:tcPr>
                <w:p w14:paraId="02147AA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处理去向</w:t>
                  </w:r>
                </w:p>
              </w:tc>
            </w:tr>
            <w:tr w14:paraId="11E4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0108DB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8" w:type="dxa"/>
                  <w:tcBorders>
                    <w:top w:val="single" w:color="auto" w:sz="4" w:space="0"/>
                    <w:left w:val="single" w:color="auto" w:sz="4" w:space="0"/>
                    <w:bottom w:val="single" w:color="auto" w:sz="4" w:space="0"/>
                    <w:right w:val="single" w:color="auto" w:sz="4" w:space="0"/>
                    <w:tl2br w:val="nil"/>
                    <w:tr2bl w:val="nil"/>
                  </w:tcBorders>
                  <w:vAlign w:val="center"/>
                </w:tcPr>
                <w:p w14:paraId="4BCB49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洗井废水</w:t>
                  </w:r>
                </w:p>
              </w:tc>
              <w:tc>
                <w:tcPr>
                  <w:tcW w:w="1086" w:type="dxa"/>
                  <w:tcBorders>
                    <w:top w:val="single" w:color="auto" w:sz="4" w:space="0"/>
                    <w:left w:val="single" w:color="auto" w:sz="4" w:space="0"/>
                    <w:bottom w:val="single" w:color="auto" w:sz="4" w:space="0"/>
                    <w:right w:val="single" w:color="auto" w:sz="4" w:space="0"/>
                    <w:tl2br w:val="nil"/>
                    <w:tr2bl w:val="nil"/>
                  </w:tcBorders>
                  <w:vAlign w:val="center"/>
                </w:tcPr>
                <w:p w14:paraId="50DBC60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108.52</w:t>
                  </w:r>
                  <w:r>
                    <w:rPr>
                      <w:color w:val="000000" w:themeColor="text1"/>
                      <w14:textFill>
                        <w14:solidFill>
                          <w14:schemeClr w14:val="tx1"/>
                        </w14:solidFill>
                      </w14:textFill>
                    </w:rPr>
                    <w:t>t</w:t>
                  </w:r>
                </w:p>
              </w:tc>
              <w:tc>
                <w:tcPr>
                  <w:tcW w:w="5084" w:type="dxa"/>
                  <w:tcBorders>
                    <w:top w:val="single" w:color="auto" w:sz="4" w:space="0"/>
                    <w:left w:val="single" w:color="auto" w:sz="4" w:space="0"/>
                    <w:bottom w:val="single" w:color="auto" w:sz="4" w:space="0"/>
                    <w:right w:val="single" w:color="auto" w:sz="4" w:space="0"/>
                    <w:tl2br w:val="nil"/>
                    <w:tr2bl w:val="nil"/>
                  </w:tcBorders>
                  <w:vAlign w:val="center"/>
                </w:tcPr>
                <w:p w14:paraId="1A49879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洗井废水采用专用废液收集罐收集后运至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的污水处理系统处理达标后回注油藏</w:t>
                  </w:r>
                </w:p>
              </w:tc>
            </w:tr>
            <w:tr w14:paraId="624C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7EDB124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1438" w:type="dxa"/>
                  <w:tcBorders>
                    <w:top w:val="single" w:color="auto" w:sz="4" w:space="0"/>
                    <w:left w:val="single" w:color="auto" w:sz="4" w:space="0"/>
                    <w:bottom w:val="single" w:color="auto" w:sz="4" w:space="0"/>
                    <w:right w:val="single" w:color="auto" w:sz="4" w:space="0"/>
                    <w:tl2br w:val="nil"/>
                    <w:tr2bl w:val="nil"/>
                  </w:tcBorders>
                  <w:vAlign w:val="center"/>
                </w:tcPr>
                <w:p w14:paraId="3559568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生活污水</w:t>
                  </w:r>
                </w:p>
              </w:tc>
              <w:tc>
                <w:tcPr>
                  <w:tcW w:w="1086" w:type="dxa"/>
                  <w:tcBorders>
                    <w:top w:val="single" w:color="auto" w:sz="4" w:space="0"/>
                    <w:left w:val="single" w:color="auto" w:sz="4" w:space="0"/>
                    <w:bottom w:val="single" w:color="auto" w:sz="4" w:space="0"/>
                    <w:right w:val="single" w:color="auto" w:sz="4" w:space="0"/>
                    <w:tl2br w:val="nil"/>
                    <w:tr2bl w:val="nil"/>
                  </w:tcBorders>
                  <w:vAlign w:val="center"/>
                </w:tcPr>
                <w:p w14:paraId="3F597B5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501.76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5084" w:type="dxa"/>
                  <w:tcBorders>
                    <w:top w:val="single" w:color="auto" w:sz="4" w:space="0"/>
                    <w:left w:val="single" w:color="auto" w:sz="4" w:space="0"/>
                    <w:bottom w:val="single" w:color="auto" w:sz="4" w:space="0"/>
                    <w:right w:val="single" w:color="auto" w:sz="4" w:space="0"/>
                    <w:tl2br w:val="nil"/>
                    <w:tr2bl w:val="nil"/>
                  </w:tcBorders>
                  <w:vAlign w:val="center"/>
                </w:tcPr>
                <w:p w14:paraId="66DDB3EF">
                  <w:pPr>
                    <w:pStyle w:val="26"/>
                    <w:framePr w:hSpace="0" w:wrap="auto" w:vAnchor="margin" w:hAnchor="text" w:xAlign="left" w:yAlign="in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生活污水排入防渗收集池，施工期定期清运至</w:t>
                  </w:r>
                  <w:r>
                    <w:rPr>
                      <w:rFonts w:hint="eastAsia"/>
                      <w:color w:val="000000" w:themeColor="text1"/>
                      <w:sz w:val="21"/>
                      <w:szCs w:val="21"/>
                      <w14:textFill>
                        <w14:solidFill>
                          <w14:schemeClr w14:val="tx1"/>
                        </w14:solidFill>
                      </w14:textFill>
                    </w:rPr>
                    <w:t>吉木萨尔县污水处理厂</w:t>
                  </w:r>
                  <w:r>
                    <w:rPr>
                      <w:color w:val="000000" w:themeColor="text1"/>
                      <w:sz w:val="21"/>
                      <w:szCs w:val="21"/>
                      <w14:textFill>
                        <w14:solidFill>
                          <w14:schemeClr w14:val="tx1"/>
                        </w14:solidFill>
                      </w14:textFill>
                    </w:rPr>
                    <w:t>处理</w:t>
                  </w:r>
                </w:p>
              </w:tc>
            </w:tr>
            <w:tr w14:paraId="14E8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38EB978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1438" w:type="dxa"/>
                  <w:tcBorders>
                    <w:top w:val="single" w:color="auto" w:sz="4" w:space="0"/>
                    <w:left w:val="single" w:color="auto" w:sz="4" w:space="0"/>
                    <w:bottom w:val="single" w:color="auto" w:sz="4" w:space="0"/>
                    <w:right w:val="single" w:color="auto" w:sz="4" w:space="0"/>
                    <w:tl2br w:val="nil"/>
                    <w:tr2bl w:val="nil"/>
                  </w:tcBorders>
                  <w:vAlign w:val="center"/>
                </w:tcPr>
                <w:p w14:paraId="4120327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压裂返排液</w:t>
                  </w:r>
                </w:p>
              </w:tc>
              <w:tc>
                <w:tcPr>
                  <w:tcW w:w="1086" w:type="dxa"/>
                  <w:tcBorders>
                    <w:top w:val="single" w:color="auto" w:sz="4" w:space="0"/>
                    <w:left w:val="single" w:color="auto" w:sz="4" w:space="0"/>
                    <w:bottom w:val="single" w:color="auto" w:sz="4" w:space="0"/>
                    <w:right w:val="single" w:color="auto" w:sz="4" w:space="0"/>
                    <w:tl2br w:val="nil"/>
                    <w:tr2bl w:val="nil"/>
                  </w:tcBorders>
                  <w:vAlign w:val="center"/>
                </w:tcPr>
                <w:p w14:paraId="0B3CC9B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612.84</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5084" w:type="dxa"/>
                  <w:tcBorders>
                    <w:top w:val="single" w:color="auto" w:sz="4" w:space="0"/>
                    <w:left w:val="single" w:color="auto" w:sz="4" w:space="0"/>
                    <w:bottom w:val="single" w:color="auto" w:sz="4" w:space="0"/>
                    <w:right w:val="single" w:color="auto" w:sz="4" w:space="0"/>
                    <w:tl2br w:val="nil"/>
                    <w:tr2bl w:val="nil"/>
                  </w:tcBorders>
                  <w:vAlign w:val="center"/>
                </w:tcPr>
                <w:p w14:paraId="361313B9">
                  <w:pPr>
                    <w:pStyle w:val="26"/>
                    <w:framePr w:hSpace="0" w:wrap="auto" w:vAnchor="margin" w:hAnchor="text" w:xAlign="left" w:yAlign="in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压裂返排液进入罐车</w:t>
                  </w:r>
                  <w:r>
                    <w:rPr>
                      <w:color w:val="000000" w:themeColor="text1"/>
                      <w:spacing w:val="4"/>
                      <w:sz w:val="21"/>
                      <w:szCs w:val="21"/>
                      <w14:textFill>
                        <w14:solidFill>
                          <w14:schemeClr w14:val="tx1"/>
                        </w14:solidFill>
                      </w14:textFill>
                    </w:rPr>
                    <w:t>拉</w:t>
                  </w:r>
                  <w:r>
                    <w:rPr>
                      <w:color w:val="000000" w:themeColor="text1"/>
                      <w:sz w:val="21"/>
                      <w:szCs w:val="21"/>
                      <w14:textFill>
                        <w14:solidFill>
                          <w14:schemeClr w14:val="tx1"/>
                        </w14:solidFill>
                      </w14:textFill>
                    </w:rPr>
                    <w:t>运至</w:t>
                  </w:r>
                  <w:r>
                    <w:rPr>
                      <w:rFonts w:hint="eastAsia"/>
                      <w:color w:val="000000" w:themeColor="text1"/>
                      <w:sz w:val="21"/>
                      <w:szCs w:val="21"/>
                      <w14:textFill>
                        <w14:solidFill>
                          <w14:schemeClr w14:val="tx1"/>
                        </w14:solidFill>
                      </w14:textFill>
                    </w:rPr>
                    <w:t>吉康脱水站</w:t>
                  </w:r>
                  <w:r>
                    <w:rPr>
                      <w:color w:val="000000" w:themeColor="text1"/>
                      <w:sz w:val="21"/>
                      <w:szCs w:val="21"/>
                      <w14:textFill>
                        <w14:solidFill>
                          <w14:schemeClr w14:val="tx1"/>
                        </w14:solidFill>
                      </w14:textFill>
                    </w:rPr>
                    <w:t>采出水处理系统处理，处理达到《碎屑岩油藏注水水质指标技术要求及分析方法》（SY/T5329-2022）中</w:t>
                  </w:r>
                  <w:r>
                    <w:rPr>
                      <w:rFonts w:hint="default" w:ascii="Times New Roman" w:hAnsi="Times New Roman" w:eastAsia="宋体" w:cs="Times New Roman"/>
                      <w:color w:val="000000" w:themeColor="text1"/>
                      <w:sz w:val="21"/>
                      <w:szCs w:val="21"/>
                      <w14:textFill>
                        <w14:solidFill>
                          <w14:schemeClr w14:val="tx1"/>
                        </w14:solidFill>
                      </w14:textFill>
                    </w:rPr>
                    <w:t>Ⅱ</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级</w:t>
                  </w:r>
                  <w:r>
                    <w:rPr>
                      <w:color w:val="000000" w:themeColor="text1"/>
                      <w:sz w:val="21"/>
                      <w:szCs w:val="21"/>
                      <w14:textFill>
                        <w14:solidFill>
                          <w14:schemeClr w14:val="tx1"/>
                        </w14:solidFill>
                      </w14:textFill>
                    </w:rPr>
                    <w:t>标准后回注油藏</w:t>
                  </w:r>
                </w:p>
              </w:tc>
            </w:tr>
            <w:bookmarkEnd w:id="15"/>
          </w:tbl>
          <w:p w14:paraId="35AD4F63">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施工期及试油期噪声影响分析</w:t>
            </w:r>
          </w:p>
          <w:p w14:paraId="54CB4DC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钻井期的噪声主要来源于钻井设备、泥浆泵、振动筛等连续性噪声，噪声源强在85~100dB(A)。试油期的噪声主要来源于柴油发电机、柴油动力机。主要噪声源强及特性见表4-</w:t>
            </w:r>
            <w:r>
              <w:rPr>
                <w:rFonts w:hint="eastAsia" w:ascii="Times New Roman" w:hAnsi="Times New Roman"/>
                <w:color w:val="000000" w:themeColor="text1"/>
                <w:sz w:val="24"/>
                <w:szCs w:val="24"/>
                <w14:textFill>
                  <w14:solidFill>
                    <w14:schemeClr w14:val="tx1"/>
                  </w14:solidFill>
                </w14:textFill>
              </w:rPr>
              <w:t>8</w:t>
            </w:r>
            <w:r>
              <w:rPr>
                <w:rFonts w:ascii="Times New Roman" w:hAnsi="Times New Roman"/>
                <w:color w:val="000000" w:themeColor="text1"/>
                <w:sz w:val="24"/>
                <w:szCs w:val="24"/>
                <w14:textFill>
                  <w14:solidFill>
                    <w14:schemeClr w14:val="tx1"/>
                  </w14:solidFill>
                </w14:textFill>
              </w:rPr>
              <w:t>。</w:t>
            </w:r>
          </w:p>
          <w:p w14:paraId="16728EDA">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w:t>
            </w:r>
            <w:r>
              <w:rPr>
                <w:rFonts w:hint="eastAsia"/>
                <w:bCs/>
                <w:color w:val="000000" w:themeColor="text1"/>
                <w:sz w:val="21"/>
                <w:szCs w:val="21"/>
                <w14:textFill>
                  <w14:solidFill>
                    <w14:schemeClr w14:val="tx1"/>
                  </w14:solidFill>
                </w14:textFill>
              </w:rPr>
              <w:t>8</w:t>
            </w:r>
            <w:r>
              <w:rPr>
                <w:bCs/>
                <w:color w:val="000000" w:themeColor="text1"/>
                <w:sz w:val="21"/>
                <w:szCs w:val="21"/>
                <w14:textFill>
                  <w14:solidFill>
                    <w14:schemeClr w14:val="tx1"/>
                  </w14:solidFill>
                </w14:textFill>
              </w:rPr>
              <w:t xml:space="preserve">  钻井和试油期主要噪声源强特性单位：dB(A)</w:t>
            </w:r>
          </w:p>
          <w:tbl>
            <w:tblPr>
              <w:tblStyle w:val="1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57" w:type="dxa"/>
                <w:bottom w:w="0" w:type="dxa"/>
                <w:right w:w="57" w:type="dxa"/>
              </w:tblCellMar>
            </w:tblPr>
            <w:tblGrid>
              <w:gridCol w:w="785"/>
              <w:gridCol w:w="1501"/>
              <w:gridCol w:w="895"/>
              <w:gridCol w:w="1035"/>
              <w:gridCol w:w="861"/>
              <w:gridCol w:w="1163"/>
              <w:gridCol w:w="1236"/>
              <w:gridCol w:w="1028"/>
            </w:tblGrid>
            <w:tr w14:paraId="1E6C7F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tcBorders>
                    <w:top w:val="single" w:color="auto" w:sz="4" w:space="0"/>
                    <w:left w:val="single" w:color="auto" w:sz="4" w:space="0"/>
                    <w:bottom w:val="single" w:color="auto" w:sz="4" w:space="0"/>
                    <w:right w:val="single" w:color="auto" w:sz="4" w:space="0"/>
                  </w:tcBorders>
                  <w:vAlign w:val="center"/>
                </w:tcPr>
                <w:p w14:paraId="43DEFB5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时段</w:t>
                  </w:r>
                </w:p>
              </w:tc>
              <w:tc>
                <w:tcPr>
                  <w:tcW w:w="882" w:type="pct"/>
                  <w:tcBorders>
                    <w:top w:val="single" w:color="auto" w:sz="4" w:space="0"/>
                    <w:left w:val="single" w:color="auto" w:sz="4" w:space="0"/>
                    <w:bottom w:val="single" w:color="auto" w:sz="4" w:space="0"/>
                    <w:right w:val="single" w:color="auto" w:sz="4" w:space="0"/>
                  </w:tcBorders>
                  <w:vAlign w:val="center"/>
                </w:tcPr>
                <w:p w14:paraId="5C5D10A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噪声设备</w:t>
                  </w:r>
                </w:p>
              </w:tc>
              <w:tc>
                <w:tcPr>
                  <w:tcW w:w="526" w:type="pct"/>
                  <w:tcBorders>
                    <w:top w:val="single" w:color="auto" w:sz="4" w:space="0"/>
                    <w:left w:val="single" w:color="auto" w:sz="4" w:space="0"/>
                    <w:bottom w:val="single" w:color="auto" w:sz="4" w:space="0"/>
                    <w:right w:val="single" w:color="auto" w:sz="4" w:space="0"/>
                  </w:tcBorders>
                  <w:vAlign w:val="center"/>
                </w:tcPr>
                <w:p w14:paraId="7954743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数量（个）</w:t>
                  </w:r>
                </w:p>
              </w:tc>
              <w:tc>
                <w:tcPr>
                  <w:tcW w:w="608" w:type="pct"/>
                  <w:tcBorders>
                    <w:top w:val="single" w:color="auto" w:sz="4" w:space="0"/>
                    <w:left w:val="single" w:color="auto" w:sz="4" w:space="0"/>
                    <w:bottom w:val="single" w:color="auto" w:sz="4" w:space="0"/>
                    <w:right w:val="single" w:color="auto" w:sz="4" w:space="0"/>
                  </w:tcBorders>
                  <w:vAlign w:val="center"/>
                </w:tcPr>
                <w:p w14:paraId="37FA4502">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单台源强</w:t>
                  </w:r>
                </w:p>
              </w:tc>
              <w:tc>
                <w:tcPr>
                  <w:tcW w:w="506" w:type="pct"/>
                  <w:tcBorders>
                    <w:top w:val="single" w:color="auto" w:sz="4" w:space="0"/>
                    <w:left w:val="single" w:color="auto" w:sz="4" w:space="0"/>
                    <w:bottom w:val="single" w:color="auto" w:sz="4" w:space="0"/>
                    <w:right w:val="single" w:color="auto" w:sz="4" w:space="0"/>
                  </w:tcBorders>
                  <w:vAlign w:val="center"/>
                </w:tcPr>
                <w:p w14:paraId="1736230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距声源</w:t>
                  </w:r>
                </w:p>
              </w:tc>
              <w:tc>
                <w:tcPr>
                  <w:tcW w:w="683" w:type="pct"/>
                  <w:tcBorders>
                    <w:top w:val="single" w:color="auto" w:sz="4" w:space="0"/>
                    <w:left w:val="single" w:color="auto" w:sz="4" w:space="0"/>
                    <w:bottom w:val="single" w:color="auto" w:sz="4" w:space="0"/>
                    <w:right w:val="single" w:color="auto" w:sz="4" w:space="0"/>
                  </w:tcBorders>
                  <w:vAlign w:val="center"/>
                </w:tcPr>
                <w:p w14:paraId="12EAEAC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噪声特性</w:t>
                  </w:r>
                </w:p>
              </w:tc>
              <w:tc>
                <w:tcPr>
                  <w:tcW w:w="726" w:type="pct"/>
                  <w:tcBorders>
                    <w:top w:val="single" w:color="auto" w:sz="4" w:space="0"/>
                    <w:left w:val="single" w:color="auto" w:sz="4" w:space="0"/>
                    <w:bottom w:val="single" w:color="auto" w:sz="4" w:space="0"/>
                    <w:right w:val="single" w:color="auto" w:sz="4" w:space="0"/>
                  </w:tcBorders>
                  <w:vAlign w:val="center"/>
                </w:tcPr>
                <w:p w14:paraId="593DE4A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排放时间</w:t>
                  </w:r>
                </w:p>
              </w:tc>
              <w:tc>
                <w:tcPr>
                  <w:tcW w:w="604" w:type="pct"/>
                  <w:tcBorders>
                    <w:top w:val="single" w:color="auto" w:sz="4" w:space="0"/>
                    <w:left w:val="single" w:color="auto" w:sz="4" w:space="0"/>
                    <w:bottom w:val="single" w:color="auto" w:sz="4" w:space="0"/>
                    <w:right w:val="single" w:color="auto" w:sz="4" w:space="0"/>
                  </w:tcBorders>
                  <w:vAlign w:val="center"/>
                </w:tcPr>
                <w:p w14:paraId="367AC1E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声源种类</w:t>
                  </w:r>
                </w:p>
              </w:tc>
            </w:tr>
            <w:tr w14:paraId="360B2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restart"/>
                  <w:tcBorders>
                    <w:top w:val="single" w:color="auto" w:sz="4" w:space="0"/>
                    <w:left w:val="single" w:color="auto" w:sz="4" w:space="0"/>
                    <w:right w:val="single" w:color="auto" w:sz="4" w:space="0"/>
                  </w:tcBorders>
                  <w:vAlign w:val="center"/>
                </w:tcPr>
                <w:p w14:paraId="437645E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w:t>
                  </w:r>
                </w:p>
                <w:p w14:paraId="2B639B1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期</w:t>
                  </w:r>
                </w:p>
              </w:tc>
              <w:tc>
                <w:tcPr>
                  <w:tcW w:w="882" w:type="pct"/>
                  <w:tcBorders>
                    <w:top w:val="single" w:color="auto" w:sz="4" w:space="0"/>
                    <w:left w:val="single" w:color="auto" w:sz="4" w:space="0"/>
                    <w:bottom w:val="single" w:color="auto" w:sz="4" w:space="0"/>
                    <w:right w:val="single" w:color="auto" w:sz="4" w:space="0"/>
                  </w:tcBorders>
                  <w:vAlign w:val="center"/>
                </w:tcPr>
                <w:p w14:paraId="274166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钻井设备</w:t>
                  </w:r>
                </w:p>
              </w:tc>
              <w:tc>
                <w:tcPr>
                  <w:tcW w:w="526" w:type="pct"/>
                  <w:tcBorders>
                    <w:top w:val="single" w:color="auto" w:sz="4" w:space="0"/>
                    <w:left w:val="single" w:color="auto" w:sz="4" w:space="0"/>
                    <w:bottom w:val="single" w:color="auto" w:sz="4" w:space="0"/>
                    <w:right w:val="single" w:color="auto" w:sz="4" w:space="0"/>
                  </w:tcBorders>
                  <w:vAlign w:val="center"/>
                </w:tcPr>
                <w:p w14:paraId="13011A0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608" w:type="pct"/>
                  <w:tcBorders>
                    <w:top w:val="single" w:color="auto" w:sz="4" w:space="0"/>
                    <w:left w:val="single" w:color="auto" w:sz="4" w:space="0"/>
                    <w:bottom w:val="single" w:color="auto" w:sz="4" w:space="0"/>
                    <w:right w:val="single" w:color="auto" w:sz="4" w:space="0"/>
                  </w:tcBorders>
                  <w:vAlign w:val="center"/>
                </w:tcPr>
                <w:p w14:paraId="2C4FB4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w:t>
                  </w:r>
                </w:p>
              </w:tc>
              <w:tc>
                <w:tcPr>
                  <w:tcW w:w="506" w:type="pct"/>
                  <w:tcBorders>
                    <w:top w:val="single" w:color="auto" w:sz="4" w:space="0"/>
                    <w:left w:val="single" w:color="auto" w:sz="4" w:space="0"/>
                    <w:bottom w:val="single" w:color="auto" w:sz="4" w:space="0"/>
                    <w:right w:val="single" w:color="auto" w:sz="4" w:space="0"/>
                  </w:tcBorders>
                  <w:vAlign w:val="center"/>
                </w:tcPr>
                <w:p w14:paraId="08C174A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1m</w:t>
                  </w:r>
                </w:p>
              </w:tc>
              <w:tc>
                <w:tcPr>
                  <w:tcW w:w="683" w:type="pct"/>
                  <w:tcBorders>
                    <w:top w:val="single" w:color="auto" w:sz="4" w:space="0"/>
                    <w:left w:val="single" w:color="auto" w:sz="4" w:space="0"/>
                    <w:bottom w:val="single" w:color="auto" w:sz="4" w:space="0"/>
                    <w:right w:val="single" w:color="auto" w:sz="4" w:space="0"/>
                  </w:tcBorders>
                  <w:vAlign w:val="center"/>
                </w:tcPr>
                <w:p w14:paraId="00A4056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bottom w:val="single" w:color="auto" w:sz="4" w:space="0"/>
                    <w:right w:val="single" w:color="auto" w:sz="4" w:space="0"/>
                  </w:tcBorders>
                  <w:vAlign w:val="center"/>
                </w:tcPr>
                <w:p w14:paraId="2F6F194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昼夜连续</w:t>
                  </w:r>
                </w:p>
              </w:tc>
              <w:tc>
                <w:tcPr>
                  <w:tcW w:w="604" w:type="pct"/>
                  <w:tcBorders>
                    <w:top w:val="single" w:color="auto" w:sz="4" w:space="0"/>
                    <w:left w:val="single" w:color="auto" w:sz="4" w:space="0"/>
                    <w:bottom w:val="single" w:color="auto" w:sz="4" w:space="0"/>
                    <w:right w:val="single" w:color="auto" w:sz="4" w:space="0"/>
                  </w:tcBorders>
                  <w:vAlign w:val="center"/>
                </w:tcPr>
                <w:p w14:paraId="5428A33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r w14:paraId="44B1E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continue"/>
                  <w:tcBorders>
                    <w:left w:val="single" w:color="auto" w:sz="4" w:space="0"/>
                    <w:right w:val="single" w:color="auto" w:sz="4" w:space="0"/>
                  </w:tcBorders>
                  <w:vAlign w:val="center"/>
                </w:tcPr>
                <w:p w14:paraId="6585F396">
                  <w:pPr>
                    <w:pStyle w:val="26"/>
                    <w:framePr w:hSpace="0" w:wrap="auto" w:vAnchor="margin" w:hAnchor="text" w:xAlign="left" w:yAlign="inline"/>
                    <w:rPr>
                      <w:color w:val="000000" w:themeColor="text1"/>
                      <w14:textFill>
                        <w14:solidFill>
                          <w14:schemeClr w14:val="tx1"/>
                        </w14:solidFill>
                      </w14:textFill>
                    </w:rPr>
                  </w:pPr>
                </w:p>
              </w:tc>
              <w:tc>
                <w:tcPr>
                  <w:tcW w:w="882" w:type="pct"/>
                  <w:tcBorders>
                    <w:top w:val="single" w:color="auto" w:sz="4" w:space="0"/>
                    <w:left w:val="single" w:color="auto" w:sz="4" w:space="0"/>
                    <w:right w:val="single" w:color="auto" w:sz="4" w:space="0"/>
                  </w:tcBorders>
                  <w:vAlign w:val="center"/>
                </w:tcPr>
                <w:p w14:paraId="5EDE9F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泥浆泵</w:t>
                  </w:r>
                </w:p>
              </w:tc>
              <w:tc>
                <w:tcPr>
                  <w:tcW w:w="526" w:type="pct"/>
                  <w:tcBorders>
                    <w:top w:val="single" w:color="auto" w:sz="4" w:space="0"/>
                    <w:left w:val="single" w:color="auto" w:sz="4" w:space="0"/>
                    <w:right w:val="single" w:color="auto" w:sz="4" w:space="0"/>
                  </w:tcBorders>
                  <w:vAlign w:val="center"/>
                </w:tcPr>
                <w:p w14:paraId="1D89971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608" w:type="pct"/>
                  <w:tcBorders>
                    <w:top w:val="single" w:color="auto" w:sz="4" w:space="0"/>
                    <w:left w:val="single" w:color="auto" w:sz="4" w:space="0"/>
                    <w:right w:val="single" w:color="auto" w:sz="4" w:space="0"/>
                  </w:tcBorders>
                  <w:vAlign w:val="center"/>
                </w:tcPr>
                <w:p w14:paraId="4275F2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w:t>
                  </w:r>
                </w:p>
              </w:tc>
              <w:tc>
                <w:tcPr>
                  <w:tcW w:w="506" w:type="pct"/>
                  <w:tcBorders>
                    <w:top w:val="single" w:color="auto" w:sz="4" w:space="0"/>
                    <w:left w:val="single" w:color="auto" w:sz="4" w:space="0"/>
                    <w:right w:val="single" w:color="auto" w:sz="4" w:space="0"/>
                  </w:tcBorders>
                  <w:vAlign w:val="center"/>
                </w:tcPr>
                <w:p w14:paraId="41D7566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7D1A62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7843400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昼夜连续</w:t>
                  </w:r>
                </w:p>
              </w:tc>
              <w:tc>
                <w:tcPr>
                  <w:tcW w:w="604" w:type="pct"/>
                  <w:tcBorders>
                    <w:top w:val="single" w:color="auto" w:sz="4" w:space="0"/>
                    <w:left w:val="single" w:color="auto" w:sz="4" w:space="0"/>
                    <w:right w:val="single" w:color="auto" w:sz="4" w:space="0"/>
                  </w:tcBorders>
                  <w:vAlign w:val="center"/>
                </w:tcPr>
                <w:p w14:paraId="46FBCB4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r w14:paraId="15B7D4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continue"/>
                  <w:tcBorders>
                    <w:left w:val="single" w:color="auto" w:sz="4" w:space="0"/>
                    <w:right w:val="single" w:color="auto" w:sz="4" w:space="0"/>
                  </w:tcBorders>
                  <w:vAlign w:val="center"/>
                </w:tcPr>
                <w:p w14:paraId="78CEEEA4">
                  <w:pPr>
                    <w:pStyle w:val="26"/>
                    <w:framePr w:hSpace="0" w:wrap="auto" w:vAnchor="margin" w:hAnchor="text" w:xAlign="left" w:yAlign="inline"/>
                    <w:rPr>
                      <w:color w:val="000000" w:themeColor="text1"/>
                      <w14:textFill>
                        <w14:solidFill>
                          <w14:schemeClr w14:val="tx1"/>
                        </w14:solidFill>
                      </w14:textFill>
                    </w:rPr>
                  </w:pPr>
                </w:p>
              </w:tc>
              <w:tc>
                <w:tcPr>
                  <w:tcW w:w="882" w:type="pct"/>
                  <w:tcBorders>
                    <w:top w:val="single" w:color="auto" w:sz="4" w:space="0"/>
                    <w:left w:val="single" w:color="auto" w:sz="4" w:space="0"/>
                    <w:bottom w:val="single" w:color="auto" w:sz="4" w:space="0"/>
                    <w:right w:val="single" w:color="auto" w:sz="4" w:space="0"/>
                  </w:tcBorders>
                  <w:vAlign w:val="center"/>
                </w:tcPr>
                <w:p w14:paraId="35A5FED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振动筛</w:t>
                  </w:r>
                </w:p>
              </w:tc>
              <w:tc>
                <w:tcPr>
                  <w:tcW w:w="526" w:type="pct"/>
                  <w:tcBorders>
                    <w:top w:val="single" w:color="auto" w:sz="4" w:space="0"/>
                    <w:left w:val="single" w:color="auto" w:sz="4" w:space="0"/>
                    <w:right w:val="single" w:color="auto" w:sz="4" w:space="0"/>
                  </w:tcBorders>
                  <w:vAlign w:val="center"/>
                </w:tcPr>
                <w:p w14:paraId="3C2E624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608" w:type="pct"/>
                  <w:tcBorders>
                    <w:top w:val="single" w:color="auto" w:sz="4" w:space="0"/>
                    <w:left w:val="single" w:color="auto" w:sz="4" w:space="0"/>
                    <w:right w:val="single" w:color="auto" w:sz="4" w:space="0"/>
                  </w:tcBorders>
                  <w:vAlign w:val="center"/>
                </w:tcPr>
                <w:p w14:paraId="5A7D5EB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100</w:t>
                  </w:r>
                </w:p>
              </w:tc>
              <w:tc>
                <w:tcPr>
                  <w:tcW w:w="506" w:type="pct"/>
                  <w:tcBorders>
                    <w:top w:val="single" w:color="auto" w:sz="4" w:space="0"/>
                    <w:left w:val="single" w:color="auto" w:sz="4" w:space="0"/>
                    <w:right w:val="single" w:color="auto" w:sz="4" w:space="0"/>
                  </w:tcBorders>
                  <w:vAlign w:val="center"/>
                </w:tcPr>
                <w:p w14:paraId="16A858C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53633F4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2180923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昼夜连续</w:t>
                  </w:r>
                </w:p>
              </w:tc>
              <w:tc>
                <w:tcPr>
                  <w:tcW w:w="604" w:type="pct"/>
                  <w:tcBorders>
                    <w:top w:val="single" w:color="auto" w:sz="4" w:space="0"/>
                    <w:left w:val="single" w:color="auto" w:sz="4" w:space="0"/>
                    <w:right w:val="single" w:color="auto" w:sz="4" w:space="0"/>
                  </w:tcBorders>
                  <w:vAlign w:val="center"/>
                </w:tcPr>
                <w:p w14:paraId="5C7529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r w14:paraId="632A8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continue"/>
                  <w:tcBorders>
                    <w:left w:val="single" w:color="auto" w:sz="4" w:space="0"/>
                    <w:bottom w:val="single" w:color="auto" w:sz="4" w:space="0"/>
                    <w:right w:val="single" w:color="auto" w:sz="4" w:space="0"/>
                  </w:tcBorders>
                  <w:vAlign w:val="center"/>
                </w:tcPr>
                <w:p w14:paraId="485449A5">
                  <w:pPr>
                    <w:pStyle w:val="26"/>
                    <w:framePr w:hSpace="0" w:wrap="auto" w:vAnchor="margin" w:hAnchor="text" w:xAlign="left" w:yAlign="inline"/>
                    <w:rPr>
                      <w:color w:val="000000" w:themeColor="text1"/>
                      <w14:textFill>
                        <w14:solidFill>
                          <w14:schemeClr w14:val="tx1"/>
                        </w14:solidFill>
                      </w14:textFill>
                    </w:rPr>
                  </w:pPr>
                </w:p>
              </w:tc>
              <w:tc>
                <w:tcPr>
                  <w:tcW w:w="882" w:type="pct"/>
                  <w:tcBorders>
                    <w:top w:val="single" w:color="auto" w:sz="4" w:space="0"/>
                    <w:left w:val="single" w:color="auto" w:sz="4" w:space="0"/>
                    <w:bottom w:val="single" w:color="auto" w:sz="4" w:space="0"/>
                    <w:right w:val="single" w:color="auto" w:sz="4" w:space="0"/>
                  </w:tcBorders>
                  <w:vAlign w:val="center"/>
                </w:tcPr>
                <w:p w14:paraId="649A23B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搅拌机</w:t>
                  </w:r>
                </w:p>
              </w:tc>
              <w:tc>
                <w:tcPr>
                  <w:tcW w:w="526" w:type="pct"/>
                  <w:tcBorders>
                    <w:top w:val="single" w:color="auto" w:sz="4" w:space="0"/>
                    <w:left w:val="single" w:color="auto" w:sz="4" w:space="0"/>
                    <w:right w:val="single" w:color="auto" w:sz="4" w:space="0"/>
                  </w:tcBorders>
                  <w:vAlign w:val="center"/>
                </w:tcPr>
                <w:p w14:paraId="08592F7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608" w:type="pct"/>
                  <w:tcBorders>
                    <w:top w:val="single" w:color="auto" w:sz="4" w:space="0"/>
                    <w:left w:val="single" w:color="auto" w:sz="4" w:space="0"/>
                    <w:right w:val="single" w:color="auto" w:sz="4" w:space="0"/>
                  </w:tcBorders>
                  <w:vAlign w:val="center"/>
                </w:tcPr>
                <w:p w14:paraId="607E0DF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100</w:t>
                  </w:r>
                </w:p>
              </w:tc>
              <w:tc>
                <w:tcPr>
                  <w:tcW w:w="506" w:type="pct"/>
                  <w:tcBorders>
                    <w:top w:val="single" w:color="auto" w:sz="4" w:space="0"/>
                    <w:left w:val="single" w:color="auto" w:sz="4" w:space="0"/>
                    <w:right w:val="single" w:color="auto" w:sz="4" w:space="0"/>
                  </w:tcBorders>
                  <w:vAlign w:val="center"/>
                </w:tcPr>
                <w:p w14:paraId="5EE9B51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46D5D5D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1479EE8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w:t>
                  </w:r>
                  <w:r>
                    <w:rPr>
                      <w:rFonts w:hint="eastAsia"/>
                      <w:color w:val="000000" w:themeColor="text1"/>
                      <w14:textFill>
                        <w14:solidFill>
                          <w14:schemeClr w14:val="tx1"/>
                        </w14:solidFill>
                      </w14:textFill>
                    </w:rPr>
                    <w:t>间</w:t>
                  </w:r>
                  <w:r>
                    <w:rPr>
                      <w:color w:val="000000" w:themeColor="text1"/>
                      <w14:textFill>
                        <w14:solidFill>
                          <w14:schemeClr w14:val="tx1"/>
                        </w14:solidFill>
                      </w14:textFill>
                    </w:rPr>
                    <w:t>连续</w:t>
                  </w:r>
                </w:p>
              </w:tc>
              <w:tc>
                <w:tcPr>
                  <w:tcW w:w="604" w:type="pct"/>
                  <w:tcBorders>
                    <w:top w:val="single" w:color="auto" w:sz="4" w:space="0"/>
                    <w:left w:val="single" w:color="auto" w:sz="4" w:space="0"/>
                    <w:right w:val="single" w:color="auto" w:sz="4" w:space="0"/>
                  </w:tcBorders>
                  <w:vAlign w:val="center"/>
                </w:tcPr>
                <w:p w14:paraId="24BF8A5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r w14:paraId="37E16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restart"/>
                  <w:tcBorders>
                    <w:top w:val="single" w:color="auto" w:sz="4" w:space="0"/>
                    <w:left w:val="single" w:color="auto" w:sz="4" w:space="0"/>
                    <w:right w:val="single" w:color="auto" w:sz="4" w:space="0"/>
                  </w:tcBorders>
                  <w:vAlign w:val="center"/>
                </w:tcPr>
                <w:p w14:paraId="726028B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钻井期、试油期</w:t>
                  </w:r>
                </w:p>
              </w:tc>
              <w:tc>
                <w:tcPr>
                  <w:tcW w:w="882" w:type="pct"/>
                  <w:tcBorders>
                    <w:top w:val="single" w:color="auto" w:sz="4" w:space="0"/>
                    <w:left w:val="single" w:color="auto" w:sz="4" w:space="0"/>
                    <w:right w:val="single" w:color="auto" w:sz="4" w:space="0"/>
                  </w:tcBorders>
                  <w:vAlign w:val="center"/>
                </w:tcPr>
                <w:p w14:paraId="6E05CBB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柴油发电机</w:t>
                  </w:r>
                </w:p>
              </w:tc>
              <w:tc>
                <w:tcPr>
                  <w:tcW w:w="526" w:type="pct"/>
                  <w:tcBorders>
                    <w:top w:val="single" w:color="auto" w:sz="4" w:space="0"/>
                    <w:left w:val="single" w:color="auto" w:sz="4" w:space="0"/>
                    <w:right w:val="single" w:color="auto" w:sz="4" w:space="0"/>
                  </w:tcBorders>
                  <w:vAlign w:val="center"/>
                </w:tcPr>
                <w:p w14:paraId="6F660FC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608" w:type="pct"/>
                  <w:tcBorders>
                    <w:top w:val="single" w:color="auto" w:sz="4" w:space="0"/>
                    <w:left w:val="single" w:color="auto" w:sz="4" w:space="0"/>
                    <w:right w:val="single" w:color="auto" w:sz="4" w:space="0"/>
                  </w:tcBorders>
                  <w:vAlign w:val="center"/>
                </w:tcPr>
                <w:p w14:paraId="3977A0A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85</w:t>
                  </w:r>
                </w:p>
              </w:tc>
              <w:tc>
                <w:tcPr>
                  <w:tcW w:w="506" w:type="pct"/>
                  <w:tcBorders>
                    <w:top w:val="single" w:color="auto" w:sz="4" w:space="0"/>
                    <w:left w:val="single" w:color="auto" w:sz="4" w:space="0"/>
                    <w:right w:val="single" w:color="auto" w:sz="4" w:space="0"/>
                  </w:tcBorders>
                  <w:vAlign w:val="center"/>
                </w:tcPr>
                <w:p w14:paraId="3D5B076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6837C10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3DF3FA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昼夜连续</w:t>
                  </w:r>
                </w:p>
              </w:tc>
              <w:tc>
                <w:tcPr>
                  <w:tcW w:w="604" w:type="pct"/>
                  <w:tcBorders>
                    <w:top w:val="single" w:color="auto" w:sz="4" w:space="0"/>
                    <w:left w:val="single" w:color="auto" w:sz="4" w:space="0"/>
                    <w:right w:val="single" w:color="auto" w:sz="4" w:space="0"/>
                  </w:tcBorders>
                  <w:vAlign w:val="center"/>
                </w:tcPr>
                <w:p w14:paraId="53ECA0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r w14:paraId="38754D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continue"/>
                  <w:tcBorders>
                    <w:left w:val="single" w:color="auto" w:sz="4" w:space="0"/>
                    <w:right w:val="single" w:color="auto" w:sz="4" w:space="0"/>
                  </w:tcBorders>
                  <w:vAlign w:val="center"/>
                </w:tcPr>
                <w:p w14:paraId="5E16F0BF">
                  <w:pPr>
                    <w:pStyle w:val="26"/>
                    <w:framePr w:hSpace="0" w:wrap="auto" w:vAnchor="margin" w:hAnchor="text" w:xAlign="left" w:yAlign="inline"/>
                    <w:rPr>
                      <w:color w:val="000000" w:themeColor="text1"/>
                      <w14:textFill>
                        <w14:solidFill>
                          <w14:schemeClr w14:val="tx1"/>
                        </w14:solidFill>
                      </w14:textFill>
                    </w:rPr>
                  </w:pPr>
                </w:p>
              </w:tc>
              <w:tc>
                <w:tcPr>
                  <w:tcW w:w="882" w:type="pct"/>
                  <w:tcBorders>
                    <w:top w:val="single" w:color="auto" w:sz="4" w:space="0"/>
                    <w:left w:val="single" w:color="auto" w:sz="4" w:space="0"/>
                    <w:bottom w:val="single" w:color="auto" w:sz="4" w:space="0"/>
                    <w:right w:val="single" w:color="auto" w:sz="4" w:space="0"/>
                  </w:tcBorders>
                  <w:vAlign w:val="center"/>
                </w:tcPr>
                <w:p w14:paraId="311EC3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柴油动力机</w:t>
                  </w:r>
                </w:p>
              </w:tc>
              <w:tc>
                <w:tcPr>
                  <w:tcW w:w="526" w:type="pct"/>
                  <w:tcBorders>
                    <w:top w:val="single" w:color="auto" w:sz="4" w:space="0"/>
                    <w:left w:val="single" w:color="auto" w:sz="4" w:space="0"/>
                    <w:bottom w:val="single" w:color="auto" w:sz="4" w:space="0"/>
                    <w:right w:val="single" w:color="auto" w:sz="4" w:space="0"/>
                  </w:tcBorders>
                  <w:vAlign w:val="center"/>
                </w:tcPr>
                <w:p w14:paraId="04317B0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608" w:type="pct"/>
                  <w:tcBorders>
                    <w:top w:val="single" w:color="auto" w:sz="4" w:space="0"/>
                    <w:left w:val="single" w:color="auto" w:sz="4" w:space="0"/>
                    <w:bottom w:val="single" w:color="auto" w:sz="4" w:space="0"/>
                    <w:right w:val="single" w:color="auto" w:sz="4" w:space="0"/>
                  </w:tcBorders>
                  <w:vAlign w:val="center"/>
                </w:tcPr>
                <w:p w14:paraId="79485B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95</w:t>
                  </w:r>
                </w:p>
              </w:tc>
              <w:tc>
                <w:tcPr>
                  <w:tcW w:w="506" w:type="pct"/>
                  <w:tcBorders>
                    <w:top w:val="single" w:color="auto" w:sz="4" w:space="0"/>
                    <w:left w:val="single" w:color="auto" w:sz="4" w:space="0"/>
                    <w:bottom w:val="single" w:color="auto" w:sz="4" w:space="0"/>
                    <w:right w:val="single" w:color="auto" w:sz="4" w:space="0"/>
                  </w:tcBorders>
                  <w:vAlign w:val="center"/>
                </w:tcPr>
                <w:p w14:paraId="67EE3F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1m</w:t>
                  </w:r>
                </w:p>
              </w:tc>
              <w:tc>
                <w:tcPr>
                  <w:tcW w:w="683" w:type="pct"/>
                  <w:tcBorders>
                    <w:top w:val="single" w:color="auto" w:sz="4" w:space="0"/>
                    <w:left w:val="single" w:color="auto" w:sz="4" w:space="0"/>
                    <w:bottom w:val="single" w:color="auto" w:sz="4" w:space="0"/>
                    <w:right w:val="single" w:color="auto" w:sz="4" w:space="0"/>
                  </w:tcBorders>
                  <w:vAlign w:val="center"/>
                </w:tcPr>
                <w:p w14:paraId="3A15E2D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bottom w:val="single" w:color="auto" w:sz="4" w:space="0"/>
                    <w:right w:val="single" w:color="auto" w:sz="4" w:space="0"/>
                  </w:tcBorders>
                  <w:vAlign w:val="center"/>
                </w:tcPr>
                <w:p w14:paraId="74AD65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昼夜连续</w:t>
                  </w:r>
                </w:p>
              </w:tc>
              <w:tc>
                <w:tcPr>
                  <w:tcW w:w="604" w:type="pct"/>
                  <w:tcBorders>
                    <w:top w:val="single" w:color="auto" w:sz="4" w:space="0"/>
                    <w:left w:val="single" w:color="auto" w:sz="4" w:space="0"/>
                    <w:bottom w:val="single" w:color="auto" w:sz="4" w:space="0"/>
                    <w:right w:val="single" w:color="auto" w:sz="4" w:space="0"/>
                  </w:tcBorders>
                  <w:vAlign w:val="center"/>
                </w:tcPr>
                <w:p w14:paraId="3B0B38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bl>
          <w:p w14:paraId="0719469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钻井及试油期过程中，不同类型施工机械在不同距离处的噪声预测值见表4-</w:t>
            </w:r>
            <w:r>
              <w:rPr>
                <w:rFonts w:hint="eastAsia" w:ascii="Times New Roman" w:hAnsi="Times New Roman"/>
                <w:color w:val="000000" w:themeColor="text1"/>
                <w:sz w:val="24"/>
                <w:szCs w:val="24"/>
                <w14:textFill>
                  <w14:solidFill>
                    <w14:schemeClr w14:val="tx1"/>
                  </w14:solidFill>
                </w14:textFill>
              </w:rPr>
              <w:t>9</w:t>
            </w:r>
            <w:r>
              <w:rPr>
                <w:rFonts w:ascii="Times New Roman" w:hAnsi="Times New Roman"/>
                <w:color w:val="000000" w:themeColor="text1"/>
                <w:sz w:val="24"/>
                <w:szCs w:val="24"/>
                <w14:textFill>
                  <w14:solidFill>
                    <w14:schemeClr w14:val="tx1"/>
                  </w14:solidFill>
                </w14:textFill>
              </w:rPr>
              <w:t>。</w:t>
            </w:r>
          </w:p>
          <w:p w14:paraId="6FB4B230">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w:t>
            </w:r>
            <w:r>
              <w:rPr>
                <w:rFonts w:hint="eastAsia"/>
                <w:bCs/>
                <w:color w:val="000000" w:themeColor="text1"/>
                <w:sz w:val="21"/>
                <w:szCs w:val="21"/>
                <w14:textFill>
                  <w14:solidFill>
                    <w14:schemeClr w14:val="tx1"/>
                  </w14:solidFill>
                </w14:textFill>
              </w:rPr>
              <w:t>9</w:t>
            </w:r>
            <w:r>
              <w:rPr>
                <w:bCs/>
                <w:color w:val="000000" w:themeColor="text1"/>
                <w:sz w:val="21"/>
                <w:szCs w:val="21"/>
                <w14:textFill>
                  <w14:solidFill>
                    <w14:schemeClr w14:val="tx1"/>
                  </w14:solidFill>
                </w14:textFill>
              </w:rPr>
              <w:t xml:space="preserve">  各种施工机械在不同距离的噪声预测值    单位：dB（A）</w:t>
            </w:r>
          </w:p>
          <w:tbl>
            <w:tblPr>
              <w:tblStyle w:val="16"/>
              <w:tblW w:w="8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606"/>
              <w:gridCol w:w="550"/>
              <w:gridCol w:w="468"/>
              <w:gridCol w:w="499"/>
              <w:gridCol w:w="511"/>
              <w:gridCol w:w="511"/>
              <w:gridCol w:w="511"/>
              <w:gridCol w:w="511"/>
              <w:gridCol w:w="511"/>
              <w:gridCol w:w="511"/>
              <w:gridCol w:w="511"/>
              <w:gridCol w:w="458"/>
              <w:gridCol w:w="599"/>
              <w:gridCol w:w="568"/>
            </w:tblGrid>
            <w:tr w14:paraId="4834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0224DE4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距离（m）</w:t>
                  </w:r>
                </w:p>
              </w:tc>
              <w:tc>
                <w:tcPr>
                  <w:tcW w:w="370" w:type="pct"/>
                  <w:tcBorders>
                    <w:top w:val="single" w:color="auto" w:sz="4" w:space="0"/>
                    <w:left w:val="single" w:color="auto" w:sz="4" w:space="0"/>
                    <w:bottom w:val="single" w:color="auto" w:sz="4" w:space="0"/>
                    <w:right w:val="single" w:color="auto" w:sz="4" w:space="0"/>
                  </w:tcBorders>
                  <w:vAlign w:val="center"/>
                </w:tcPr>
                <w:p w14:paraId="5B6F8FD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源强</w:t>
                  </w:r>
                </w:p>
              </w:tc>
              <w:tc>
                <w:tcPr>
                  <w:tcW w:w="335" w:type="pct"/>
                  <w:tcBorders>
                    <w:top w:val="single" w:color="auto" w:sz="4" w:space="0"/>
                    <w:left w:val="single" w:color="auto" w:sz="4" w:space="0"/>
                    <w:bottom w:val="single" w:color="auto" w:sz="4" w:space="0"/>
                    <w:right w:val="single" w:color="auto" w:sz="4" w:space="0"/>
                  </w:tcBorders>
                  <w:vAlign w:val="center"/>
                </w:tcPr>
                <w:p w14:paraId="61EF4E8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隔声后</w:t>
                  </w:r>
                </w:p>
              </w:tc>
              <w:tc>
                <w:tcPr>
                  <w:tcW w:w="285" w:type="pct"/>
                  <w:tcBorders>
                    <w:top w:val="single" w:color="auto" w:sz="4" w:space="0"/>
                    <w:left w:val="single" w:color="auto" w:sz="4" w:space="0"/>
                    <w:bottom w:val="single" w:color="auto" w:sz="4" w:space="0"/>
                    <w:right w:val="single" w:color="auto" w:sz="4" w:space="0"/>
                  </w:tcBorders>
                  <w:vAlign w:val="center"/>
                </w:tcPr>
                <w:p w14:paraId="34A587A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5</w:t>
                  </w:r>
                </w:p>
              </w:tc>
              <w:tc>
                <w:tcPr>
                  <w:tcW w:w="304" w:type="pct"/>
                  <w:tcBorders>
                    <w:top w:val="single" w:color="auto" w:sz="4" w:space="0"/>
                    <w:left w:val="single" w:color="auto" w:sz="4" w:space="0"/>
                    <w:bottom w:val="single" w:color="auto" w:sz="4" w:space="0"/>
                    <w:right w:val="single" w:color="auto" w:sz="4" w:space="0"/>
                  </w:tcBorders>
                  <w:vAlign w:val="center"/>
                </w:tcPr>
                <w:p w14:paraId="4D53263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10</w:t>
                  </w:r>
                </w:p>
              </w:tc>
              <w:tc>
                <w:tcPr>
                  <w:tcW w:w="311" w:type="pct"/>
                  <w:tcBorders>
                    <w:top w:val="single" w:color="auto" w:sz="4" w:space="0"/>
                    <w:left w:val="single" w:color="auto" w:sz="4" w:space="0"/>
                    <w:bottom w:val="single" w:color="auto" w:sz="4" w:space="0"/>
                    <w:right w:val="single" w:color="auto" w:sz="4" w:space="0"/>
                  </w:tcBorders>
                  <w:vAlign w:val="center"/>
                </w:tcPr>
                <w:p w14:paraId="09ED8CB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15</w:t>
                  </w:r>
                </w:p>
              </w:tc>
              <w:tc>
                <w:tcPr>
                  <w:tcW w:w="311" w:type="pct"/>
                  <w:tcBorders>
                    <w:top w:val="single" w:color="auto" w:sz="4" w:space="0"/>
                    <w:left w:val="single" w:color="auto" w:sz="4" w:space="0"/>
                    <w:bottom w:val="single" w:color="auto" w:sz="4" w:space="0"/>
                    <w:right w:val="single" w:color="auto" w:sz="4" w:space="0"/>
                  </w:tcBorders>
                  <w:vAlign w:val="center"/>
                </w:tcPr>
                <w:p w14:paraId="793CB4B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20</w:t>
                  </w:r>
                </w:p>
              </w:tc>
              <w:tc>
                <w:tcPr>
                  <w:tcW w:w="311" w:type="pct"/>
                  <w:tcBorders>
                    <w:top w:val="single" w:color="auto" w:sz="4" w:space="0"/>
                    <w:left w:val="single" w:color="auto" w:sz="4" w:space="0"/>
                    <w:bottom w:val="single" w:color="auto" w:sz="4" w:space="0"/>
                    <w:right w:val="single" w:color="auto" w:sz="4" w:space="0"/>
                  </w:tcBorders>
                  <w:vAlign w:val="center"/>
                </w:tcPr>
                <w:p w14:paraId="28EE38C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25</w:t>
                  </w:r>
                </w:p>
              </w:tc>
              <w:tc>
                <w:tcPr>
                  <w:tcW w:w="311" w:type="pct"/>
                  <w:tcBorders>
                    <w:top w:val="single" w:color="auto" w:sz="4" w:space="0"/>
                    <w:left w:val="single" w:color="auto" w:sz="4" w:space="0"/>
                    <w:bottom w:val="single" w:color="auto" w:sz="4" w:space="0"/>
                    <w:right w:val="single" w:color="auto" w:sz="4" w:space="0"/>
                  </w:tcBorders>
                  <w:vAlign w:val="center"/>
                </w:tcPr>
                <w:p w14:paraId="5604479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30</w:t>
                  </w:r>
                </w:p>
              </w:tc>
              <w:tc>
                <w:tcPr>
                  <w:tcW w:w="311" w:type="pct"/>
                  <w:tcBorders>
                    <w:top w:val="single" w:color="auto" w:sz="4" w:space="0"/>
                    <w:left w:val="single" w:color="auto" w:sz="4" w:space="0"/>
                    <w:bottom w:val="single" w:color="auto" w:sz="4" w:space="0"/>
                    <w:right w:val="single" w:color="auto" w:sz="4" w:space="0"/>
                  </w:tcBorders>
                  <w:vAlign w:val="center"/>
                </w:tcPr>
                <w:p w14:paraId="7D3C236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40</w:t>
                  </w:r>
                </w:p>
              </w:tc>
              <w:tc>
                <w:tcPr>
                  <w:tcW w:w="311" w:type="pct"/>
                  <w:tcBorders>
                    <w:top w:val="single" w:color="auto" w:sz="4" w:space="0"/>
                    <w:left w:val="single" w:color="auto" w:sz="4" w:space="0"/>
                    <w:bottom w:val="single" w:color="auto" w:sz="4" w:space="0"/>
                    <w:right w:val="single" w:color="auto" w:sz="4" w:space="0"/>
                  </w:tcBorders>
                  <w:vAlign w:val="center"/>
                </w:tcPr>
                <w:p w14:paraId="072730A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50</w:t>
                  </w:r>
                </w:p>
              </w:tc>
              <w:tc>
                <w:tcPr>
                  <w:tcW w:w="311" w:type="pct"/>
                  <w:tcBorders>
                    <w:top w:val="single" w:color="auto" w:sz="4" w:space="0"/>
                    <w:left w:val="single" w:color="auto" w:sz="4" w:space="0"/>
                    <w:bottom w:val="single" w:color="auto" w:sz="4" w:space="0"/>
                    <w:right w:val="single" w:color="auto" w:sz="4" w:space="0"/>
                  </w:tcBorders>
                  <w:vAlign w:val="center"/>
                </w:tcPr>
                <w:p w14:paraId="0582A22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60</w:t>
                  </w:r>
                </w:p>
              </w:tc>
              <w:tc>
                <w:tcPr>
                  <w:tcW w:w="279" w:type="pct"/>
                  <w:tcBorders>
                    <w:top w:val="single" w:color="auto" w:sz="4" w:space="0"/>
                    <w:left w:val="single" w:color="auto" w:sz="4" w:space="0"/>
                    <w:bottom w:val="single" w:color="auto" w:sz="4" w:space="0"/>
                    <w:right w:val="single" w:color="auto" w:sz="4" w:space="0"/>
                  </w:tcBorders>
                  <w:vAlign w:val="center"/>
                </w:tcPr>
                <w:p w14:paraId="7F948FE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80</w:t>
                  </w:r>
                </w:p>
              </w:tc>
              <w:tc>
                <w:tcPr>
                  <w:tcW w:w="365" w:type="pct"/>
                  <w:tcBorders>
                    <w:top w:val="single" w:color="auto" w:sz="4" w:space="0"/>
                    <w:left w:val="single" w:color="auto" w:sz="4" w:space="0"/>
                    <w:bottom w:val="single" w:color="auto" w:sz="4" w:space="0"/>
                    <w:right w:val="single" w:color="auto" w:sz="4" w:space="0"/>
                  </w:tcBorders>
                  <w:vAlign w:val="center"/>
                </w:tcPr>
                <w:p w14:paraId="016299C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100</w:t>
                  </w:r>
                </w:p>
              </w:tc>
              <w:tc>
                <w:tcPr>
                  <w:tcW w:w="346" w:type="pct"/>
                  <w:tcBorders>
                    <w:top w:val="single" w:color="auto" w:sz="4" w:space="0"/>
                    <w:left w:val="single" w:color="auto" w:sz="4" w:space="0"/>
                    <w:bottom w:val="single" w:color="auto" w:sz="4" w:space="0"/>
                    <w:right w:val="single" w:color="auto" w:sz="4" w:space="0"/>
                  </w:tcBorders>
                  <w:vAlign w:val="center"/>
                </w:tcPr>
                <w:p w14:paraId="3EB1DB3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160</w:t>
                  </w:r>
                </w:p>
              </w:tc>
            </w:tr>
            <w:tr w14:paraId="7040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162B4AB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钻机</w:t>
                  </w:r>
                </w:p>
              </w:tc>
              <w:tc>
                <w:tcPr>
                  <w:tcW w:w="370" w:type="pct"/>
                  <w:tcBorders>
                    <w:top w:val="single" w:color="auto" w:sz="4" w:space="0"/>
                    <w:left w:val="single" w:color="auto" w:sz="4" w:space="0"/>
                    <w:bottom w:val="single" w:color="auto" w:sz="4" w:space="0"/>
                    <w:right w:val="single" w:color="auto" w:sz="4" w:space="0"/>
                  </w:tcBorders>
                  <w:vAlign w:val="center"/>
                </w:tcPr>
                <w:p w14:paraId="15DEC9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w:t>
                  </w:r>
                </w:p>
              </w:tc>
              <w:tc>
                <w:tcPr>
                  <w:tcW w:w="335" w:type="pct"/>
                  <w:tcBorders>
                    <w:top w:val="single" w:color="auto" w:sz="4" w:space="0"/>
                    <w:left w:val="single" w:color="auto" w:sz="4" w:space="0"/>
                    <w:bottom w:val="single" w:color="auto" w:sz="4" w:space="0"/>
                    <w:right w:val="single" w:color="auto" w:sz="4" w:space="0"/>
                  </w:tcBorders>
                  <w:vAlign w:val="center"/>
                </w:tcPr>
                <w:p w14:paraId="1EED4C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80</w:t>
                  </w:r>
                </w:p>
              </w:tc>
              <w:tc>
                <w:tcPr>
                  <w:tcW w:w="285" w:type="pct"/>
                  <w:tcBorders>
                    <w:top w:val="single" w:color="auto" w:sz="4" w:space="0"/>
                    <w:left w:val="single" w:color="auto" w:sz="4" w:space="0"/>
                    <w:bottom w:val="single" w:color="auto" w:sz="4" w:space="0"/>
                    <w:right w:val="single" w:color="auto" w:sz="4" w:space="0"/>
                  </w:tcBorders>
                  <w:vAlign w:val="center"/>
                </w:tcPr>
                <w:p w14:paraId="10ABB7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66</w:t>
                  </w:r>
                </w:p>
              </w:tc>
              <w:tc>
                <w:tcPr>
                  <w:tcW w:w="304" w:type="pct"/>
                  <w:tcBorders>
                    <w:top w:val="single" w:color="auto" w:sz="4" w:space="0"/>
                    <w:left w:val="single" w:color="auto" w:sz="4" w:space="0"/>
                    <w:bottom w:val="single" w:color="auto" w:sz="4" w:space="0"/>
                    <w:right w:val="single" w:color="auto" w:sz="4" w:space="0"/>
                  </w:tcBorders>
                  <w:vAlign w:val="center"/>
                </w:tcPr>
                <w:p w14:paraId="26B4E9F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60</w:t>
                  </w:r>
                </w:p>
              </w:tc>
              <w:tc>
                <w:tcPr>
                  <w:tcW w:w="311" w:type="pct"/>
                  <w:tcBorders>
                    <w:top w:val="single" w:color="auto" w:sz="4" w:space="0"/>
                    <w:left w:val="single" w:color="auto" w:sz="4" w:space="0"/>
                    <w:bottom w:val="single" w:color="auto" w:sz="4" w:space="0"/>
                    <w:right w:val="single" w:color="auto" w:sz="4" w:space="0"/>
                  </w:tcBorders>
                  <w:vAlign w:val="center"/>
                </w:tcPr>
                <w:p w14:paraId="0580587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56</w:t>
                  </w:r>
                </w:p>
              </w:tc>
              <w:tc>
                <w:tcPr>
                  <w:tcW w:w="311" w:type="pct"/>
                  <w:tcBorders>
                    <w:top w:val="single" w:color="auto" w:sz="4" w:space="0"/>
                    <w:left w:val="single" w:color="auto" w:sz="4" w:space="0"/>
                    <w:bottom w:val="single" w:color="auto" w:sz="4" w:space="0"/>
                    <w:right w:val="single" w:color="auto" w:sz="4" w:space="0"/>
                  </w:tcBorders>
                  <w:vAlign w:val="center"/>
                </w:tcPr>
                <w:p w14:paraId="27CE75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54</w:t>
                  </w:r>
                </w:p>
              </w:tc>
              <w:tc>
                <w:tcPr>
                  <w:tcW w:w="311" w:type="pct"/>
                  <w:tcBorders>
                    <w:top w:val="single" w:color="auto" w:sz="4" w:space="0"/>
                    <w:left w:val="single" w:color="auto" w:sz="4" w:space="0"/>
                    <w:bottom w:val="single" w:color="auto" w:sz="4" w:space="0"/>
                    <w:right w:val="single" w:color="auto" w:sz="4" w:space="0"/>
                  </w:tcBorders>
                  <w:vAlign w:val="center"/>
                </w:tcPr>
                <w:p w14:paraId="367A64F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52</w:t>
                  </w:r>
                </w:p>
              </w:tc>
              <w:tc>
                <w:tcPr>
                  <w:tcW w:w="311" w:type="pct"/>
                  <w:tcBorders>
                    <w:top w:val="single" w:color="auto" w:sz="4" w:space="0"/>
                    <w:left w:val="single" w:color="auto" w:sz="4" w:space="0"/>
                    <w:bottom w:val="single" w:color="auto" w:sz="4" w:space="0"/>
                    <w:right w:val="single" w:color="auto" w:sz="4" w:space="0"/>
                  </w:tcBorders>
                  <w:vAlign w:val="center"/>
                </w:tcPr>
                <w:p w14:paraId="107FC68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50</w:t>
                  </w:r>
                </w:p>
              </w:tc>
              <w:tc>
                <w:tcPr>
                  <w:tcW w:w="311" w:type="pct"/>
                  <w:tcBorders>
                    <w:top w:val="single" w:color="auto" w:sz="4" w:space="0"/>
                    <w:left w:val="single" w:color="auto" w:sz="4" w:space="0"/>
                    <w:bottom w:val="single" w:color="auto" w:sz="4" w:space="0"/>
                    <w:right w:val="single" w:color="auto" w:sz="4" w:space="0"/>
                  </w:tcBorders>
                  <w:vAlign w:val="center"/>
                </w:tcPr>
                <w:p w14:paraId="10EED8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48</w:t>
                  </w:r>
                </w:p>
              </w:tc>
              <w:tc>
                <w:tcPr>
                  <w:tcW w:w="311" w:type="pct"/>
                  <w:tcBorders>
                    <w:top w:val="single" w:color="auto" w:sz="4" w:space="0"/>
                    <w:left w:val="single" w:color="auto" w:sz="4" w:space="0"/>
                    <w:bottom w:val="single" w:color="auto" w:sz="4" w:space="0"/>
                    <w:right w:val="single" w:color="auto" w:sz="4" w:space="0"/>
                  </w:tcBorders>
                  <w:vAlign w:val="center"/>
                </w:tcPr>
                <w:p w14:paraId="35F52C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46</w:t>
                  </w:r>
                </w:p>
              </w:tc>
              <w:tc>
                <w:tcPr>
                  <w:tcW w:w="311" w:type="pct"/>
                  <w:tcBorders>
                    <w:top w:val="single" w:color="auto" w:sz="4" w:space="0"/>
                    <w:left w:val="single" w:color="auto" w:sz="4" w:space="0"/>
                    <w:bottom w:val="single" w:color="auto" w:sz="4" w:space="0"/>
                    <w:right w:val="single" w:color="auto" w:sz="4" w:space="0"/>
                  </w:tcBorders>
                  <w:vAlign w:val="center"/>
                </w:tcPr>
                <w:p w14:paraId="19C291B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44</w:t>
                  </w:r>
                </w:p>
              </w:tc>
              <w:tc>
                <w:tcPr>
                  <w:tcW w:w="279" w:type="pct"/>
                  <w:tcBorders>
                    <w:top w:val="single" w:color="auto" w:sz="4" w:space="0"/>
                    <w:left w:val="single" w:color="auto" w:sz="4" w:space="0"/>
                    <w:bottom w:val="single" w:color="auto" w:sz="4" w:space="0"/>
                    <w:right w:val="single" w:color="auto" w:sz="4" w:space="0"/>
                  </w:tcBorders>
                  <w:vAlign w:val="center"/>
                </w:tcPr>
                <w:p w14:paraId="585C529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42</w:t>
                  </w:r>
                </w:p>
              </w:tc>
              <w:tc>
                <w:tcPr>
                  <w:tcW w:w="365" w:type="pct"/>
                  <w:tcBorders>
                    <w:top w:val="single" w:color="auto" w:sz="4" w:space="0"/>
                    <w:left w:val="single" w:color="auto" w:sz="4" w:space="0"/>
                    <w:bottom w:val="single" w:color="auto" w:sz="4" w:space="0"/>
                    <w:right w:val="single" w:color="auto" w:sz="4" w:space="0"/>
                  </w:tcBorders>
                  <w:vAlign w:val="center"/>
                </w:tcPr>
                <w:p w14:paraId="68D997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40</w:t>
                  </w:r>
                </w:p>
              </w:tc>
              <w:tc>
                <w:tcPr>
                  <w:tcW w:w="346" w:type="pct"/>
                  <w:tcBorders>
                    <w:top w:val="single" w:color="auto" w:sz="4" w:space="0"/>
                    <w:left w:val="single" w:color="auto" w:sz="4" w:space="0"/>
                    <w:bottom w:val="single" w:color="auto" w:sz="4" w:space="0"/>
                    <w:right w:val="single" w:color="auto" w:sz="4" w:space="0"/>
                  </w:tcBorders>
                  <w:vAlign w:val="center"/>
                </w:tcPr>
                <w:p w14:paraId="7EA3E2C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34</w:t>
                  </w:r>
                </w:p>
              </w:tc>
            </w:tr>
            <w:tr w14:paraId="1F55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63B0643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泥浆泵</w:t>
                  </w:r>
                </w:p>
              </w:tc>
              <w:tc>
                <w:tcPr>
                  <w:tcW w:w="370" w:type="pct"/>
                  <w:tcBorders>
                    <w:top w:val="single" w:color="auto" w:sz="4" w:space="0"/>
                    <w:left w:val="single" w:color="auto" w:sz="4" w:space="0"/>
                    <w:bottom w:val="single" w:color="auto" w:sz="4" w:space="0"/>
                    <w:right w:val="single" w:color="auto" w:sz="4" w:space="0"/>
                  </w:tcBorders>
                  <w:vAlign w:val="center"/>
                </w:tcPr>
                <w:p w14:paraId="0101B58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r>
                    <w:rPr>
                      <w:rFonts w:hint="eastAsia"/>
                      <w:color w:val="000000" w:themeColor="text1"/>
                      <w14:textFill>
                        <w14:solidFill>
                          <w14:schemeClr w14:val="tx1"/>
                        </w14:solidFill>
                      </w14:textFill>
                    </w:rPr>
                    <w:t>3</w:t>
                  </w:r>
                </w:p>
              </w:tc>
              <w:tc>
                <w:tcPr>
                  <w:tcW w:w="335" w:type="pct"/>
                  <w:tcBorders>
                    <w:top w:val="single" w:color="auto" w:sz="4" w:space="0"/>
                    <w:left w:val="single" w:color="auto" w:sz="4" w:space="0"/>
                    <w:bottom w:val="single" w:color="auto" w:sz="4" w:space="0"/>
                    <w:right w:val="single" w:color="auto" w:sz="4" w:space="0"/>
                  </w:tcBorders>
                  <w:vAlign w:val="center"/>
                </w:tcPr>
                <w:p w14:paraId="399EA9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85</w:t>
                  </w:r>
                </w:p>
              </w:tc>
              <w:tc>
                <w:tcPr>
                  <w:tcW w:w="285" w:type="pct"/>
                  <w:tcBorders>
                    <w:top w:val="single" w:color="auto" w:sz="4" w:space="0"/>
                    <w:left w:val="single" w:color="auto" w:sz="4" w:space="0"/>
                    <w:bottom w:val="single" w:color="auto" w:sz="4" w:space="0"/>
                    <w:right w:val="single" w:color="auto" w:sz="4" w:space="0"/>
                  </w:tcBorders>
                  <w:vAlign w:val="center"/>
                </w:tcPr>
                <w:p w14:paraId="16E1432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71</w:t>
                  </w:r>
                </w:p>
              </w:tc>
              <w:tc>
                <w:tcPr>
                  <w:tcW w:w="304" w:type="pct"/>
                  <w:tcBorders>
                    <w:top w:val="single" w:color="auto" w:sz="4" w:space="0"/>
                    <w:left w:val="single" w:color="auto" w:sz="4" w:space="0"/>
                    <w:bottom w:val="single" w:color="auto" w:sz="4" w:space="0"/>
                    <w:right w:val="single" w:color="auto" w:sz="4" w:space="0"/>
                  </w:tcBorders>
                  <w:vAlign w:val="center"/>
                </w:tcPr>
                <w:p w14:paraId="5ADAB9B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65</w:t>
                  </w:r>
                </w:p>
              </w:tc>
              <w:tc>
                <w:tcPr>
                  <w:tcW w:w="311" w:type="pct"/>
                  <w:tcBorders>
                    <w:top w:val="single" w:color="auto" w:sz="4" w:space="0"/>
                    <w:left w:val="single" w:color="auto" w:sz="4" w:space="0"/>
                    <w:bottom w:val="single" w:color="auto" w:sz="4" w:space="0"/>
                    <w:right w:val="single" w:color="auto" w:sz="4" w:space="0"/>
                  </w:tcBorders>
                  <w:vAlign w:val="center"/>
                </w:tcPr>
                <w:p w14:paraId="1412727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61</w:t>
                  </w:r>
                </w:p>
              </w:tc>
              <w:tc>
                <w:tcPr>
                  <w:tcW w:w="311" w:type="pct"/>
                  <w:tcBorders>
                    <w:top w:val="single" w:color="auto" w:sz="4" w:space="0"/>
                    <w:left w:val="single" w:color="auto" w:sz="4" w:space="0"/>
                    <w:bottom w:val="single" w:color="auto" w:sz="4" w:space="0"/>
                    <w:right w:val="single" w:color="auto" w:sz="4" w:space="0"/>
                  </w:tcBorders>
                  <w:vAlign w:val="center"/>
                </w:tcPr>
                <w:p w14:paraId="22BD73A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59</w:t>
                  </w:r>
                </w:p>
              </w:tc>
              <w:tc>
                <w:tcPr>
                  <w:tcW w:w="311" w:type="pct"/>
                  <w:tcBorders>
                    <w:top w:val="single" w:color="auto" w:sz="4" w:space="0"/>
                    <w:left w:val="single" w:color="auto" w:sz="4" w:space="0"/>
                    <w:bottom w:val="single" w:color="auto" w:sz="4" w:space="0"/>
                    <w:right w:val="single" w:color="auto" w:sz="4" w:space="0"/>
                  </w:tcBorders>
                  <w:vAlign w:val="center"/>
                </w:tcPr>
                <w:p w14:paraId="5909B6C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57</w:t>
                  </w:r>
                </w:p>
              </w:tc>
              <w:tc>
                <w:tcPr>
                  <w:tcW w:w="311" w:type="pct"/>
                  <w:tcBorders>
                    <w:top w:val="single" w:color="auto" w:sz="4" w:space="0"/>
                    <w:left w:val="single" w:color="auto" w:sz="4" w:space="0"/>
                    <w:bottom w:val="single" w:color="auto" w:sz="4" w:space="0"/>
                    <w:right w:val="single" w:color="auto" w:sz="4" w:space="0"/>
                  </w:tcBorders>
                  <w:vAlign w:val="center"/>
                </w:tcPr>
                <w:p w14:paraId="64B5376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55</w:t>
                  </w:r>
                </w:p>
              </w:tc>
              <w:tc>
                <w:tcPr>
                  <w:tcW w:w="311" w:type="pct"/>
                  <w:tcBorders>
                    <w:top w:val="single" w:color="auto" w:sz="4" w:space="0"/>
                    <w:left w:val="single" w:color="auto" w:sz="4" w:space="0"/>
                    <w:bottom w:val="single" w:color="auto" w:sz="4" w:space="0"/>
                    <w:right w:val="single" w:color="auto" w:sz="4" w:space="0"/>
                  </w:tcBorders>
                  <w:vAlign w:val="center"/>
                </w:tcPr>
                <w:p w14:paraId="171C093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53</w:t>
                  </w:r>
                </w:p>
              </w:tc>
              <w:tc>
                <w:tcPr>
                  <w:tcW w:w="311" w:type="pct"/>
                  <w:tcBorders>
                    <w:top w:val="single" w:color="auto" w:sz="4" w:space="0"/>
                    <w:left w:val="single" w:color="auto" w:sz="4" w:space="0"/>
                    <w:bottom w:val="single" w:color="auto" w:sz="4" w:space="0"/>
                    <w:right w:val="single" w:color="auto" w:sz="4" w:space="0"/>
                  </w:tcBorders>
                  <w:vAlign w:val="center"/>
                </w:tcPr>
                <w:p w14:paraId="299B75A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51</w:t>
                  </w:r>
                </w:p>
              </w:tc>
              <w:tc>
                <w:tcPr>
                  <w:tcW w:w="311" w:type="pct"/>
                  <w:tcBorders>
                    <w:top w:val="single" w:color="auto" w:sz="4" w:space="0"/>
                    <w:left w:val="single" w:color="auto" w:sz="4" w:space="0"/>
                    <w:bottom w:val="single" w:color="auto" w:sz="4" w:space="0"/>
                    <w:right w:val="single" w:color="auto" w:sz="4" w:space="0"/>
                  </w:tcBorders>
                  <w:vAlign w:val="center"/>
                </w:tcPr>
                <w:p w14:paraId="4BFD513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49</w:t>
                  </w:r>
                </w:p>
              </w:tc>
              <w:tc>
                <w:tcPr>
                  <w:tcW w:w="279" w:type="pct"/>
                  <w:tcBorders>
                    <w:top w:val="single" w:color="auto" w:sz="4" w:space="0"/>
                    <w:left w:val="single" w:color="auto" w:sz="4" w:space="0"/>
                    <w:bottom w:val="single" w:color="auto" w:sz="4" w:space="0"/>
                    <w:right w:val="single" w:color="auto" w:sz="4" w:space="0"/>
                  </w:tcBorders>
                  <w:vAlign w:val="center"/>
                </w:tcPr>
                <w:p w14:paraId="5022C5F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47</w:t>
                  </w:r>
                </w:p>
              </w:tc>
              <w:tc>
                <w:tcPr>
                  <w:tcW w:w="365" w:type="pct"/>
                  <w:tcBorders>
                    <w:top w:val="single" w:color="auto" w:sz="4" w:space="0"/>
                    <w:left w:val="single" w:color="auto" w:sz="4" w:space="0"/>
                    <w:bottom w:val="single" w:color="auto" w:sz="4" w:space="0"/>
                    <w:right w:val="single" w:color="auto" w:sz="4" w:space="0"/>
                  </w:tcBorders>
                  <w:vAlign w:val="center"/>
                </w:tcPr>
                <w:p w14:paraId="611153A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45</w:t>
                  </w:r>
                </w:p>
              </w:tc>
              <w:tc>
                <w:tcPr>
                  <w:tcW w:w="346" w:type="pct"/>
                  <w:tcBorders>
                    <w:top w:val="single" w:color="auto" w:sz="4" w:space="0"/>
                    <w:left w:val="single" w:color="auto" w:sz="4" w:space="0"/>
                    <w:bottom w:val="single" w:color="auto" w:sz="4" w:space="0"/>
                    <w:right w:val="single" w:color="auto" w:sz="4" w:space="0"/>
                  </w:tcBorders>
                  <w:vAlign w:val="center"/>
                </w:tcPr>
                <w:p w14:paraId="70C3B72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42</w:t>
                  </w:r>
                </w:p>
              </w:tc>
            </w:tr>
            <w:tr w14:paraId="3FF7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3437FBC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振动筛</w:t>
                  </w:r>
                </w:p>
              </w:tc>
              <w:tc>
                <w:tcPr>
                  <w:tcW w:w="370" w:type="pct"/>
                  <w:tcBorders>
                    <w:top w:val="single" w:color="auto" w:sz="4" w:space="0"/>
                    <w:left w:val="single" w:color="auto" w:sz="4" w:space="0"/>
                    <w:bottom w:val="single" w:color="auto" w:sz="4" w:space="0"/>
                    <w:right w:val="single" w:color="auto" w:sz="4" w:space="0"/>
                  </w:tcBorders>
                  <w:vAlign w:val="center"/>
                </w:tcPr>
                <w:p w14:paraId="62C40C2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05</w:t>
                  </w:r>
                </w:p>
              </w:tc>
              <w:tc>
                <w:tcPr>
                  <w:tcW w:w="335" w:type="pct"/>
                  <w:tcBorders>
                    <w:top w:val="single" w:color="auto" w:sz="4" w:space="0"/>
                    <w:left w:val="single" w:color="auto" w:sz="4" w:space="0"/>
                    <w:bottom w:val="single" w:color="auto" w:sz="4" w:space="0"/>
                    <w:right w:val="single" w:color="auto" w:sz="4" w:space="0"/>
                  </w:tcBorders>
                  <w:vAlign w:val="center"/>
                </w:tcPr>
                <w:p w14:paraId="16138A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w:t>
                  </w:r>
                </w:p>
              </w:tc>
              <w:tc>
                <w:tcPr>
                  <w:tcW w:w="285" w:type="pct"/>
                  <w:tcBorders>
                    <w:top w:val="single" w:color="auto" w:sz="4" w:space="0"/>
                    <w:left w:val="single" w:color="auto" w:sz="4" w:space="0"/>
                    <w:bottom w:val="single" w:color="auto" w:sz="4" w:space="0"/>
                    <w:right w:val="single" w:color="auto" w:sz="4" w:space="0"/>
                  </w:tcBorders>
                  <w:vAlign w:val="center"/>
                </w:tcPr>
                <w:p w14:paraId="06B69D7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76</w:t>
                  </w:r>
                </w:p>
              </w:tc>
              <w:tc>
                <w:tcPr>
                  <w:tcW w:w="304" w:type="pct"/>
                  <w:tcBorders>
                    <w:top w:val="single" w:color="auto" w:sz="4" w:space="0"/>
                    <w:left w:val="single" w:color="auto" w:sz="4" w:space="0"/>
                    <w:bottom w:val="single" w:color="auto" w:sz="4" w:space="0"/>
                    <w:right w:val="single" w:color="auto" w:sz="4" w:space="0"/>
                  </w:tcBorders>
                  <w:vAlign w:val="center"/>
                </w:tcPr>
                <w:p w14:paraId="26C37C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70</w:t>
                  </w:r>
                </w:p>
              </w:tc>
              <w:tc>
                <w:tcPr>
                  <w:tcW w:w="311" w:type="pct"/>
                  <w:tcBorders>
                    <w:top w:val="single" w:color="auto" w:sz="4" w:space="0"/>
                    <w:left w:val="single" w:color="auto" w:sz="4" w:space="0"/>
                    <w:bottom w:val="single" w:color="auto" w:sz="4" w:space="0"/>
                    <w:right w:val="single" w:color="auto" w:sz="4" w:space="0"/>
                  </w:tcBorders>
                  <w:vAlign w:val="center"/>
                </w:tcPr>
                <w:p w14:paraId="3494C2A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67</w:t>
                  </w:r>
                </w:p>
              </w:tc>
              <w:tc>
                <w:tcPr>
                  <w:tcW w:w="311" w:type="pct"/>
                  <w:tcBorders>
                    <w:top w:val="single" w:color="auto" w:sz="4" w:space="0"/>
                    <w:left w:val="single" w:color="auto" w:sz="4" w:space="0"/>
                    <w:bottom w:val="single" w:color="auto" w:sz="4" w:space="0"/>
                    <w:right w:val="single" w:color="auto" w:sz="4" w:space="0"/>
                  </w:tcBorders>
                  <w:vAlign w:val="center"/>
                </w:tcPr>
                <w:p w14:paraId="49FBC39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65</w:t>
                  </w:r>
                </w:p>
              </w:tc>
              <w:tc>
                <w:tcPr>
                  <w:tcW w:w="311" w:type="pct"/>
                  <w:tcBorders>
                    <w:top w:val="single" w:color="auto" w:sz="4" w:space="0"/>
                    <w:left w:val="single" w:color="auto" w:sz="4" w:space="0"/>
                    <w:bottom w:val="single" w:color="auto" w:sz="4" w:space="0"/>
                    <w:right w:val="single" w:color="auto" w:sz="4" w:space="0"/>
                  </w:tcBorders>
                  <w:vAlign w:val="center"/>
                </w:tcPr>
                <w:p w14:paraId="5A8BC35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63</w:t>
                  </w:r>
                </w:p>
              </w:tc>
              <w:tc>
                <w:tcPr>
                  <w:tcW w:w="311" w:type="pct"/>
                  <w:tcBorders>
                    <w:top w:val="single" w:color="auto" w:sz="4" w:space="0"/>
                    <w:left w:val="single" w:color="auto" w:sz="4" w:space="0"/>
                    <w:bottom w:val="single" w:color="auto" w:sz="4" w:space="0"/>
                    <w:right w:val="single" w:color="auto" w:sz="4" w:space="0"/>
                  </w:tcBorders>
                  <w:vAlign w:val="center"/>
                </w:tcPr>
                <w:p w14:paraId="3ED2872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61</w:t>
                  </w:r>
                </w:p>
              </w:tc>
              <w:tc>
                <w:tcPr>
                  <w:tcW w:w="311" w:type="pct"/>
                  <w:tcBorders>
                    <w:top w:val="single" w:color="auto" w:sz="4" w:space="0"/>
                    <w:left w:val="single" w:color="auto" w:sz="4" w:space="0"/>
                    <w:bottom w:val="single" w:color="auto" w:sz="4" w:space="0"/>
                    <w:right w:val="single" w:color="auto" w:sz="4" w:space="0"/>
                  </w:tcBorders>
                  <w:vAlign w:val="center"/>
                </w:tcPr>
                <w:p w14:paraId="2D9797C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59</w:t>
                  </w:r>
                </w:p>
              </w:tc>
              <w:tc>
                <w:tcPr>
                  <w:tcW w:w="311" w:type="pct"/>
                  <w:tcBorders>
                    <w:top w:val="single" w:color="auto" w:sz="4" w:space="0"/>
                    <w:left w:val="single" w:color="auto" w:sz="4" w:space="0"/>
                    <w:bottom w:val="single" w:color="auto" w:sz="4" w:space="0"/>
                    <w:right w:val="single" w:color="auto" w:sz="4" w:space="0"/>
                  </w:tcBorders>
                  <w:vAlign w:val="center"/>
                </w:tcPr>
                <w:p w14:paraId="2BA627A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57</w:t>
                  </w:r>
                </w:p>
              </w:tc>
              <w:tc>
                <w:tcPr>
                  <w:tcW w:w="311" w:type="pct"/>
                  <w:tcBorders>
                    <w:top w:val="single" w:color="auto" w:sz="4" w:space="0"/>
                    <w:left w:val="single" w:color="auto" w:sz="4" w:space="0"/>
                    <w:bottom w:val="single" w:color="auto" w:sz="4" w:space="0"/>
                    <w:right w:val="single" w:color="auto" w:sz="4" w:space="0"/>
                  </w:tcBorders>
                  <w:vAlign w:val="center"/>
                </w:tcPr>
                <w:p w14:paraId="204CD9C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55</w:t>
                  </w:r>
                </w:p>
              </w:tc>
              <w:tc>
                <w:tcPr>
                  <w:tcW w:w="279" w:type="pct"/>
                  <w:tcBorders>
                    <w:top w:val="single" w:color="auto" w:sz="4" w:space="0"/>
                    <w:left w:val="single" w:color="auto" w:sz="4" w:space="0"/>
                    <w:bottom w:val="single" w:color="auto" w:sz="4" w:space="0"/>
                    <w:right w:val="single" w:color="auto" w:sz="4" w:space="0"/>
                  </w:tcBorders>
                  <w:vAlign w:val="center"/>
                </w:tcPr>
                <w:p w14:paraId="3F4BC7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53</w:t>
                  </w:r>
                </w:p>
              </w:tc>
              <w:tc>
                <w:tcPr>
                  <w:tcW w:w="365" w:type="pct"/>
                  <w:tcBorders>
                    <w:top w:val="single" w:color="auto" w:sz="4" w:space="0"/>
                    <w:left w:val="single" w:color="auto" w:sz="4" w:space="0"/>
                    <w:bottom w:val="single" w:color="auto" w:sz="4" w:space="0"/>
                    <w:right w:val="single" w:color="auto" w:sz="4" w:space="0"/>
                  </w:tcBorders>
                  <w:vAlign w:val="center"/>
                </w:tcPr>
                <w:p w14:paraId="593F4CF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51</w:t>
                  </w:r>
                </w:p>
              </w:tc>
              <w:tc>
                <w:tcPr>
                  <w:tcW w:w="346" w:type="pct"/>
                  <w:tcBorders>
                    <w:top w:val="single" w:color="auto" w:sz="4" w:space="0"/>
                    <w:left w:val="single" w:color="auto" w:sz="4" w:space="0"/>
                    <w:bottom w:val="single" w:color="auto" w:sz="4" w:space="0"/>
                    <w:right w:val="single" w:color="auto" w:sz="4" w:space="0"/>
                  </w:tcBorders>
                  <w:vAlign w:val="center"/>
                </w:tcPr>
                <w:p w14:paraId="6C77835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47</w:t>
                  </w:r>
                </w:p>
              </w:tc>
            </w:tr>
            <w:tr w14:paraId="1F20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044795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柴油机</w:t>
                  </w:r>
                </w:p>
              </w:tc>
              <w:tc>
                <w:tcPr>
                  <w:tcW w:w="370" w:type="pct"/>
                  <w:tcBorders>
                    <w:top w:val="single" w:color="auto" w:sz="4" w:space="0"/>
                    <w:left w:val="single" w:color="auto" w:sz="4" w:space="0"/>
                    <w:bottom w:val="single" w:color="auto" w:sz="4" w:space="0"/>
                    <w:right w:val="single" w:color="auto" w:sz="4" w:space="0"/>
                  </w:tcBorders>
                  <w:vAlign w:val="center"/>
                </w:tcPr>
                <w:p w14:paraId="494A312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95</w:t>
                  </w:r>
                </w:p>
              </w:tc>
              <w:tc>
                <w:tcPr>
                  <w:tcW w:w="335" w:type="pct"/>
                  <w:tcBorders>
                    <w:top w:val="single" w:color="auto" w:sz="4" w:space="0"/>
                    <w:left w:val="single" w:color="auto" w:sz="4" w:space="0"/>
                    <w:bottom w:val="single" w:color="auto" w:sz="4" w:space="0"/>
                    <w:right w:val="single" w:color="auto" w:sz="4" w:space="0"/>
                  </w:tcBorders>
                  <w:vAlign w:val="center"/>
                </w:tcPr>
                <w:p w14:paraId="3E4CD66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85</w:t>
                  </w:r>
                </w:p>
              </w:tc>
              <w:tc>
                <w:tcPr>
                  <w:tcW w:w="285" w:type="pct"/>
                  <w:tcBorders>
                    <w:top w:val="single" w:color="auto" w:sz="4" w:space="0"/>
                    <w:left w:val="single" w:color="auto" w:sz="4" w:space="0"/>
                    <w:bottom w:val="single" w:color="auto" w:sz="4" w:space="0"/>
                    <w:right w:val="single" w:color="auto" w:sz="4" w:space="0"/>
                  </w:tcBorders>
                  <w:vAlign w:val="center"/>
                </w:tcPr>
                <w:p w14:paraId="24C8EA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71</w:t>
                  </w:r>
                </w:p>
              </w:tc>
              <w:tc>
                <w:tcPr>
                  <w:tcW w:w="304" w:type="pct"/>
                  <w:tcBorders>
                    <w:top w:val="single" w:color="auto" w:sz="4" w:space="0"/>
                    <w:left w:val="single" w:color="auto" w:sz="4" w:space="0"/>
                    <w:bottom w:val="single" w:color="auto" w:sz="4" w:space="0"/>
                    <w:right w:val="single" w:color="auto" w:sz="4" w:space="0"/>
                  </w:tcBorders>
                  <w:vAlign w:val="center"/>
                </w:tcPr>
                <w:p w14:paraId="4ADD0BF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65</w:t>
                  </w:r>
                </w:p>
              </w:tc>
              <w:tc>
                <w:tcPr>
                  <w:tcW w:w="311" w:type="pct"/>
                  <w:tcBorders>
                    <w:top w:val="single" w:color="auto" w:sz="4" w:space="0"/>
                    <w:left w:val="single" w:color="auto" w:sz="4" w:space="0"/>
                    <w:bottom w:val="single" w:color="auto" w:sz="4" w:space="0"/>
                    <w:right w:val="single" w:color="auto" w:sz="4" w:space="0"/>
                  </w:tcBorders>
                  <w:vAlign w:val="center"/>
                </w:tcPr>
                <w:p w14:paraId="1D2093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61</w:t>
                  </w:r>
                </w:p>
              </w:tc>
              <w:tc>
                <w:tcPr>
                  <w:tcW w:w="311" w:type="pct"/>
                  <w:tcBorders>
                    <w:top w:val="single" w:color="auto" w:sz="4" w:space="0"/>
                    <w:left w:val="single" w:color="auto" w:sz="4" w:space="0"/>
                    <w:bottom w:val="single" w:color="auto" w:sz="4" w:space="0"/>
                    <w:right w:val="single" w:color="auto" w:sz="4" w:space="0"/>
                  </w:tcBorders>
                  <w:vAlign w:val="center"/>
                </w:tcPr>
                <w:p w14:paraId="05B6BD9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59</w:t>
                  </w:r>
                </w:p>
              </w:tc>
              <w:tc>
                <w:tcPr>
                  <w:tcW w:w="311" w:type="pct"/>
                  <w:tcBorders>
                    <w:top w:val="single" w:color="auto" w:sz="4" w:space="0"/>
                    <w:left w:val="single" w:color="auto" w:sz="4" w:space="0"/>
                    <w:bottom w:val="single" w:color="auto" w:sz="4" w:space="0"/>
                    <w:right w:val="single" w:color="auto" w:sz="4" w:space="0"/>
                  </w:tcBorders>
                  <w:vAlign w:val="center"/>
                </w:tcPr>
                <w:p w14:paraId="4E93BE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57</w:t>
                  </w:r>
                </w:p>
              </w:tc>
              <w:tc>
                <w:tcPr>
                  <w:tcW w:w="311" w:type="pct"/>
                  <w:tcBorders>
                    <w:top w:val="single" w:color="auto" w:sz="4" w:space="0"/>
                    <w:left w:val="single" w:color="auto" w:sz="4" w:space="0"/>
                    <w:bottom w:val="single" w:color="auto" w:sz="4" w:space="0"/>
                    <w:right w:val="single" w:color="auto" w:sz="4" w:space="0"/>
                  </w:tcBorders>
                  <w:vAlign w:val="center"/>
                </w:tcPr>
                <w:p w14:paraId="150A43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55</w:t>
                  </w:r>
                </w:p>
              </w:tc>
              <w:tc>
                <w:tcPr>
                  <w:tcW w:w="311" w:type="pct"/>
                  <w:tcBorders>
                    <w:top w:val="single" w:color="auto" w:sz="4" w:space="0"/>
                    <w:left w:val="single" w:color="auto" w:sz="4" w:space="0"/>
                    <w:bottom w:val="single" w:color="auto" w:sz="4" w:space="0"/>
                    <w:right w:val="single" w:color="auto" w:sz="4" w:space="0"/>
                  </w:tcBorders>
                  <w:vAlign w:val="center"/>
                </w:tcPr>
                <w:p w14:paraId="45CDD2E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53</w:t>
                  </w:r>
                </w:p>
              </w:tc>
              <w:tc>
                <w:tcPr>
                  <w:tcW w:w="311" w:type="pct"/>
                  <w:tcBorders>
                    <w:top w:val="single" w:color="auto" w:sz="4" w:space="0"/>
                    <w:left w:val="single" w:color="auto" w:sz="4" w:space="0"/>
                    <w:bottom w:val="single" w:color="auto" w:sz="4" w:space="0"/>
                    <w:right w:val="single" w:color="auto" w:sz="4" w:space="0"/>
                  </w:tcBorders>
                  <w:vAlign w:val="center"/>
                </w:tcPr>
                <w:p w14:paraId="0420FCF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51</w:t>
                  </w:r>
                </w:p>
              </w:tc>
              <w:tc>
                <w:tcPr>
                  <w:tcW w:w="311" w:type="pct"/>
                  <w:tcBorders>
                    <w:top w:val="single" w:color="auto" w:sz="4" w:space="0"/>
                    <w:left w:val="single" w:color="auto" w:sz="4" w:space="0"/>
                    <w:bottom w:val="single" w:color="auto" w:sz="4" w:space="0"/>
                    <w:right w:val="single" w:color="auto" w:sz="4" w:space="0"/>
                  </w:tcBorders>
                  <w:vAlign w:val="center"/>
                </w:tcPr>
                <w:p w14:paraId="0094DA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49</w:t>
                  </w:r>
                </w:p>
              </w:tc>
              <w:tc>
                <w:tcPr>
                  <w:tcW w:w="279" w:type="pct"/>
                  <w:tcBorders>
                    <w:top w:val="single" w:color="auto" w:sz="4" w:space="0"/>
                    <w:left w:val="single" w:color="auto" w:sz="4" w:space="0"/>
                    <w:bottom w:val="single" w:color="auto" w:sz="4" w:space="0"/>
                    <w:right w:val="single" w:color="auto" w:sz="4" w:space="0"/>
                  </w:tcBorders>
                  <w:vAlign w:val="center"/>
                </w:tcPr>
                <w:p w14:paraId="69A1AD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47</w:t>
                  </w:r>
                </w:p>
              </w:tc>
              <w:tc>
                <w:tcPr>
                  <w:tcW w:w="365" w:type="pct"/>
                  <w:tcBorders>
                    <w:top w:val="single" w:color="auto" w:sz="4" w:space="0"/>
                    <w:left w:val="single" w:color="auto" w:sz="4" w:space="0"/>
                    <w:bottom w:val="single" w:color="auto" w:sz="4" w:space="0"/>
                    <w:right w:val="single" w:color="auto" w:sz="4" w:space="0"/>
                  </w:tcBorders>
                  <w:vAlign w:val="center"/>
                </w:tcPr>
                <w:p w14:paraId="7A9614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45</w:t>
                  </w:r>
                </w:p>
              </w:tc>
              <w:tc>
                <w:tcPr>
                  <w:tcW w:w="346" w:type="pct"/>
                  <w:tcBorders>
                    <w:top w:val="single" w:color="auto" w:sz="4" w:space="0"/>
                    <w:left w:val="single" w:color="auto" w:sz="4" w:space="0"/>
                    <w:bottom w:val="single" w:color="auto" w:sz="4" w:space="0"/>
                    <w:right w:val="single" w:color="auto" w:sz="4" w:space="0"/>
                  </w:tcBorders>
                  <w:vAlign w:val="center"/>
                </w:tcPr>
                <w:p w14:paraId="6AA0350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42</w:t>
                  </w:r>
                </w:p>
              </w:tc>
            </w:tr>
            <w:tr w14:paraId="0D6B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2C61973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搅拌机</w:t>
                  </w:r>
                </w:p>
              </w:tc>
              <w:tc>
                <w:tcPr>
                  <w:tcW w:w="370" w:type="pct"/>
                  <w:tcBorders>
                    <w:top w:val="single" w:color="auto" w:sz="4" w:space="0"/>
                    <w:left w:val="single" w:color="auto" w:sz="4" w:space="0"/>
                    <w:bottom w:val="single" w:color="auto" w:sz="4" w:space="0"/>
                    <w:right w:val="single" w:color="auto" w:sz="4" w:space="0"/>
                  </w:tcBorders>
                  <w:vAlign w:val="center"/>
                </w:tcPr>
                <w:p w14:paraId="36F3546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100</w:t>
                  </w:r>
                </w:p>
              </w:tc>
              <w:tc>
                <w:tcPr>
                  <w:tcW w:w="335" w:type="pct"/>
                  <w:tcBorders>
                    <w:top w:val="single" w:color="auto" w:sz="4" w:space="0"/>
                    <w:left w:val="single" w:color="auto" w:sz="4" w:space="0"/>
                    <w:bottom w:val="single" w:color="auto" w:sz="4" w:space="0"/>
                    <w:right w:val="single" w:color="auto" w:sz="4" w:space="0"/>
                  </w:tcBorders>
                  <w:vAlign w:val="center"/>
                </w:tcPr>
                <w:p w14:paraId="2FF8CB9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90</w:t>
                  </w:r>
                </w:p>
              </w:tc>
              <w:tc>
                <w:tcPr>
                  <w:tcW w:w="285" w:type="pct"/>
                  <w:tcBorders>
                    <w:top w:val="single" w:color="auto" w:sz="4" w:space="0"/>
                    <w:left w:val="single" w:color="auto" w:sz="4" w:space="0"/>
                    <w:bottom w:val="single" w:color="auto" w:sz="4" w:space="0"/>
                    <w:right w:val="single" w:color="auto" w:sz="4" w:space="0"/>
                  </w:tcBorders>
                  <w:vAlign w:val="center"/>
                </w:tcPr>
                <w:p w14:paraId="76A6CB6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46</w:t>
                  </w:r>
                </w:p>
              </w:tc>
              <w:tc>
                <w:tcPr>
                  <w:tcW w:w="304" w:type="pct"/>
                  <w:tcBorders>
                    <w:top w:val="single" w:color="auto" w:sz="4" w:space="0"/>
                    <w:left w:val="single" w:color="auto" w:sz="4" w:space="0"/>
                    <w:bottom w:val="single" w:color="auto" w:sz="4" w:space="0"/>
                    <w:right w:val="single" w:color="auto" w:sz="4" w:space="0"/>
                  </w:tcBorders>
                  <w:vAlign w:val="center"/>
                </w:tcPr>
                <w:p w14:paraId="77D5F1B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70</w:t>
                  </w:r>
                </w:p>
              </w:tc>
              <w:tc>
                <w:tcPr>
                  <w:tcW w:w="311" w:type="pct"/>
                  <w:tcBorders>
                    <w:top w:val="single" w:color="auto" w:sz="4" w:space="0"/>
                    <w:left w:val="single" w:color="auto" w:sz="4" w:space="0"/>
                    <w:bottom w:val="single" w:color="auto" w:sz="4" w:space="0"/>
                    <w:right w:val="single" w:color="auto" w:sz="4" w:space="0"/>
                  </w:tcBorders>
                  <w:vAlign w:val="center"/>
                </w:tcPr>
                <w:p w14:paraId="65A664B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66</w:t>
                  </w:r>
                </w:p>
              </w:tc>
              <w:tc>
                <w:tcPr>
                  <w:tcW w:w="311" w:type="pct"/>
                  <w:tcBorders>
                    <w:top w:val="single" w:color="auto" w:sz="4" w:space="0"/>
                    <w:left w:val="single" w:color="auto" w:sz="4" w:space="0"/>
                    <w:bottom w:val="single" w:color="auto" w:sz="4" w:space="0"/>
                    <w:right w:val="single" w:color="auto" w:sz="4" w:space="0"/>
                  </w:tcBorders>
                  <w:vAlign w:val="center"/>
                </w:tcPr>
                <w:p w14:paraId="3B73016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64</w:t>
                  </w:r>
                </w:p>
              </w:tc>
              <w:tc>
                <w:tcPr>
                  <w:tcW w:w="311" w:type="pct"/>
                  <w:tcBorders>
                    <w:top w:val="single" w:color="auto" w:sz="4" w:space="0"/>
                    <w:left w:val="single" w:color="auto" w:sz="4" w:space="0"/>
                    <w:bottom w:val="single" w:color="auto" w:sz="4" w:space="0"/>
                    <w:right w:val="single" w:color="auto" w:sz="4" w:space="0"/>
                  </w:tcBorders>
                  <w:vAlign w:val="center"/>
                </w:tcPr>
                <w:p w14:paraId="460A5B8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62</w:t>
                  </w:r>
                </w:p>
              </w:tc>
              <w:tc>
                <w:tcPr>
                  <w:tcW w:w="311" w:type="pct"/>
                  <w:tcBorders>
                    <w:top w:val="single" w:color="auto" w:sz="4" w:space="0"/>
                    <w:left w:val="single" w:color="auto" w:sz="4" w:space="0"/>
                    <w:bottom w:val="single" w:color="auto" w:sz="4" w:space="0"/>
                    <w:right w:val="single" w:color="auto" w:sz="4" w:space="0"/>
                  </w:tcBorders>
                  <w:vAlign w:val="center"/>
                </w:tcPr>
                <w:p w14:paraId="16656AD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60</w:t>
                  </w:r>
                </w:p>
              </w:tc>
              <w:tc>
                <w:tcPr>
                  <w:tcW w:w="311" w:type="pct"/>
                  <w:tcBorders>
                    <w:top w:val="single" w:color="auto" w:sz="4" w:space="0"/>
                    <w:left w:val="single" w:color="auto" w:sz="4" w:space="0"/>
                    <w:bottom w:val="single" w:color="auto" w:sz="4" w:space="0"/>
                    <w:right w:val="single" w:color="auto" w:sz="4" w:space="0"/>
                  </w:tcBorders>
                  <w:vAlign w:val="center"/>
                </w:tcPr>
                <w:p w14:paraId="4BBF663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58</w:t>
                  </w:r>
                </w:p>
              </w:tc>
              <w:tc>
                <w:tcPr>
                  <w:tcW w:w="311" w:type="pct"/>
                  <w:tcBorders>
                    <w:top w:val="single" w:color="auto" w:sz="4" w:space="0"/>
                    <w:left w:val="single" w:color="auto" w:sz="4" w:space="0"/>
                    <w:bottom w:val="single" w:color="auto" w:sz="4" w:space="0"/>
                    <w:right w:val="single" w:color="auto" w:sz="4" w:space="0"/>
                  </w:tcBorders>
                  <w:vAlign w:val="center"/>
                </w:tcPr>
                <w:p w14:paraId="08C0E56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56</w:t>
                  </w:r>
                </w:p>
              </w:tc>
              <w:tc>
                <w:tcPr>
                  <w:tcW w:w="311" w:type="pct"/>
                  <w:tcBorders>
                    <w:top w:val="single" w:color="auto" w:sz="4" w:space="0"/>
                    <w:left w:val="single" w:color="auto" w:sz="4" w:space="0"/>
                    <w:bottom w:val="single" w:color="auto" w:sz="4" w:space="0"/>
                    <w:right w:val="single" w:color="auto" w:sz="4" w:space="0"/>
                  </w:tcBorders>
                  <w:vAlign w:val="center"/>
                </w:tcPr>
                <w:p w14:paraId="6B2CAA2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54</w:t>
                  </w:r>
                </w:p>
              </w:tc>
              <w:tc>
                <w:tcPr>
                  <w:tcW w:w="279" w:type="pct"/>
                  <w:tcBorders>
                    <w:top w:val="single" w:color="auto" w:sz="4" w:space="0"/>
                    <w:left w:val="single" w:color="auto" w:sz="4" w:space="0"/>
                    <w:bottom w:val="single" w:color="auto" w:sz="4" w:space="0"/>
                    <w:right w:val="single" w:color="auto" w:sz="4" w:space="0"/>
                  </w:tcBorders>
                  <w:vAlign w:val="center"/>
                </w:tcPr>
                <w:p w14:paraId="2B898EC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52</w:t>
                  </w:r>
                </w:p>
              </w:tc>
              <w:tc>
                <w:tcPr>
                  <w:tcW w:w="365" w:type="pct"/>
                  <w:tcBorders>
                    <w:top w:val="single" w:color="auto" w:sz="4" w:space="0"/>
                    <w:left w:val="single" w:color="auto" w:sz="4" w:space="0"/>
                    <w:bottom w:val="single" w:color="auto" w:sz="4" w:space="0"/>
                    <w:right w:val="single" w:color="auto" w:sz="4" w:space="0"/>
                  </w:tcBorders>
                  <w:vAlign w:val="center"/>
                </w:tcPr>
                <w:p w14:paraId="57379A6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50</w:t>
                  </w:r>
                </w:p>
              </w:tc>
              <w:tc>
                <w:tcPr>
                  <w:tcW w:w="346" w:type="pct"/>
                  <w:tcBorders>
                    <w:top w:val="single" w:color="auto" w:sz="4" w:space="0"/>
                    <w:left w:val="single" w:color="auto" w:sz="4" w:space="0"/>
                    <w:bottom w:val="single" w:color="auto" w:sz="4" w:space="0"/>
                    <w:right w:val="single" w:color="auto" w:sz="4" w:space="0"/>
                  </w:tcBorders>
                  <w:vAlign w:val="center"/>
                </w:tcPr>
                <w:p w14:paraId="0B2B0BA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46</w:t>
                  </w:r>
                </w:p>
              </w:tc>
            </w:tr>
          </w:tbl>
          <w:p w14:paraId="7D1B251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根据预测结果，施工期间，</w:t>
            </w:r>
            <w:r>
              <w:rPr>
                <w:rFonts w:hint="eastAsia" w:ascii="Times New Roman" w:hAnsi="Times New Roman"/>
                <w:color w:val="000000" w:themeColor="text1"/>
                <w:sz w:val="24"/>
                <w:szCs w:val="24"/>
                <w14:textFill>
                  <w14:solidFill>
                    <w14:schemeClr w14:val="tx1"/>
                  </w14:solidFill>
                </w14:textFill>
              </w:rPr>
              <w:t>各类机械</w:t>
            </w:r>
            <w:r>
              <w:rPr>
                <w:rFonts w:ascii="Times New Roman" w:hAnsi="Times New Roman"/>
                <w:color w:val="000000" w:themeColor="text1"/>
                <w:sz w:val="24"/>
                <w:szCs w:val="24"/>
                <w14:textFill>
                  <w14:solidFill>
                    <w14:schemeClr w14:val="tx1"/>
                  </w14:solidFill>
                </w14:textFill>
              </w:rPr>
              <w:t>的噪声在施工场界外</w:t>
            </w:r>
            <w:r>
              <w:rPr>
                <w:rFonts w:hint="eastAsia" w:ascii="Times New Roman" w:hAnsi="Times New Roman"/>
                <w:color w:val="000000" w:themeColor="text1"/>
                <w:sz w:val="24"/>
                <w:szCs w:val="24"/>
                <w14:textFill>
                  <w14:solidFill>
                    <w14:schemeClr w14:val="tx1"/>
                  </w14:solidFill>
                </w14:textFill>
              </w:rPr>
              <w:t>6</w:t>
            </w:r>
            <w:r>
              <w:rPr>
                <w:rFonts w:ascii="Times New Roman" w:hAnsi="Times New Roman"/>
                <w:color w:val="000000" w:themeColor="text1"/>
                <w:sz w:val="24"/>
                <w:szCs w:val="24"/>
                <w14:textFill>
                  <w14:solidFill>
                    <w14:schemeClr w14:val="tx1"/>
                  </w14:solidFill>
                </w14:textFill>
              </w:rPr>
              <w:t>0m处时噪声达</w:t>
            </w:r>
            <w:r>
              <w:rPr>
                <w:rFonts w:hint="eastAsia" w:ascii="Times New Roman" w:hAnsi="Times New Roman"/>
                <w:color w:val="000000" w:themeColor="text1"/>
                <w:sz w:val="24"/>
                <w:szCs w:val="24"/>
                <w14:textFill>
                  <w14:solidFill>
                    <w14:schemeClr w14:val="tx1"/>
                  </w14:solidFill>
                </w14:textFill>
              </w:rPr>
              <w:t>《建筑施工噪声排放标准》（GB12523-2025）</w:t>
            </w:r>
            <w:r>
              <w:rPr>
                <w:rFonts w:ascii="Times New Roman" w:hAnsi="Times New Roman"/>
                <w:color w:val="000000" w:themeColor="text1"/>
                <w:sz w:val="24"/>
                <w:szCs w:val="24"/>
                <w14:textFill>
                  <w14:solidFill>
                    <w14:schemeClr w14:val="tx1"/>
                  </w14:solidFill>
                </w14:textFill>
              </w:rPr>
              <w:t>标准要求（昼间70dB（A），夜间55dB（A））。同时，对高噪声设备采取隔声措施，并加强机械设备的保养，保证机械设备的正常运转，以降低设备正常运转的噪声。进一步落实以上措施后，钻井噪声对周边环境及施工人员的影响将进一步减少，钻井期产生噪声对周边环境影响不大。</w:t>
            </w:r>
          </w:p>
          <w:p w14:paraId="156C032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试油期时间短且产生噪声的设备少，试油期产生噪声对周边环境影响不大。</w:t>
            </w:r>
          </w:p>
          <w:p w14:paraId="6BC10657">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施工期固体废物影响分析</w:t>
            </w:r>
          </w:p>
          <w:p w14:paraId="671D336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本项目在钻井期固体废物主要是水基岩屑、油基岩屑、机械设备废油、废弃防渗膜</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生活垃圾。</w:t>
            </w:r>
          </w:p>
          <w:p w14:paraId="6649398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（1）钻井岩屑</w:t>
            </w:r>
          </w:p>
          <w:p w14:paraId="222FC9DB">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钻井岩屑产生、排放量与井身结构等因素有关，岩屑产生量可按下式计算：</w:t>
            </w:r>
          </w:p>
          <w:p w14:paraId="1E5F8EAF">
            <w:pPr>
              <w:spacing w:line="480" w:lineRule="auto"/>
              <w:ind w:firstLine="48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W=1/4×л×D</w:t>
            </w:r>
            <w:r>
              <w:rPr>
                <w:color w:val="000000" w:themeColor="text1"/>
                <w:kern w:val="0"/>
                <w:vertAlign w:val="superscript"/>
                <w14:textFill>
                  <w14:solidFill>
                    <w14:schemeClr w14:val="tx1"/>
                  </w14:solidFill>
                </w14:textFill>
              </w:rPr>
              <w:t>2</w:t>
            </w:r>
            <w:r>
              <w:rPr>
                <w:color w:val="000000" w:themeColor="text1"/>
                <w:kern w:val="0"/>
                <w14:textFill>
                  <w14:solidFill>
                    <w14:schemeClr w14:val="tx1"/>
                  </w14:solidFill>
                </w14:textFill>
              </w:rPr>
              <w:t>×h×α×d</w:t>
            </w:r>
          </w:p>
          <w:p w14:paraId="52F184EC">
            <w:pPr>
              <w:ind w:firstLine="48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式中：W－钻井岩屑排放量，t；</w:t>
            </w:r>
          </w:p>
          <w:p w14:paraId="1685382A">
            <w:pPr>
              <w:ind w:firstLine="1200" w:firstLineChars="50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D—井的直径，m；</w:t>
            </w:r>
          </w:p>
          <w:p w14:paraId="0FC8625A">
            <w:pPr>
              <w:ind w:firstLine="1200" w:firstLineChars="50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h－井深，m；</w:t>
            </w:r>
          </w:p>
          <w:p w14:paraId="1571C7ED">
            <w:pPr>
              <w:pStyle w:val="32"/>
              <w:adjustRightInd/>
              <w:snapToGrid/>
              <w:ind w:firstLine="1200" w:firstLineChars="500"/>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d－所钻岩石的密度（g/cm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），取2.5g/cm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w:t>
            </w:r>
          </w:p>
          <w:p w14:paraId="490F8F89">
            <w:pPr>
              <w:ind w:firstLine="1200" w:firstLineChars="50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α－岩石膨胀系数，水基取4.0，油基取4.5。</w:t>
            </w:r>
          </w:p>
          <w:p w14:paraId="75025CB3">
            <w:pPr>
              <w:ind w:firstLine="48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计算得知：本项目钻井岩屑产生情况见表4-</w:t>
            </w:r>
            <w:r>
              <w:rPr>
                <w:rFonts w:hint="eastAsia"/>
                <w:color w:val="000000" w:themeColor="text1"/>
                <w:kern w:val="0"/>
                <w14:textFill>
                  <w14:solidFill>
                    <w14:schemeClr w14:val="tx1"/>
                  </w14:solidFill>
                </w14:textFill>
              </w:rPr>
              <w:t>10</w:t>
            </w:r>
            <w:r>
              <w:rPr>
                <w:color w:val="000000" w:themeColor="text1"/>
                <w:kern w:val="0"/>
                <w14:textFill>
                  <w14:solidFill>
                    <w14:schemeClr w14:val="tx1"/>
                  </w14:solidFill>
                </w14:textFill>
              </w:rPr>
              <w:t>。</w:t>
            </w:r>
          </w:p>
          <w:p w14:paraId="76AB2860">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w:t>
            </w:r>
            <w:r>
              <w:rPr>
                <w:rFonts w:hint="eastAsia"/>
                <w:bCs/>
                <w:color w:val="000000" w:themeColor="text1"/>
                <w:sz w:val="21"/>
                <w:szCs w:val="21"/>
                <w14:textFill>
                  <w14:solidFill>
                    <w14:schemeClr w14:val="tx1"/>
                  </w14:solidFill>
                </w14:textFill>
              </w:rPr>
              <w:t>10</w:t>
            </w:r>
            <w:r>
              <w:rPr>
                <w:bCs/>
                <w:color w:val="000000" w:themeColor="text1"/>
                <w:sz w:val="21"/>
                <w:szCs w:val="21"/>
                <w14:textFill>
                  <w14:solidFill>
                    <w14:schemeClr w14:val="tx1"/>
                  </w14:solidFill>
                </w14:textFill>
              </w:rPr>
              <w:t xml:space="preserve">  钻井岩屑产生量</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33"/>
              <w:gridCol w:w="1768"/>
              <w:gridCol w:w="1768"/>
              <w:gridCol w:w="1766"/>
              <w:gridCol w:w="1766"/>
            </w:tblGrid>
            <w:tr w14:paraId="3747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Align w:val="center"/>
                </w:tcPr>
                <w:p w14:paraId="1F38D3B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井号</w:t>
                  </w:r>
                </w:p>
              </w:tc>
              <w:tc>
                <w:tcPr>
                  <w:tcW w:w="1039" w:type="pct"/>
                  <w:vAlign w:val="center"/>
                </w:tcPr>
                <w:p w14:paraId="621E585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井段</w:t>
                  </w:r>
                </w:p>
              </w:tc>
              <w:tc>
                <w:tcPr>
                  <w:tcW w:w="1039" w:type="pct"/>
                  <w:vAlign w:val="center"/>
                </w:tcPr>
                <w:p w14:paraId="4130B59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井深（m）</w:t>
                  </w:r>
                </w:p>
              </w:tc>
              <w:tc>
                <w:tcPr>
                  <w:tcW w:w="1038" w:type="pct"/>
                  <w:vAlign w:val="center"/>
                </w:tcPr>
                <w:p w14:paraId="04B21D9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水基岩屑量（t）</w:t>
                  </w:r>
                </w:p>
              </w:tc>
              <w:tc>
                <w:tcPr>
                  <w:tcW w:w="1038" w:type="pct"/>
                  <w:vAlign w:val="center"/>
                </w:tcPr>
                <w:p w14:paraId="40271B1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油基岩屑量（t）</w:t>
                  </w:r>
                </w:p>
              </w:tc>
            </w:tr>
            <w:tr w14:paraId="1288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restart"/>
                  <w:vAlign w:val="center"/>
                </w:tcPr>
                <w:p w14:paraId="4FE24FE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萨102-124</w:t>
                  </w:r>
                </w:p>
              </w:tc>
              <w:tc>
                <w:tcPr>
                  <w:tcW w:w="1039" w:type="pct"/>
                  <w:vAlign w:val="center"/>
                </w:tcPr>
                <w:p w14:paraId="3820A23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导眼</w:t>
                  </w:r>
                </w:p>
              </w:tc>
              <w:tc>
                <w:tcPr>
                  <w:tcW w:w="1039" w:type="pct"/>
                  <w:vAlign w:val="center"/>
                </w:tcPr>
                <w:p w14:paraId="56FB180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0~30</w:t>
                  </w:r>
                </w:p>
              </w:tc>
              <w:tc>
                <w:tcPr>
                  <w:tcW w:w="1038" w:type="pct"/>
                  <w:vAlign w:val="center"/>
                </w:tcPr>
                <w:p w14:paraId="79D4AEE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102.58</w:t>
                  </w:r>
                </w:p>
              </w:tc>
              <w:tc>
                <w:tcPr>
                  <w:tcW w:w="1038" w:type="pct"/>
                  <w:vAlign w:val="center"/>
                </w:tcPr>
                <w:p w14:paraId="6F47049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4FE2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vAlign w:val="center"/>
                </w:tcPr>
                <w:p w14:paraId="11285B4B">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5442FF0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一开</w:t>
                  </w:r>
                </w:p>
              </w:tc>
              <w:tc>
                <w:tcPr>
                  <w:tcW w:w="1039" w:type="pct"/>
                  <w:vAlign w:val="center"/>
                </w:tcPr>
                <w:p w14:paraId="293F4F0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p>
              </w:tc>
              <w:tc>
                <w:tcPr>
                  <w:tcW w:w="1038" w:type="pct"/>
                  <w:vAlign w:val="center"/>
                </w:tcPr>
                <w:p w14:paraId="7CC8311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2291.04</w:t>
                  </w:r>
                </w:p>
              </w:tc>
              <w:tc>
                <w:tcPr>
                  <w:tcW w:w="1038" w:type="pct"/>
                  <w:vAlign w:val="center"/>
                </w:tcPr>
                <w:p w14:paraId="2710F06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33F9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vAlign w:val="center"/>
                </w:tcPr>
                <w:p w14:paraId="505714FC">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37CCF9D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二开</w:t>
                  </w:r>
                </w:p>
              </w:tc>
              <w:tc>
                <w:tcPr>
                  <w:tcW w:w="1039" w:type="pct"/>
                  <w:vAlign w:val="center"/>
                </w:tcPr>
                <w:p w14:paraId="4D987A7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p>
              </w:tc>
              <w:tc>
                <w:tcPr>
                  <w:tcW w:w="1038" w:type="pct"/>
                  <w:vAlign w:val="center"/>
                </w:tcPr>
                <w:p w14:paraId="6D9F72F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190A1CA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890.20</w:t>
                  </w:r>
                </w:p>
              </w:tc>
            </w:tr>
            <w:tr w14:paraId="7162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vAlign w:val="center"/>
                </w:tcPr>
                <w:p w14:paraId="021644E7">
                  <w:pPr>
                    <w:pStyle w:val="26"/>
                    <w:framePr w:hSpace="0" w:wrap="auto" w:vAnchor="margin" w:hAnchor="text" w:xAlign="left" w:yAlign="inline"/>
                    <w:rPr>
                      <w:color w:val="000000" w:themeColor="text1"/>
                      <w14:textFill>
                        <w14:solidFill>
                          <w14:schemeClr w14:val="tx1"/>
                        </w14:solidFill>
                      </w14:textFill>
                    </w:rPr>
                  </w:pPr>
                  <w:bookmarkStart w:id="26" w:name="_Hlk68100090"/>
                </w:p>
              </w:tc>
              <w:tc>
                <w:tcPr>
                  <w:tcW w:w="1039" w:type="pct"/>
                  <w:vAlign w:val="center"/>
                </w:tcPr>
                <w:p w14:paraId="2B5E010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三开</w:t>
                  </w:r>
                </w:p>
              </w:tc>
              <w:tc>
                <w:tcPr>
                  <w:tcW w:w="1039" w:type="pct"/>
                  <w:vAlign w:val="center"/>
                </w:tcPr>
                <w:p w14:paraId="505B0CD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2717</w:t>
                  </w:r>
                </w:p>
              </w:tc>
              <w:tc>
                <w:tcPr>
                  <w:tcW w:w="1038" w:type="pct"/>
                  <w:vAlign w:val="center"/>
                </w:tcPr>
                <w:p w14:paraId="500973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1038" w:type="pct"/>
                  <w:vAlign w:val="center"/>
                </w:tcPr>
                <w:p w14:paraId="15A18B1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108.31</w:t>
                  </w:r>
                </w:p>
              </w:tc>
            </w:tr>
            <w:tr w14:paraId="2BFC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restart"/>
                  <w:tcMar>
                    <w:top w:w="14" w:type="dxa"/>
                    <w:left w:w="14" w:type="dxa"/>
                    <w:bottom w:w="0" w:type="dxa"/>
                    <w:right w:w="14" w:type="dxa"/>
                  </w:tcMar>
                  <w:vAlign w:val="center"/>
                </w:tcPr>
                <w:p w14:paraId="6C5C252F">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萨102-224</w:t>
                  </w:r>
                </w:p>
              </w:tc>
              <w:tc>
                <w:tcPr>
                  <w:tcW w:w="1039" w:type="pct"/>
                  <w:vAlign w:val="center"/>
                </w:tcPr>
                <w:p w14:paraId="260B5C8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导眼</w:t>
                  </w:r>
                </w:p>
              </w:tc>
              <w:tc>
                <w:tcPr>
                  <w:tcW w:w="1039" w:type="pct"/>
                  <w:vAlign w:val="center"/>
                </w:tcPr>
                <w:p w14:paraId="1CE8B86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0~30</w:t>
                  </w:r>
                </w:p>
              </w:tc>
              <w:tc>
                <w:tcPr>
                  <w:tcW w:w="1038" w:type="pct"/>
                  <w:vAlign w:val="center"/>
                </w:tcPr>
                <w:p w14:paraId="26F609D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102.58</w:t>
                  </w:r>
                </w:p>
              </w:tc>
              <w:tc>
                <w:tcPr>
                  <w:tcW w:w="1038" w:type="pct"/>
                  <w:vAlign w:val="center"/>
                </w:tcPr>
                <w:p w14:paraId="47E4B4E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049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21C62DC7">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4AD6DC9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一开</w:t>
                  </w:r>
                </w:p>
              </w:tc>
              <w:tc>
                <w:tcPr>
                  <w:tcW w:w="1039" w:type="pct"/>
                  <w:vAlign w:val="center"/>
                </w:tcPr>
                <w:p w14:paraId="2FD9A0F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p>
              </w:tc>
              <w:tc>
                <w:tcPr>
                  <w:tcW w:w="1038" w:type="pct"/>
                  <w:vAlign w:val="center"/>
                </w:tcPr>
                <w:p w14:paraId="4B01E7B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2291.04</w:t>
                  </w:r>
                </w:p>
              </w:tc>
              <w:tc>
                <w:tcPr>
                  <w:tcW w:w="1038" w:type="pct"/>
                  <w:vAlign w:val="center"/>
                </w:tcPr>
                <w:p w14:paraId="2323679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B60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2D314919">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56CE15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二开</w:t>
                  </w:r>
                </w:p>
              </w:tc>
              <w:tc>
                <w:tcPr>
                  <w:tcW w:w="1039" w:type="pct"/>
                  <w:vAlign w:val="center"/>
                </w:tcPr>
                <w:p w14:paraId="3B08A7C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p>
              </w:tc>
              <w:tc>
                <w:tcPr>
                  <w:tcW w:w="1038" w:type="pct"/>
                  <w:vAlign w:val="center"/>
                </w:tcPr>
                <w:p w14:paraId="561A0E2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409EE91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890.20</w:t>
                  </w:r>
                </w:p>
              </w:tc>
            </w:tr>
            <w:tr w14:paraId="604B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3305DEA0">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033A61E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三开</w:t>
                  </w:r>
                </w:p>
              </w:tc>
              <w:tc>
                <w:tcPr>
                  <w:tcW w:w="1039" w:type="pct"/>
                  <w:vAlign w:val="center"/>
                </w:tcPr>
                <w:p w14:paraId="71CB13E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2758</w:t>
                  </w:r>
                </w:p>
              </w:tc>
              <w:tc>
                <w:tcPr>
                  <w:tcW w:w="1038" w:type="pct"/>
                  <w:vAlign w:val="center"/>
                </w:tcPr>
                <w:p w14:paraId="16C7E3E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0D7F1B6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118.96</w:t>
                  </w:r>
                </w:p>
              </w:tc>
            </w:tr>
            <w:tr w14:paraId="5486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restart"/>
                  <w:tcMar>
                    <w:top w:w="14" w:type="dxa"/>
                    <w:left w:w="14" w:type="dxa"/>
                    <w:bottom w:w="0" w:type="dxa"/>
                    <w:right w:w="14" w:type="dxa"/>
                  </w:tcMar>
                  <w:vAlign w:val="center"/>
                </w:tcPr>
                <w:p w14:paraId="4D6FC40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萨102-115</w:t>
                  </w:r>
                </w:p>
              </w:tc>
              <w:tc>
                <w:tcPr>
                  <w:tcW w:w="1039" w:type="pct"/>
                  <w:vAlign w:val="center"/>
                </w:tcPr>
                <w:p w14:paraId="53C02E3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导眼</w:t>
                  </w:r>
                </w:p>
              </w:tc>
              <w:tc>
                <w:tcPr>
                  <w:tcW w:w="1039" w:type="pct"/>
                  <w:vAlign w:val="center"/>
                </w:tcPr>
                <w:p w14:paraId="0EBAB10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0~30</w:t>
                  </w:r>
                </w:p>
              </w:tc>
              <w:tc>
                <w:tcPr>
                  <w:tcW w:w="1038" w:type="pct"/>
                  <w:vAlign w:val="center"/>
                </w:tcPr>
                <w:p w14:paraId="2B253AD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102.58</w:t>
                  </w:r>
                </w:p>
              </w:tc>
              <w:tc>
                <w:tcPr>
                  <w:tcW w:w="1038" w:type="pct"/>
                  <w:vAlign w:val="center"/>
                </w:tcPr>
                <w:p w14:paraId="4E4F553F">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5BD0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3C0B9BF0">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246A24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一开</w:t>
                  </w:r>
                </w:p>
              </w:tc>
              <w:tc>
                <w:tcPr>
                  <w:tcW w:w="1039" w:type="pct"/>
                  <w:vAlign w:val="center"/>
                </w:tcPr>
                <w:p w14:paraId="1710961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p>
              </w:tc>
              <w:tc>
                <w:tcPr>
                  <w:tcW w:w="1038" w:type="pct"/>
                  <w:vAlign w:val="center"/>
                </w:tcPr>
                <w:p w14:paraId="7259EC7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2291.04</w:t>
                  </w:r>
                </w:p>
              </w:tc>
              <w:tc>
                <w:tcPr>
                  <w:tcW w:w="1038" w:type="pct"/>
                  <w:vAlign w:val="center"/>
                </w:tcPr>
                <w:p w14:paraId="7ED2108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76D6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60101689">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643D6C6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二开</w:t>
                  </w:r>
                </w:p>
              </w:tc>
              <w:tc>
                <w:tcPr>
                  <w:tcW w:w="1039" w:type="pct"/>
                  <w:vAlign w:val="center"/>
                </w:tcPr>
                <w:p w14:paraId="23753F3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p>
              </w:tc>
              <w:tc>
                <w:tcPr>
                  <w:tcW w:w="1038" w:type="pct"/>
                  <w:vAlign w:val="center"/>
                </w:tcPr>
                <w:p w14:paraId="640785A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0F9F8C5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890.20</w:t>
                  </w:r>
                </w:p>
              </w:tc>
            </w:tr>
            <w:tr w14:paraId="3A20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30BAB96E">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066878F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三开</w:t>
                  </w:r>
                </w:p>
              </w:tc>
              <w:tc>
                <w:tcPr>
                  <w:tcW w:w="1039" w:type="pct"/>
                  <w:vAlign w:val="center"/>
                </w:tcPr>
                <w:p w14:paraId="70F58AE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2737</w:t>
                  </w:r>
                </w:p>
              </w:tc>
              <w:tc>
                <w:tcPr>
                  <w:tcW w:w="1038" w:type="pct"/>
                  <w:vAlign w:val="center"/>
                </w:tcPr>
                <w:p w14:paraId="16DF6ED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1038" w:type="pct"/>
                  <w:vAlign w:val="center"/>
                </w:tcPr>
                <w:p w14:paraId="14AC896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113.51</w:t>
                  </w:r>
                </w:p>
              </w:tc>
            </w:tr>
            <w:tr w14:paraId="074F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restart"/>
                  <w:tcMar>
                    <w:top w:w="14" w:type="dxa"/>
                    <w:left w:w="14" w:type="dxa"/>
                    <w:bottom w:w="0" w:type="dxa"/>
                    <w:right w:w="14" w:type="dxa"/>
                  </w:tcMar>
                  <w:vAlign w:val="center"/>
                </w:tcPr>
                <w:p w14:paraId="159D36F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萨102-215</w:t>
                  </w:r>
                </w:p>
              </w:tc>
              <w:tc>
                <w:tcPr>
                  <w:tcW w:w="1039" w:type="pct"/>
                  <w:vAlign w:val="center"/>
                </w:tcPr>
                <w:p w14:paraId="4B51D1B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导眼</w:t>
                  </w:r>
                </w:p>
              </w:tc>
              <w:tc>
                <w:tcPr>
                  <w:tcW w:w="1039" w:type="pct"/>
                  <w:vAlign w:val="center"/>
                </w:tcPr>
                <w:p w14:paraId="1CE6E6E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0~30</w:t>
                  </w:r>
                </w:p>
              </w:tc>
              <w:tc>
                <w:tcPr>
                  <w:tcW w:w="1038" w:type="pct"/>
                  <w:vAlign w:val="center"/>
                </w:tcPr>
                <w:p w14:paraId="6134A65F">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102.58</w:t>
                  </w:r>
                </w:p>
              </w:tc>
              <w:tc>
                <w:tcPr>
                  <w:tcW w:w="1038" w:type="pct"/>
                  <w:vAlign w:val="center"/>
                </w:tcPr>
                <w:p w14:paraId="3BDF79C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5BE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19211645">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25601B5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一开</w:t>
                  </w:r>
                </w:p>
              </w:tc>
              <w:tc>
                <w:tcPr>
                  <w:tcW w:w="1039" w:type="pct"/>
                  <w:vAlign w:val="center"/>
                </w:tcPr>
                <w:p w14:paraId="73060DB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p>
              </w:tc>
              <w:tc>
                <w:tcPr>
                  <w:tcW w:w="1038" w:type="pct"/>
                  <w:vAlign w:val="center"/>
                </w:tcPr>
                <w:p w14:paraId="4A48B39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2291.04</w:t>
                  </w:r>
                </w:p>
              </w:tc>
              <w:tc>
                <w:tcPr>
                  <w:tcW w:w="1038" w:type="pct"/>
                  <w:vAlign w:val="center"/>
                </w:tcPr>
                <w:p w14:paraId="621DA13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3803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13478B35">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3AB4349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二开</w:t>
                  </w:r>
                </w:p>
              </w:tc>
              <w:tc>
                <w:tcPr>
                  <w:tcW w:w="1039" w:type="pct"/>
                  <w:vAlign w:val="center"/>
                </w:tcPr>
                <w:p w14:paraId="2E52518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p>
              </w:tc>
              <w:tc>
                <w:tcPr>
                  <w:tcW w:w="1038" w:type="pct"/>
                  <w:vAlign w:val="center"/>
                </w:tcPr>
                <w:p w14:paraId="270DBB1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54CF83E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890.20</w:t>
                  </w:r>
                </w:p>
              </w:tc>
            </w:tr>
            <w:tr w14:paraId="4699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66592B13">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05D6584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三开</w:t>
                  </w:r>
                </w:p>
              </w:tc>
              <w:tc>
                <w:tcPr>
                  <w:tcW w:w="1039" w:type="pct"/>
                  <w:vAlign w:val="center"/>
                </w:tcPr>
                <w:p w14:paraId="0B04CC7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2778</w:t>
                  </w:r>
                </w:p>
              </w:tc>
              <w:tc>
                <w:tcPr>
                  <w:tcW w:w="1038" w:type="pct"/>
                  <w:vAlign w:val="center"/>
                </w:tcPr>
                <w:p w14:paraId="5223FD8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49C285F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124.16</w:t>
                  </w:r>
                </w:p>
              </w:tc>
            </w:tr>
            <w:tr w14:paraId="5E65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tcMar>
                    <w:top w:w="14" w:type="dxa"/>
                    <w:left w:w="14" w:type="dxa"/>
                    <w:bottom w:w="0" w:type="dxa"/>
                    <w:right w:w="14" w:type="dxa"/>
                  </w:tcMar>
                  <w:vAlign w:val="center"/>
                </w:tcPr>
                <w:p w14:paraId="10B1E6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1039" w:type="pct"/>
                  <w:vAlign w:val="center"/>
                </w:tcPr>
                <w:p w14:paraId="13EEB13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1039" w:type="pct"/>
                  <w:vAlign w:val="center"/>
                </w:tcPr>
                <w:p w14:paraId="4712484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236C955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9574.48</w:t>
                  </w:r>
                </w:p>
              </w:tc>
              <w:tc>
                <w:tcPr>
                  <w:tcW w:w="1038" w:type="pct"/>
                  <w:vAlign w:val="center"/>
                </w:tcPr>
                <w:p w14:paraId="17A98BD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4036.64</w:t>
                  </w:r>
                </w:p>
              </w:tc>
            </w:tr>
          </w:tbl>
          <w:p w14:paraId="73D24069">
            <w:pPr>
              <w:ind w:firstLine="480"/>
              <w:rPr>
                <w:color w:val="000000" w:themeColor="text1"/>
                <w14:textFill>
                  <w14:solidFill>
                    <w14:schemeClr w14:val="tx1"/>
                  </w14:solidFill>
                </w14:textFill>
              </w:rPr>
            </w:pPr>
            <w:r>
              <w:rPr>
                <w:color w:val="000000" w:themeColor="text1"/>
                <w14:textFill>
                  <w14:solidFill>
                    <w14:schemeClr w14:val="tx1"/>
                  </w14:solidFill>
                </w14:textFill>
              </w:rPr>
              <w:t>①水基岩屑：本项目水基岩屑产生量约</w:t>
            </w:r>
            <w:r>
              <w:rPr>
                <w:rFonts w:hint="eastAsia"/>
                <w:color w:val="000000" w:themeColor="text1"/>
                <w14:textFill>
                  <w14:solidFill>
                    <w14:schemeClr w14:val="tx1"/>
                  </w14:solidFill>
                </w14:textFill>
              </w:rPr>
              <w:t>9574.48</w:t>
            </w:r>
            <w:r>
              <w:rPr>
                <w:color w:val="000000" w:themeColor="text1"/>
                <w14:textFill>
                  <w14:solidFill>
                    <w14:schemeClr w14:val="tx1"/>
                  </w14:solidFill>
                </w14:textFill>
              </w:rPr>
              <w:t>t，经不落地系统收集、压滤脱水后，暂存在水基岩屑储罐（每口井2个罐，每个罐50m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），随钻随拉，委托岩屑处置单位处置；根据《一般工业固体废物管理台账制定指南（试行）》中附表8（一般工业固体废物分类表）判定，项目水基钻井岩屑的废物代码：SW12，废物种类：钻井岩屑。</w:t>
            </w:r>
          </w:p>
          <w:p w14:paraId="63FDFB5F">
            <w:pPr>
              <w:ind w:firstLine="480"/>
              <w:rPr>
                <w:color w:val="000000" w:themeColor="text1"/>
                <w14:textFill>
                  <w14:solidFill>
                    <w14:schemeClr w14:val="tx1"/>
                  </w14:solidFill>
                </w14:textFill>
              </w:rPr>
            </w:pPr>
            <w:r>
              <w:rPr>
                <w:color w:val="000000" w:themeColor="text1"/>
                <w14:textFill>
                  <w14:solidFill>
                    <w14:schemeClr w14:val="tx1"/>
                  </w14:solidFill>
                </w14:textFill>
              </w:rPr>
              <w:t>②油基岩屑：本项目油基岩屑产生量约</w:t>
            </w:r>
            <w:r>
              <w:rPr>
                <w:rFonts w:hint="eastAsia"/>
                <w:color w:val="000000" w:themeColor="text1"/>
                <w14:textFill>
                  <w14:solidFill>
                    <w14:schemeClr w14:val="tx1"/>
                  </w14:solidFill>
                </w14:textFill>
              </w:rPr>
              <w:t>4036.64</w:t>
            </w:r>
            <w:r>
              <w:rPr>
                <w:color w:val="000000" w:themeColor="text1"/>
                <w14:textFill>
                  <w14:solidFill>
                    <w14:schemeClr w14:val="tx1"/>
                  </w14:solidFill>
                </w14:textFill>
              </w:rPr>
              <w:t>t，按照《危险废物环境管理指南 陆上石油天然气开采行业》《国家危险废物名录》（2025年版）的划分为“HW08废矿物油与含矿物油废物类”，其危险废物编号为071-002-08。油基岩屑在振动筛后经密封储罐（每口井2个罐，每个罐50m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）集中收集，随钻随拉，交由</w:t>
            </w:r>
            <w:r>
              <w:rPr>
                <w:rFonts w:hint="eastAsia"/>
                <w:color w:val="000000" w:themeColor="text1"/>
                <w14:textFill>
                  <w14:solidFill>
                    <w14:schemeClr w14:val="tx1"/>
                  </w14:solidFill>
                </w14:textFill>
              </w:rPr>
              <w:t>新疆中建环能北庭环保科技有限公司处置</w:t>
            </w:r>
            <w:r>
              <w:rPr>
                <w:color w:val="000000" w:themeColor="text1"/>
                <w14:textFill>
                  <w14:solidFill>
                    <w14:schemeClr w14:val="tx1"/>
                  </w14:solidFill>
                </w14:textFill>
              </w:rPr>
              <w:t>。转运处置过程应严格落实危险废物转运和处理处置的有关法规和规范。</w:t>
            </w:r>
          </w:p>
          <w:bookmarkEnd w:id="26"/>
          <w:p w14:paraId="21A155D6">
            <w:pPr>
              <w:ind w:firstLine="480"/>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结合本项目钻井液体系及钻井阶段差异，钻井岩屑实行分类管理、分段处置。水基钻井岩屑不属于危险废物，属于一般工业固体废弃物，经“泥浆不落地”系统处理，暂存于岩屑储罐中，委托具有相应处理能力的第三方环保单位进行集中处置，依据《石油天然气开采业固体废物污染控制技术规范（试行）》（HJ1461-2026）的相关规定，经检测达到《油气田钻井固体废物综合利用污染控制要求》（DB65/T3997-2017）相关标准限值后综合利用；产生的油基钻井岩屑属于危险废物，规范收集、防渗暂存，委托具有危险废物经营资质的单位及时规范处置。</w:t>
            </w:r>
          </w:p>
          <w:p w14:paraId="4566C2EA">
            <w:pPr>
              <w:pStyle w:val="32"/>
              <w:rPr>
                <w:rFonts w:ascii="Times New Roman" w:hAnsi="Times New Roman"/>
                <w:color w:val="000000" w:themeColor="text1"/>
                <w:sz w:val="24"/>
                <w:szCs w:val="24"/>
                <w14:textFill>
                  <w14:solidFill>
                    <w14:schemeClr w14:val="tx1"/>
                  </w14:solidFill>
                </w14:textFill>
              </w:rPr>
            </w:pPr>
            <w:r>
              <w:rPr>
                <w:rFonts w:hint="eastAsia"/>
                <w:color w:val="000000" w:themeColor="text1"/>
                <w:sz w:val="24"/>
                <w:szCs w:val="32"/>
                <w14:textFill>
                  <w14:solidFill>
                    <w14:schemeClr w14:val="tx1"/>
                  </w14:solidFill>
                </w14:textFill>
              </w:rPr>
              <w:t>本项目钻井岩屑在产生、暂存、转运和处置全过程中均纳入建设单位环保管理体系，严格执行分类管理、规范处置和风险可控原则，不会对周边环境产生不利影响。</w:t>
            </w:r>
          </w:p>
          <w:p w14:paraId="1250727D">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（2）机械设备废油</w:t>
            </w:r>
          </w:p>
          <w:p w14:paraId="3344D2F8">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钻井期间使用的机械设备运行过程中需进行维护、保养、维修等工作，以使其能正常运转，类比调查已完成的井，本项目产生量约</w:t>
            </w:r>
            <w:r>
              <w:rPr>
                <w:rFonts w:hint="eastAsia" w:ascii="Times New Roman" w:hAnsi="Times New Roman"/>
                <w:color w:val="000000" w:themeColor="text1"/>
                <w:sz w:val="24"/>
                <w:szCs w:val="24"/>
                <w14:textFill>
                  <w14:solidFill>
                    <w14:schemeClr w14:val="tx1"/>
                  </w14:solidFill>
                </w14:textFill>
              </w:rPr>
              <w:t>2.0</w:t>
            </w:r>
            <w:r>
              <w:rPr>
                <w:rFonts w:ascii="Times New Roman" w:hAnsi="Times New Roman"/>
                <w:color w:val="000000" w:themeColor="text1"/>
                <w:sz w:val="24"/>
                <w:szCs w:val="24"/>
                <w14:textFill>
                  <w14:solidFill>
                    <w14:schemeClr w14:val="tx1"/>
                  </w14:solidFill>
                </w14:textFill>
              </w:rPr>
              <w:t>t（0.5t/井），机械设备废油按照《危险废物环境管理指南 陆上石油天然气开采行业》划分为“HW08废矿物油与含矿物油废物类”，其危险废物编号为900-214-08。机械设备产生的废机油由钻井单位用专用罐集中收集后</w:t>
            </w:r>
            <w:r>
              <w:rPr>
                <w:rFonts w:hint="eastAsia" w:ascii="Times New Roman" w:hAnsi="Times New Roman"/>
                <w:color w:val="000000" w:themeColor="text1"/>
                <w:sz w:val="24"/>
                <w:szCs w:val="24"/>
                <w14:textFill>
                  <w14:solidFill>
                    <w14:schemeClr w14:val="tx1"/>
                  </w14:solidFill>
                </w14:textFill>
              </w:rPr>
              <w:t>暂存于井场危废贮存点，定期交由新疆中建环能北庭环保科技有限公司处置</w:t>
            </w:r>
            <w:r>
              <w:rPr>
                <w:rFonts w:ascii="Times New Roman" w:hAnsi="Times New Roman"/>
                <w:color w:val="000000" w:themeColor="text1"/>
                <w:sz w:val="24"/>
                <w:szCs w:val="24"/>
                <w14:textFill>
                  <w14:solidFill>
                    <w14:schemeClr w14:val="tx1"/>
                  </w14:solidFill>
                </w14:textFill>
              </w:rPr>
              <w:t>。</w:t>
            </w:r>
          </w:p>
          <w:p w14:paraId="725E385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（3）废弃防渗膜</w:t>
            </w:r>
          </w:p>
          <w:p w14:paraId="23A4C0BE">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为防止施工过程中产生的废油污染土壤，项目钻井施工期及试油作业期在施工区域铺垫防渗膜，防渗膜可重复利用，若使用过程中防渗膜破损无法再次利用。</w:t>
            </w:r>
          </w:p>
          <w:p w14:paraId="0283102B">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根据《国家危险废物名录》（2025年版）要求，废弃防渗膜属于使用过程中沾染矿物油的废弃包装物，沾满油泥的废弃防渗膜作为危险废物，危废代码为900-249-08，</w:t>
            </w:r>
            <w:r>
              <w:rPr>
                <w:rFonts w:hint="eastAsia" w:ascii="Times New Roman" w:hAnsi="Times New Roman"/>
                <w:color w:val="000000" w:themeColor="text1"/>
                <w:sz w:val="24"/>
                <w:szCs w:val="24"/>
                <w14:textFill>
                  <w14:solidFill>
                    <w14:schemeClr w14:val="tx1"/>
                  </w14:solidFill>
                </w14:textFill>
              </w:rPr>
              <w:t>集中收集后暂存于井场危废贮存点，定期交由新疆中建环能北庭环保科技有限公司处置</w:t>
            </w:r>
            <w:r>
              <w:rPr>
                <w:rFonts w:ascii="Times New Roman" w:hAnsi="Times New Roman"/>
                <w:color w:val="000000" w:themeColor="text1"/>
                <w:sz w:val="24"/>
                <w:szCs w:val="24"/>
                <w14:textFill>
                  <w14:solidFill>
                    <w14:schemeClr w14:val="tx1"/>
                  </w14:solidFill>
                </w14:textFill>
              </w:rPr>
              <w:t>。</w:t>
            </w:r>
          </w:p>
          <w:p w14:paraId="790FFE9C">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（4）生活垃圾</w:t>
            </w:r>
          </w:p>
          <w:p w14:paraId="75A7A15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本项目施工期共有施工人员</w:t>
            </w:r>
            <w:r>
              <w:rPr>
                <w:rFonts w:hint="eastAsia" w:ascii="Times New Roman" w:hAnsi="Times New Roman"/>
                <w:color w:val="000000" w:themeColor="text1"/>
                <w:sz w:val="24"/>
                <w:szCs w:val="24"/>
                <w:lang w:val="en-US" w:eastAsia="zh-CN"/>
                <w14:textFill>
                  <w14:solidFill>
                    <w14:schemeClr w14:val="tx1"/>
                  </w14:solidFill>
                </w14:textFill>
              </w:rPr>
              <w:t>40</w:t>
            </w:r>
            <w:r>
              <w:rPr>
                <w:rFonts w:ascii="Times New Roman" w:hAnsi="Times New Roman"/>
                <w:color w:val="000000" w:themeColor="text1"/>
                <w:sz w:val="24"/>
                <w:szCs w:val="24"/>
                <w14:textFill>
                  <w14:solidFill>
                    <w14:schemeClr w14:val="tx1"/>
                  </w14:solidFill>
                </w14:textFill>
              </w:rPr>
              <w:t>人，施工期为</w:t>
            </w:r>
            <w:r>
              <w:rPr>
                <w:rFonts w:hint="eastAsia" w:ascii="Times New Roman" w:hAnsi="Times New Roman"/>
                <w:color w:val="000000" w:themeColor="text1"/>
                <w:sz w:val="24"/>
                <w:szCs w:val="24"/>
                <w14:textFill>
                  <w14:solidFill>
                    <w14:schemeClr w14:val="tx1"/>
                  </w14:solidFill>
                </w14:textFill>
              </w:rPr>
              <w:t>196</w:t>
            </w:r>
            <w:r>
              <w:rPr>
                <w:rFonts w:ascii="Times New Roman" w:hAnsi="Times New Roman"/>
                <w:color w:val="000000" w:themeColor="text1"/>
                <w:sz w:val="24"/>
                <w:szCs w:val="24"/>
                <w14:textFill>
                  <w14:solidFill>
                    <w14:schemeClr w14:val="tx1"/>
                  </w14:solidFill>
                </w14:textFill>
              </w:rPr>
              <w:t>天，施工人员生活垃圾产生量按每人每天产生0.5kg计，预计共产生生活垃圾为</w:t>
            </w:r>
            <w:r>
              <w:rPr>
                <w:rFonts w:hint="eastAsia" w:ascii="Times New Roman" w:hAnsi="Times New Roman"/>
                <w:color w:val="000000" w:themeColor="text1"/>
                <w:sz w:val="24"/>
                <w:szCs w:val="24"/>
                <w:lang w:eastAsia="zh-CN"/>
                <w14:textFill>
                  <w14:solidFill>
                    <w14:schemeClr w14:val="tx1"/>
                  </w14:solidFill>
                </w14:textFill>
              </w:rPr>
              <w:t>3.92</w:t>
            </w:r>
            <w:r>
              <w:rPr>
                <w:rFonts w:ascii="Times New Roman" w:hAnsi="Times New Roman"/>
                <w:color w:val="000000" w:themeColor="text1"/>
                <w:sz w:val="24"/>
                <w:szCs w:val="24"/>
                <w14:textFill>
                  <w14:solidFill>
                    <w14:schemeClr w14:val="tx1"/>
                  </w14:solidFill>
                </w14:textFill>
              </w:rPr>
              <w:t>t，生活垃圾集中收集，定期拉运至</w:t>
            </w:r>
            <w:r>
              <w:rPr>
                <w:rFonts w:hint="eastAsia" w:ascii="Times New Roman" w:hAnsi="Times New Roman"/>
                <w:color w:val="000000" w:themeColor="text1"/>
                <w:sz w:val="24"/>
                <w:szCs w:val="24"/>
                <w14:textFill>
                  <w14:solidFill>
                    <w14:schemeClr w14:val="tx1"/>
                  </w14:solidFill>
                </w14:textFill>
              </w:rPr>
              <w:t>吉木萨尔县</w:t>
            </w:r>
            <w:r>
              <w:rPr>
                <w:rFonts w:ascii="Times New Roman" w:hAnsi="Times New Roman"/>
                <w:color w:val="000000" w:themeColor="text1"/>
                <w:sz w:val="24"/>
                <w:szCs w:val="24"/>
                <w14:textFill>
                  <w14:solidFill>
                    <w14:schemeClr w14:val="tx1"/>
                  </w14:solidFill>
                </w14:textFill>
              </w:rPr>
              <w:t>生活垃圾埋场处理。</w:t>
            </w:r>
          </w:p>
          <w:p w14:paraId="3AE5119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本项目施工期固废的名称、类别、属性和数量等情况详见表4-1</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。采用如下措施处理后，本项目施工期所产生的各种固体废物均可得到有效的安全处理，对环境影响较小。</w:t>
            </w:r>
          </w:p>
          <w:p w14:paraId="00E1CF37">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表4-1</w:t>
            </w:r>
            <w:r>
              <w:rPr>
                <w:rFonts w:hint="eastAsia"/>
                <w:bCs/>
                <w:color w:val="000000" w:themeColor="text1"/>
                <w:sz w:val="21"/>
                <w:szCs w:val="21"/>
                <w14:textFill>
                  <w14:solidFill>
                    <w14:schemeClr w14:val="tx1"/>
                  </w14:solidFill>
                </w14:textFill>
              </w:rPr>
              <w:t>1</w:t>
            </w:r>
            <w:r>
              <w:rPr>
                <w:bCs/>
                <w:color w:val="000000" w:themeColor="text1"/>
                <w:sz w:val="21"/>
                <w:szCs w:val="21"/>
                <w14:textFill>
                  <w14:solidFill>
                    <w14:schemeClr w14:val="tx1"/>
                  </w14:solidFill>
                </w14:textFill>
              </w:rPr>
              <w:t xml:space="preserve">  施工期固废情况一览表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888"/>
              <w:gridCol w:w="840"/>
              <w:gridCol w:w="1778"/>
              <w:gridCol w:w="992"/>
              <w:gridCol w:w="3569"/>
            </w:tblGrid>
            <w:tr w14:paraId="151B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tcBorders>
                    <w:top w:val="single" w:color="auto" w:sz="4" w:space="0"/>
                    <w:left w:val="single" w:color="auto" w:sz="4" w:space="0"/>
                    <w:bottom w:val="single" w:color="auto" w:sz="4" w:space="0"/>
                    <w:right w:val="single" w:color="auto" w:sz="4" w:space="0"/>
                  </w:tcBorders>
                  <w:vAlign w:val="center"/>
                </w:tcPr>
                <w:p w14:paraId="71D72B4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522" w:type="pct"/>
                  <w:tcBorders>
                    <w:top w:val="single" w:color="auto" w:sz="4" w:space="0"/>
                    <w:left w:val="nil"/>
                    <w:bottom w:val="single" w:color="auto" w:sz="4" w:space="0"/>
                    <w:right w:val="single" w:color="auto" w:sz="4" w:space="0"/>
                  </w:tcBorders>
                  <w:vAlign w:val="center"/>
                </w:tcPr>
                <w:p w14:paraId="66A4026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固废</w:t>
                  </w:r>
                </w:p>
                <w:p w14:paraId="3CFD3D6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494" w:type="pct"/>
                  <w:tcBorders>
                    <w:top w:val="single" w:color="auto" w:sz="4" w:space="0"/>
                    <w:left w:val="nil"/>
                    <w:bottom w:val="single" w:color="auto" w:sz="4" w:space="0"/>
                    <w:right w:val="single" w:color="auto" w:sz="4" w:space="0"/>
                  </w:tcBorders>
                  <w:vAlign w:val="center"/>
                </w:tcPr>
                <w:p w14:paraId="5A29684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产生</w:t>
                  </w:r>
                </w:p>
                <w:p w14:paraId="0192D0D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工序</w:t>
                  </w:r>
                </w:p>
              </w:tc>
              <w:tc>
                <w:tcPr>
                  <w:tcW w:w="1045" w:type="pct"/>
                  <w:tcBorders>
                    <w:top w:val="single" w:color="auto" w:sz="4" w:space="0"/>
                    <w:left w:val="nil"/>
                    <w:bottom w:val="single" w:color="auto" w:sz="4" w:space="0"/>
                    <w:right w:val="single" w:color="auto" w:sz="4" w:space="0"/>
                  </w:tcBorders>
                  <w:vAlign w:val="center"/>
                </w:tcPr>
                <w:p w14:paraId="7862F93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固废属性</w:t>
                  </w:r>
                </w:p>
              </w:tc>
              <w:tc>
                <w:tcPr>
                  <w:tcW w:w="583" w:type="pct"/>
                  <w:tcBorders>
                    <w:top w:val="single" w:color="auto" w:sz="4" w:space="0"/>
                    <w:left w:val="nil"/>
                    <w:bottom w:val="single" w:color="auto" w:sz="4" w:space="0"/>
                    <w:right w:val="single" w:color="auto" w:sz="4" w:space="0"/>
                  </w:tcBorders>
                  <w:vAlign w:val="center"/>
                </w:tcPr>
                <w:p w14:paraId="08005BE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产生量（t）</w:t>
                  </w:r>
                </w:p>
              </w:tc>
              <w:tc>
                <w:tcPr>
                  <w:tcW w:w="2097" w:type="pct"/>
                  <w:tcBorders>
                    <w:top w:val="single" w:color="auto" w:sz="4" w:space="0"/>
                    <w:left w:val="nil"/>
                    <w:bottom w:val="single" w:color="auto" w:sz="4" w:space="0"/>
                    <w:right w:val="single" w:color="auto" w:sz="4" w:space="0"/>
                  </w:tcBorders>
                  <w:vAlign w:val="center"/>
                </w:tcPr>
                <w:p w14:paraId="10D34C1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处置方式</w:t>
                  </w:r>
                </w:p>
              </w:tc>
            </w:tr>
            <w:tr w14:paraId="1694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57" w:type="pct"/>
                  <w:tcBorders>
                    <w:top w:val="single" w:color="auto" w:sz="4" w:space="0"/>
                    <w:left w:val="single" w:color="auto" w:sz="4" w:space="0"/>
                    <w:bottom w:val="single" w:color="auto" w:sz="4" w:space="0"/>
                    <w:right w:val="single" w:color="auto" w:sz="4" w:space="0"/>
                  </w:tcBorders>
                  <w:vAlign w:val="center"/>
                </w:tcPr>
                <w:p w14:paraId="6DD9193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522" w:type="pct"/>
                  <w:tcBorders>
                    <w:top w:val="single" w:color="auto" w:sz="4" w:space="0"/>
                    <w:left w:val="nil"/>
                    <w:bottom w:val="single" w:color="auto" w:sz="4" w:space="0"/>
                    <w:right w:val="single" w:color="auto" w:sz="4" w:space="0"/>
                  </w:tcBorders>
                  <w:vAlign w:val="center"/>
                </w:tcPr>
                <w:p w14:paraId="3CA8A37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水基</w:t>
                  </w:r>
                </w:p>
                <w:p w14:paraId="2C94532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岩屑</w:t>
                  </w:r>
                </w:p>
              </w:tc>
              <w:tc>
                <w:tcPr>
                  <w:tcW w:w="494" w:type="pct"/>
                  <w:tcBorders>
                    <w:top w:val="single" w:color="auto" w:sz="4" w:space="0"/>
                    <w:left w:val="nil"/>
                    <w:bottom w:val="single" w:color="auto" w:sz="4" w:space="0"/>
                    <w:right w:val="single" w:color="auto" w:sz="4" w:space="0"/>
                  </w:tcBorders>
                  <w:vAlign w:val="center"/>
                </w:tcPr>
                <w:p w14:paraId="514755E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w:t>
                  </w:r>
                </w:p>
              </w:tc>
              <w:tc>
                <w:tcPr>
                  <w:tcW w:w="1045" w:type="pct"/>
                  <w:tcBorders>
                    <w:top w:val="single" w:color="auto" w:sz="4" w:space="0"/>
                    <w:left w:val="nil"/>
                    <w:bottom w:val="single" w:color="auto" w:sz="4" w:space="0"/>
                    <w:right w:val="single" w:color="auto" w:sz="4" w:space="0"/>
                  </w:tcBorders>
                  <w:vAlign w:val="center"/>
                </w:tcPr>
                <w:p w14:paraId="38B7BBD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一般工业固废</w:t>
                  </w:r>
                </w:p>
                <w:p w14:paraId="7BACF1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（071-001-S12）</w:t>
                  </w:r>
                </w:p>
              </w:tc>
              <w:tc>
                <w:tcPr>
                  <w:tcW w:w="583" w:type="pct"/>
                  <w:tcBorders>
                    <w:top w:val="single" w:color="auto" w:sz="4" w:space="0"/>
                    <w:left w:val="nil"/>
                    <w:bottom w:val="single" w:color="auto" w:sz="4" w:space="0"/>
                    <w:right w:val="single" w:color="auto" w:sz="4" w:space="0"/>
                  </w:tcBorders>
                  <w:vAlign w:val="center"/>
                </w:tcPr>
                <w:p w14:paraId="34AD4AA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9574.48</w:t>
                  </w:r>
                </w:p>
              </w:tc>
              <w:tc>
                <w:tcPr>
                  <w:tcW w:w="2097" w:type="pct"/>
                  <w:tcBorders>
                    <w:top w:val="nil"/>
                    <w:left w:val="nil"/>
                    <w:bottom w:val="single" w:color="auto" w:sz="4" w:space="0"/>
                    <w:right w:val="single" w:color="auto" w:sz="4" w:space="0"/>
                  </w:tcBorders>
                  <w:vAlign w:val="center"/>
                </w:tcPr>
                <w:p w14:paraId="7715B3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经不落地系统收集、压滤脱水后，暂存在水基岩屑储罐，委托第三方合规处置。</w:t>
                  </w:r>
                </w:p>
              </w:tc>
            </w:tr>
            <w:tr w14:paraId="2063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257" w:type="pct"/>
                  <w:tcBorders>
                    <w:top w:val="single" w:color="auto" w:sz="4" w:space="0"/>
                    <w:left w:val="single" w:color="auto" w:sz="4" w:space="0"/>
                    <w:bottom w:val="single" w:color="auto" w:sz="4" w:space="0"/>
                    <w:right w:val="single" w:color="auto" w:sz="4" w:space="0"/>
                  </w:tcBorders>
                  <w:vAlign w:val="center"/>
                </w:tcPr>
                <w:p w14:paraId="687F84F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522" w:type="pct"/>
                  <w:tcBorders>
                    <w:top w:val="single" w:color="auto" w:sz="4" w:space="0"/>
                    <w:left w:val="nil"/>
                    <w:bottom w:val="single" w:color="auto" w:sz="4" w:space="0"/>
                    <w:right w:val="single" w:color="auto" w:sz="4" w:space="0"/>
                  </w:tcBorders>
                  <w:vAlign w:val="center"/>
                </w:tcPr>
                <w:p w14:paraId="7F1CAF5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油基</w:t>
                  </w:r>
                </w:p>
                <w:p w14:paraId="0A7EFA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岩屑</w:t>
                  </w:r>
                </w:p>
              </w:tc>
              <w:tc>
                <w:tcPr>
                  <w:tcW w:w="494" w:type="pct"/>
                  <w:tcBorders>
                    <w:top w:val="single" w:color="auto" w:sz="4" w:space="0"/>
                    <w:left w:val="nil"/>
                    <w:bottom w:val="single" w:color="auto" w:sz="4" w:space="0"/>
                    <w:right w:val="single" w:color="auto" w:sz="4" w:space="0"/>
                  </w:tcBorders>
                  <w:vAlign w:val="center"/>
                </w:tcPr>
                <w:p w14:paraId="4468DA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w:t>
                  </w:r>
                </w:p>
              </w:tc>
              <w:tc>
                <w:tcPr>
                  <w:tcW w:w="1045" w:type="pct"/>
                  <w:tcBorders>
                    <w:top w:val="single" w:color="auto" w:sz="4" w:space="0"/>
                    <w:left w:val="nil"/>
                    <w:bottom w:val="single" w:color="auto" w:sz="4" w:space="0"/>
                    <w:right w:val="single" w:color="auto" w:sz="4" w:space="0"/>
                  </w:tcBorders>
                  <w:vAlign w:val="center"/>
                </w:tcPr>
                <w:p w14:paraId="059516A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危险废物</w:t>
                  </w:r>
                </w:p>
                <w:p w14:paraId="439317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（071-002-08）</w:t>
                  </w:r>
                </w:p>
              </w:tc>
              <w:tc>
                <w:tcPr>
                  <w:tcW w:w="583" w:type="pct"/>
                  <w:tcBorders>
                    <w:top w:val="single" w:color="auto" w:sz="4" w:space="0"/>
                    <w:left w:val="nil"/>
                    <w:bottom w:val="single" w:color="auto" w:sz="4" w:space="0"/>
                    <w:right w:val="single" w:color="auto" w:sz="4" w:space="0"/>
                  </w:tcBorders>
                  <w:vAlign w:val="center"/>
                </w:tcPr>
                <w:p w14:paraId="7CEC112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4036.64</w:t>
                  </w:r>
                </w:p>
              </w:tc>
              <w:tc>
                <w:tcPr>
                  <w:tcW w:w="2097" w:type="pct"/>
                  <w:tcBorders>
                    <w:top w:val="nil"/>
                    <w:left w:val="nil"/>
                    <w:bottom w:val="single" w:color="auto" w:sz="4" w:space="0"/>
                    <w:right w:val="single" w:color="auto" w:sz="4" w:space="0"/>
                  </w:tcBorders>
                  <w:vAlign w:val="center"/>
                </w:tcPr>
                <w:p w14:paraId="0759F04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油基岩屑临时贮存在井场内的岩屑储罐，委托</w:t>
                  </w:r>
                  <w:r>
                    <w:rPr>
                      <w:rFonts w:hint="eastAsia"/>
                      <w:color w:val="000000" w:themeColor="text1"/>
                      <w14:textFill>
                        <w14:solidFill>
                          <w14:schemeClr w14:val="tx1"/>
                        </w14:solidFill>
                      </w14:textFill>
                    </w:rPr>
                    <w:t>新疆中建环能北庭环保科技有限公司处置</w:t>
                  </w:r>
                  <w:r>
                    <w:rPr>
                      <w:color w:val="000000" w:themeColor="text1"/>
                      <w14:textFill>
                        <w14:solidFill>
                          <w14:schemeClr w14:val="tx1"/>
                        </w14:solidFill>
                      </w14:textFill>
                    </w:rPr>
                    <w:t>。</w:t>
                  </w:r>
                </w:p>
              </w:tc>
            </w:tr>
            <w:tr w14:paraId="5562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57" w:type="pct"/>
                  <w:tcBorders>
                    <w:top w:val="single" w:color="auto" w:sz="4" w:space="0"/>
                    <w:left w:val="single" w:color="auto" w:sz="4" w:space="0"/>
                    <w:bottom w:val="single" w:color="auto" w:sz="4" w:space="0"/>
                    <w:right w:val="single" w:color="auto" w:sz="4" w:space="0"/>
                  </w:tcBorders>
                  <w:vAlign w:val="center"/>
                </w:tcPr>
                <w:p w14:paraId="370127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522" w:type="pct"/>
                  <w:tcBorders>
                    <w:top w:val="single" w:color="auto" w:sz="4" w:space="0"/>
                    <w:left w:val="nil"/>
                    <w:bottom w:val="single" w:color="auto" w:sz="4" w:space="0"/>
                    <w:right w:val="single" w:color="auto" w:sz="4" w:space="0"/>
                  </w:tcBorders>
                  <w:vAlign w:val="center"/>
                </w:tcPr>
                <w:p w14:paraId="425B6A8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机械设备废油</w:t>
                  </w:r>
                </w:p>
              </w:tc>
              <w:tc>
                <w:tcPr>
                  <w:tcW w:w="494" w:type="pct"/>
                  <w:tcBorders>
                    <w:top w:val="single" w:color="auto" w:sz="4" w:space="0"/>
                    <w:left w:val="nil"/>
                    <w:bottom w:val="single" w:color="auto" w:sz="4" w:space="0"/>
                    <w:right w:val="single" w:color="auto" w:sz="4" w:space="0"/>
                  </w:tcBorders>
                  <w:vAlign w:val="center"/>
                </w:tcPr>
                <w:p w14:paraId="481227E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w:t>
                  </w:r>
                </w:p>
              </w:tc>
              <w:tc>
                <w:tcPr>
                  <w:tcW w:w="1045" w:type="pct"/>
                  <w:tcBorders>
                    <w:top w:val="single" w:color="auto" w:sz="4" w:space="0"/>
                    <w:left w:val="nil"/>
                    <w:bottom w:val="single" w:color="auto" w:sz="4" w:space="0"/>
                    <w:right w:val="single" w:color="auto" w:sz="4" w:space="0"/>
                  </w:tcBorders>
                  <w:vAlign w:val="center"/>
                </w:tcPr>
                <w:p w14:paraId="7B920D4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危险废物</w:t>
                  </w:r>
                </w:p>
                <w:p w14:paraId="2D1546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（900-214-08）</w:t>
                  </w:r>
                </w:p>
              </w:tc>
              <w:tc>
                <w:tcPr>
                  <w:tcW w:w="583" w:type="pct"/>
                  <w:tcBorders>
                    <w:top w:val="single" w:color="auto" w:sz="4" w:space="0"/>
                    <w:left w:val="nil"/>
                    <w:bottom w:val="single" w:color="auto" w:sz="4" w:space="0"/>
                    <w:right w:val="single" w:color="auto" w:sz="4" w:space="0"/>
                  </w:tcBorders>
                  <w:vAlign w:val="center"/>
                </w:tcPr>
                <w:p w14:paraId="2434C1B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2097" w:type="pct"/>
                  <w:tcBorders>
                    <w:top w:val="single" w:color="auto" w:sz="4" w:space="0"/>
                    <w:left w:val="nil"/>
                    <w:bottom w:val="single" w:color="auto" w:sz="4" w:space="0"/>
                    <w:right w:val="single" w:color="auto" w:sz="4" w:space="0"/>
                  </w:tcBorders>
                  <w:vAlign w:val="center"/>
                </w:tcPr>
                <w:p w14:paraId="16F879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机械设备废油由钻井单位用专用罐集中收集后</w:t>
                  </w:r>
                  <w:r>
                    <w:rPr>
                      <w:rFonts w:hint="eastAsia"/>
                      <w:color w:val="000000" w:themeColor="text1"/>
                      <w14:textFill>
                        <w14:solidFill>
                          <w14:schemeClr w14:val="tx1"/>
                        </w14:solidFill>
                      </w14:textFill>
                    </w:rPr>
                    <w:t>暂存危废贮存点，</w:t>
                  </w:r>
                  <w:r>
                    <w:rPr>
                      <w:color w:val="000000" w:themeColor="text1"/>
                      <w14:textFill>
                        <w14:solidFill>
                          <w14:schemeClr w14:val="tx1"/>
                        </w14:solidFill>
                      </w14:textFill>
                    </w:rPr>
                    <w:t>交由</w:t>
                  </w:r>
                  <w:r>
                    <w:rPr>
                      <w:rFonts w:hint="eastAsia"/>
                      <w:color w:val="000000" w:themeColor="text1"/>
                      <w14:textFill>
                        <w14:solidFill>
                          <w14:schemeClr w14:val="tx1"/>
                        </w14:solidFill>
                      </w14:textFill>
                    </w:rPr>
                    <w:t>新疆中建环能北庭环保科技有限公司处置。</w:t>
                  </w:r>
                </w:p>
              </w:tc>
            </w:tr>
            <w:tr w14:paraId="4620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57" w:type="pct"/>
                  <w:tcBorders>
                    <w:top w:val="single" w:color="auto" w:sz="4" w:space="0"/>
                    <w:left w:val="single" w:color="auto" w:sz="4" w:space="0"/>
                    <w:bottom w:val="single" w:color="auto" w:sz="4" w:space="0"/>
                    <w:right w:val="single" w:color="auto" w:sz="4" w:space="0"/>
                  </w:tcBorders>
                  <w:vAlign w:val="center"/>
                </w:tcPr>
                <w:p w14:paraId="4099BF9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522" w:type="pct"/>
                  <w:tcBorders>
                    <w:top w:val="single" w:color="auto" w:sz="4" w:space="0"/>
                    <w:left w:val="nil"/>
                    <w:bottom w:val="single" w:color="auto" w:sz="4" w:space="0"/>
                    <w:right w:val="single" w:color="auto" w:sz="4" w:space="0"/>
                  </w:tcBorders>
                  <w:vAlign w:val="center"/>
                </w:tcPr>
                <w:p w14:paraId="6556E8D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废弃防渗膜</w:t>
                  </w:r>
                </w:p>
              </w:tc>
              <w:tc>
                <w:tcPr>
                  <w:tcW w:w="494" w:type="pct"/>
                  <w:tcBorders>
                    <w:top w:val="single" w:color="auto" w:sz="4" w:space="0"/>
                    <w:left w:val="nil"/>
                    <w:bottom w:val="single" w:color="auto" w:sz="4" w:space="0"/>
                    <w:right w:val="single" w:color="auto" w:sz="4" w:space="0"/>
                  </w:tcBorders>
                  <w:vAlign w:val="center"/>
                </w:tcPr>
                <w:p w14:paraId="522EEDF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钻井期和试油期</w:t>
                  </w:r>
                </w:p>
              </w:tc>
              <w:tc>
                <w:tcPr>
                  <w:tcW w:w="1045" w:type="pct"/>
                  <w:tcBorders>
                    <w:top w:val="single" w:color="auto" w:sz="4" w:space="0"/>
                    <w:left w:val="nil"/>
                    <w:bottom w:val="single" w:color="auto" w:sz="4" w:space="0"/>
                    <w:right w:val="single" w:color="auto" w:sz="4" w:space="0"/>
                  </w:tcBorders>
                  <w:vAlign w:val="center"/>
                </w:tcPr>
                <w:p w14:paraId="6D6C44F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危险废物</w:t>
                  </w:r>
                </w:p>
                <w:p w14:paraId="6D9DC96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（900-249-08）</w:t>
                  </w:r>
                </w:p>
              </w:tc>
              <w:tc>
                <w:tcPr>
                  <w:tcW w:w="583" w:type="pct"/>
                  <w:tcBorders>
                    <w:top w:val="single" w:color="auto" w:sz="4" w:space="0"/>
                    <w:left w:val="nil"/>
                    <w:bottom w:val="single" w:color="auto" w:sz="4" w:space="0"/>
                    <w:right w:val="single" w:color="auto" w:sz="4" w:space="0"/>
                  </w:tcBorders>
                  <w:vAlign w:val="center"/>
                </w:tcPr>
                <w:p w14:paraId="5945992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少量</w:t>
                  </w:r>
                </w:p>
              </w:tc>
              <w:tc>
                <w:tcPr>
                  <w:tcW w:w="2097" w:type="pct"/>
                  <w:tcBorders>
                    <w:top w:val="single" w:color="auto" w:sz="4" w:space="0"/>
                    <w:left w:val="nil"/>
                    <w:bottom w:val="single" w:color="auto" w:sz="4" w:space="0"/>
                    <w:right w:val="single" w:color="auto" w:sz="4" w:space="0"/>
                  </w:tcBorders>
                  <w:vAlign w:val="center"/>
                </w:tcPr>
                <w:p w14:paraId="5E10D09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暂存于井场危废贮存点，</w:t>
                  </w:r>
                  <w:r>
                    <w:rPr>
                      <w:color w:val="000000" w:themeColor="text1"/>
                      <w14:textFill>
                        <w14:solidFill>
                          <w14:schemeClr w14:val="tx1"/>
                        </w14:solidFill>
                      </w14:textFill>
                    </w:rPr>
                    <w:t>交由</w:t>
                  </w:r>
                  <w:r>
                    <w:rPr>
                      <w:rFonts w:hint="eastAsia"/>
                      <w:color w:val="000000" w:themeColor="text1"/>
                      <w14:textFill>
                        <w14:solidFill>
                          <w14:schemeClr w14:val="tx1"/>
                        </w14:solidFill>
                      </w14:textFill>
                    </w:rPr>
                    <w:t>新疆中建环能北庭环保科技有限公司处置。</w:t>
                  </w:r>
                </w:p>
              </w:tc>
            </w:tr>
            <w:tr w14:paraId="555C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tcBorders>
                    <w:top w:val="single" w:color="auto" w:sz="4" w:space="0"/>
                    <w:left w:val="single" w:color="auto" w:sz="4" w:space="0"/>
                    <w:bottom w:val="single" w:color="auto" w:sz="4" w:space="0"/>
                    <w:right w:val="single" w:color="auto" w:sz="4" w:space="0"/>
                  </w:tcBorders>
                  <w:vAlign w:val="center"/>
                </w:tcPr>
                <w:p w14:paraId="5CBA3C3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522" w:type="pct"/>
                  <w:tcBorders>
                    <w:top w:val="single" w:color="auto" w:sz="4" w:space="0"/>
                    <w:left w:val="nil"/>
                    <w:bottom w:val="single" w:color="auto" w:sz="4" w:space="0"/>
                    <w:right w:val="single" w:color="auto" w:sz="4" w:space="0"/>
                  </w:tcBorders>
                  <w:vAlign w:val="center"/>
                </w:tcPr>
                <w:p w14:paraId="6FA42E4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w:t>
                  </w:r>
                </w:p>
                <w:p w14:paraId="088FDA5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垃圾</w:t>
                  </w:r>
                </w:p>
              </w:tc>
              <w:tc>
                <w:tcPr>
                  <w:tcW w:w="494" w:type="pct"/>
                  <w:tcBorders>
                    <w:top w:val="single" w:color="auto" w:sz="4" w:space="0"/>
                    <w:left w:val="nil"/>
                    <w:bottom w:val="single" w:color="auto" w:sz="4" w:space="0"/>
                    <w:right w:val="single" w:color="auto" w:sz="4" w:space="0"/>
                  </w:tcBorders>
                  <w:vAlign w:val="center"/>
                </w:tcPr>
                <w:p w14:paraId="11B739C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施工生活</w:t>
                  </w:r>
                </w:p>
              </w:tc>
              <w:tc>
                <w:tcPr>
                  <w:tcW w:w="1045" w:type="pct"/>
                  <w:tcBorders>
                    <w:top w:val="single" w:color="auto" w:sz="4" w:space="0"/>
                    <w:left w:val="nil"/>
                    <w:bottom w:val="single" w:color="auto" w:sz="4" w:space="0"/>
                    <w:right w:val="single" w:color="auto" w:sz="4" w:space="0"/>
                  </w:tcBorders>
                  <w:vAlign w:val="center"/>
                </w:tcPr>
                <w:p w14:paraId="3D2F834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生活垃圾（900-099-S64）</w:t>
                  </w:r>
                </w:p>
              </w:tc>
              <w:tc>
                <w:tcPr>
                  <w:tcW w:w="583" w:type="pct"/>
                  <w:tcBorders>
                    <w:top w:val="single" w:color="auto" w:sz="4" w:space="0"/>
                    <w:left w:val="nil"/>
                    <w:bottom w:val="single" w:color="auto" w:sz="4" w:space="0"/>
                    <w:right w:val="single" w:color="auto" w:sz="4" w:space="0"/>
                  </w:tcBorders>
                  <w:vAlign w:val="center"/>
                </w:tcPr>
                <w:p w14:paraId="62CBC5F5">
                  <w:pPr>
                    <w:pStyle w:val="26"/>
                    <w:framePr w:hSpace="0" w:wrap="auto" w:vAnchor="margin" w:hAnchor="text" w:xAlign="left" w:yAlign="inline"/>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3.92</w:t>
                  </w:r>
                </w:p>
              </w:tc>
              <w:tc>
                <w:tcPr>
                  <w:tcW w:w="2097" w:type="pct"/>
                  <w:tcBorders>
                    <w:top w:val="single" w:color="auto" w:sz="4" w:space="0"/>
                    <w:left w:val="nil"/>
                    <w:bottom w:val="single" w:color="auto" w:sz="4" w:space="0"/>
                    <w:right w:val="single" w:color="auto" w:sz="4" w:space="0"/>
                  </w:tcBorders>
                  <w:vAlign w:val="center"/>
                </w:tcPr>
                <w:p w14:paraId="3E76245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集中收集，统一拉运至</w:t>
                  </w:r>
                  <w:r>
                    <w:rPr>
                      <w:rFonts w:hint="eastAsia"/>
                      <w:color w:val="000000" w:themeColor="text1"/>
                      <w14:textFill>
                        <w14:solidFill>
                          <w14:schemeClr w14:val="tx1"/>
                        </w14:solidFill>
                      </w14:textFill>
                    </w:rPr>
                    <w:t>吉木萨尔县生活垃圾填埋场</w:t>
                  </w:r>
                  <w:r>
                    <w:rPr>
                      <w:color w:val="000000" w:themeColor="text1"/>
                      <w14:textFill>
                        <w14:solidFill>
                          <w14:schemeClr w14:val="tx1"/>
                        </w14:solidFill>
                      </w14:textFill>
                    </w:rPr>
                    <w:t>处理</w:t>
                  </w:r>
                  <w:r>
                    <w:rPr>
                      <w:rFonts w:hint="eastAsia"/>
                      <w:color w:val="000000" w:themeColor="text1"/>
                      <w14:textFill>
                        <w14:solidFill>
                          <w14:schemeClr w14:val="tx1"/>
                        </w14:solidFill>
                      </w14:textFill>
                    </w:rPr>
                    <w:t>。</w:t>
                  </w:r>
                </w:p>
              </w:tc>
            </w:tr>
            <w:bookmarkEnd w:id="16"/>
          </w:tbl>
          <w:p w14:paraId="46CD3DDC">
            <w:pPr>
              <w:pStyle w:val="3"/>
              <w:ind w:firstLine="0" w:firstLineChars="0"/>
              <w:rPr>
                <w:color w:val="000000" w:themeColor="text1"/>
                <w:sz w:val="28"/>
                <w:szCs w:val="28"/>
                <w14:textFill>
                  <w14:solidFill>
                    <w14:schemeClr w14:val="tx1"/>
                  </w14:solidFill>
                </w14:textFill>
              </w:rPr>
            </w:pPr>
            <w:bookmarkStart w:id="27" w:name="_Hlk43201977"/>
            <w:bookmarkEnd w:id="27"/>
            <w:bookmarkStart w:id="28" w:name="_Toc29189"/>
            <w:r>
              <w:rPr>
                <w:color w:val="000000" w:themeColor="text1"/>
                <w:sz w:val="28"/>
                <w:szCs w:val="28"/>
                <w14:textFill>
                  <w14:solidFill>
                    <w14:schemeClr w14:val="tx1"/>
                  </w14:solidFill>
                </w14:textFill>
              </w:rPr>
              <w:t>7 环境风险分析</w:t>
            </w:r>
            <w:bookmarkEnd w:id="28"/>
          </w:p>
          <w:p w14:paraId="4ACAFB83">
            <w:pPr>
              <w:ind w:firstLine="48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681F9B37">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7.1 评价依据</w:t>
            </w:r>
          </w:p>
          <w:p w14:paraId="6946B767">
            <w:pPr>
              <w:ind w:left="0" w:leftChars="0" w:firstLine="0" w:firstLineChars="0"/>
              <w:rPr>
                <w:rFonts w:hint="default" w:eastAsia="宋体"/>
                <w:b/>
                <w:bCs/>
                <w:color w:val="000000" w:themeColor="text1"/>
                <w:kern w:val="0"/>
                <w:lang w:val="en-US" w:eastAsia="zh-CN"/>
                <w14:textFill>
                  <w14:solidFill>
                    <w14:schemeClr w14:val="tx1"/>
                  </w14:solidFill>
                </w14:textFill>
              </w:rPr>
            </w:pPr>
            <w:r>
              <w:rPr>
                <w:rFonts w:hint="eastAsia"/>
                <w:b/>
                <w:bCs/>
                <w:color w:val="000000" w:themeColor="text1"/>
                <w:kern w:val="0"/>
                <w:lang w:val="en-US" w:eastAsia="zh-CN"/>
                <w14:textFill>
                  <w14:solidFill>
                    <w14:schemeClr w14:val="tx1"/>
                  </w14:solidFill>
                </w14:textFill>
              </w:rPr>
              <w:t>7.1.2 环境风险调查</w:t>
            </w:r>
          </w:p>
          <w:p w14:paraId="1F9289E3">
            <w:pPr>
              <w:ind w:firstLine="480"/>
              <w:rPr>
                <w:bCs/>
                <w:color w:val="000000" w:themeColor="text1"/>
                <w:szCs w:val="21"/>
                <w14:textFill>
                  <w14:solidFill>
                    <w14:schemeClr w14:val="tx1"/>
                  </w14:solidFill>
                </w14:textFill>
              </w:rPr>
            </w:pPr>
            <w:r>
              <w:rPr>
                <w:color w:val="000000" w:themeColor="text1"/>
                <w:kern w:val="0"/>
                <w14:textFill>
                  <w14:solidFill>
                    <w14:schemeClr w14:val="tx1"/>
                  </w14:solidFill>
                </w14:textFill>
              </w:rPr>
              <w:t>对照《建设项目环境风险评价技术导则》（HJ169-2018）附录C.1.1中，本项目钻井过程中涉及的危险物质施工期主要为柴油，试油期主要是柴油、原油和伴生气（天然气），钻井期井场设有柴油罐（20m</w:t>
            </w:r>
            <w:r>
              <w:rPr>
                <w:color w:val="000000" w:themeColor="text1"/>
                <w:kern w:val="0"/>
                <w:vertAlign w:val="superscript"/>
                <w14:textFill>
                  <w14:solidFill>
                    <w14:schemeClr w14:val="tx1"/>
                  </w14:solidFill>
                </w14:textFill>
              </w:rPr>
              <w:t>3</w:t>
            </w:r>
            <w:r>
              <w:rPr>
                <w:color w:val="000000" w:themeColor="text1"/>
                <w:kern w:val="0"/>
                <w14:textFill>
                  <w14:solidFill>
                    <w14:schemeClr w14:val="tx1"/>
                  </w14:solidFill>
                </w14:textFill>
              </w:rPr>
              <w:t>），预计柴油存在量16.7t，试油期设置1个临时储罐共计60m</w:t>
            </w:r>
            <w:r>
              <w:rPr>
                <w:color w:val="000000" w:themeColor="text1"/>
                <w:kern w:val="0"/>
                <w:vertAlign w:val="superscript"/>
                <w14:textFill>
                  <w14:solidFill>
                    <w14:schemeClr w14:val="tx1"/>
                  </w14:solidFill>
                </w14:textFill>
              </w:rPr>
              <w:t>3</w:t>
            </w:r>
            <w:r>
              <w:rPr>
                <w:color w:val="000000" w:themeColor="text1"/>
                <w:kern w:val="0"/>
                <w14:textFill>
                  <w14:solidFill>
                    <w14:schemeClr w14:val="tx1"/>
                  </w14:solidFill>
                </w14:textFill>
              </w:rPr>
              <w:t>，原油存在量约49.8t；</w:t>
            </w:r>
            <w:r>
              <w:rPr>
                <w:color w:val="000000" w:themeColor="text1"/>
                <w14:textFill>
                  <w14:solidFill>
                    <w14:schemeClr w14:val="tx1"/>
                  </w14:solidFill>
                </w14:textFill>
              </w:rPr>
              <w:t>1个5m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的柴油储罐，</w:t>
            </w:r>
            <w:r>
              <w:rPr>
                <w:color w:val="000000" w:themeColor="text1"/>
                <w:kern w:val="0"/>
                <w14:textFill>
                  <w14:solidFill>
                    <w14:schemeClr w14:val="tx1"/>
                  </w14:solidFill>
                </w14:textFill>
              </w:rPr>
              <w:t>预计柴油存在量4.2t。</w:t>
            </w:r>
            <w:r>
              <w:rPr>
                <w:rFonts w:hint="eastAsia"/>
                <w:color w:val="000000" w:themeColor="text1"/>
                <w:kern w:val="0"/>
                <w:lang w:val="en-US" w:eastAsia="zh-CN"/>
                <w14:textFill>
                  <w14:solidFill>
                    <w14:schemeClr w14:val="tx1"/>
                  </w14:solidFill>
                </w14:textFill>
              </w:rPr>
              <w:t>现场设1座50m</w:t>
            </w:r>
            <w:r>
              <w:rPr>
                <w:rFonts w:hint="eastAsia"/>
                <w:color w:val="000000" w:themeColor="text1"/>
                <w:kern w:val="0"/>
                <w:vertAlign w:val="superscript"/>
                <w:lang w:val="en-US" w:eastAsia="zh-CN"/>
                <w14:textFill>
                  <w14:solidFill>
                    <w14:schemeClr w14:val="tx1"/>
                  </w14:solidFill>
                </w14:textFill>
              </w:rPr>
              <w:t>3</w:t>
            </w:r>
            <w:r>
              <w:rPr>
                <w:rFonts w:hint="eastAsia"/>
                <w:color w:val="000000" w:themeColor="text1"/>
                <w:kern w:val="0"/>
                <w:lang w:val="en-US" w:eastAsia="zh-CN"/>
                <w14:textFill>
                  <w14:solidFill>
                    <w14:schemeClr w14:val="tx1"/>
                  </w14:solidFill>
                </w14:textFill>
              </w:rPr>
              <w:t>甲醇罐，预计甲醇存在量30t，</w:t>
            </w:r>
            <w:r>
              <w:rPr>
                <w:rFonts w:hint="eastAsia"/>
                <w:color w:val="000000" w:themeColor="text1"/>
                <w14:textFill>
                  <w14:solidFill>
                    <w14:schemeClr w14:val="tx1"/>
                  </w14:solidFill>
                </w14:textFill>
              </w:rPr>
              <w:t>根据地质设计可知，邻井钻井过程中均未发现H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S，但压裂、采油过程中多口井发现H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S。则</w:t>
            </w:r>
            <w:r>
              <w:rPr>
                <w:rFonts w:hint="eastAsia"/>
                <w:color w:val="000000" w:themeColor="text1"/>
                <w:kern w:val="0"/>
                <w14:textFill>
                  <w14:solidFill>
                    <w14:schemeClr w14:val="tx1"/>
                  </w14:solidFill>
                </w14:textFill>
              </w:rPr>
              <w:t>在试油过程中伴生气中可能含有少量的硫化氢，试油过程中可能通过阀门、法兰等连接件有少量的硫化氢逸散</w:t>
            </w:r>
            <w:r>
              <w:rPr>
                <w:color w:val="000000" w:themeColor="text1"/>
                <w:kern w:val="0"/>
                <w14:textFill>
                  <w14:solidFill>
                    <w14:schemeClr w14:val="tx1"/>
                  </w14:solidFill>
                </w14:textFill>
              </w:rPr>
              <w:t>。</w:t>
            </w:r>
          </w:p>
          <w:p w14:paraId="75A028C8">
            <w:pPr>
              <w:pStyle w:val="32"/>
              <w:adjustRightInd/>
              <w:snapToGrid/>
              <w:ind w:firstLine="0" w:firstLineChars="0"/>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7.</w:t>
            </w:r>
            <w:r>
              <w:rPr>
                <w:rFonts w:hint="eastAsia" w:ascii="Times New Roman" w:hAnsi="Times New Roman"/>
                <w:b/>
                <w:bCs/>
                <w:color w:val="000000" w:themeColor="text1"/>
                <w:sz w:val="24"/>
                <w:szCs w:val="24"/>
                <w:lang w:val="en-US" w:eastAsia="zh-CN"/>
                <w14:textFill>
                  <w14:solidFill>
                    <w14:schemeClr w14:val="tx1"/>
                  </w14:solidFill>
                </w14:textFill>
              </w:rPr>
              <w:t>1.</w:t>
            </w:r>
            <w:r>
              <w:rPr>
                <w:rFonts w:ascii="Times New Roman" w:hAnsi="Times New Roman"/>
                <w:b/>
                <w:bCs/>
                <w:color w:val="000000" w:themeColor="text1"/>
                <w:sz w:val="24"/>
                <w:szCs w:val="24"/>
                <w14:textFill>
                  <w14:solidFill>
                    <w14:schemeClr w14:val="tx1"/>
                  </w14:solidFill>
                </w14:textFill>
              </w:rPr>
              <w:t>2 环境敏感目标概况</w:t>
            </w:r>
          </w:p>
          <w:p w14:paraId="1C496F67">
            <w:pPr>
              <w:ind w:firstLine="480"/>
              <w:rPr>
                <w:color w:val="000000" w:themeColor="text1"/>
                <w14:textFill>
                  <w14:solidFill>
                    <w14:schemeClr w14:val="tx1"/>
                  </w14:solidFill>
                </w14:textFill>
              </w:rPr>
            </w:pPr>
            <w:r>
              <w:rPr>
                <w:rFonts w:hint="eastAsia"/>
                <w:color w:val="000000" w:themeColor="text1"/>
                <w:szCs w:val="32"/>
                <w14:textFill>
                  <w14:solidFill>
                    <w14:schemeClr w14:val="tx1"/>
                  </w14:solidFill>
                </w14:textFill>
              </w:rPr>
              <w:t>根据《建设项目环境风险评价技术导则》（HJ169-2018）的规定，项目开展简单分析，不设环境风险评价范围。</w:t>
            </w:r>
            <w:r>
              <w:rPr>
                <w:bCs/>
                <w:color w:val="000000" w:themeColor="text1"/>
                <w14:textFill>
                  <w14:solidFill>
                    <w14:schemeClr w14:val="tx1"/>
                  </w14:solidFill>
                </w14:textFill>
              </w:rPr>
              <w:t>本项目所在区不属于自然保护区、风景名胜区、水源保护区等环境敏感区，</w:t>
            </w:r>
            <w:r>
              <w:rPr>
                <w:rFonts w:hint="eastAsia"/>
                <w:bCs/>
                <w:color w:val="000000" w:themeColor="text1"/>
                <w14:textFill>
                  <w14:solidFill>
                    <w14:schemeClr w14:val="tx1"/>
                  </w14:solidFill>
                </w14:textFill>
              </w:rPr>
              <w:t>井场西侧744m处有居民点，</w:t>
            </w:r>
            <w:r>
              <w:rPr>
                <w:bCs/>
                <w:color w:val="000000" w:themeColor="text1"/>
                <w14:textFill>
                  <w14:solidFill>
                    <w14:schemeClr w14:val="tx1"/>
                  </w14:solidFill>
                </w14:textFill>
              </w:rPr>
              <w:t>井场周边</w:t>
            </w:r>
            <w:r>
              <w:rPr>
                <w:rFonts w:hint="eastAsia"/>
                <w:bCs/>
                <w:color w:val="000000" w:themeColor="text1"/>
                <w14:textFill>
                  <w14:solidFill>
                    <w14:schemeClr w14:val="tx1"/>
                  </w14:solidFill>
                </w14:textFill>
              </w:rPr>
              <w:t>500</w:t>
            </w:r>
            <w:r>
              <w:rPr>
                <w:bCs/>
                <w:color w:val="000000" w:themeColor="text1"/>
                <w14:textFill>
                  <w14:solidFill>
                    <w14:schemeClr w14:val="tx1"/>
                  </w14:solidFill>
                </w14:textFill>
              </w:rPr>
              <w:t>m范围内无居民点、学校、医院。</w:t>
            </w:r>
            <w:r>
              <w:rPr>
                <w:color w:val="000000" w:themeColor="text1"/>
                <w14:textFill>
                  <w14:solidFill>
                    <w14:schemeClr w14:val="tx1"/>
                  </w14:solidFill>
                </w14:textFill>
              </w:rPr>
              <w:t>项目区内无环境风险敏感目标。</w:t>
            </w:r>
          </w:p>
          <w:p w14:paraId="51F046CB">
            <w:pPr>
              <w:pStyle w:val="4"/>
              <w:ind w:firstLine="0" w:firstLineChars="0"/>
              <w:rPr>
                <w:color w:val="000000" w:themeColor="text1"/>
                <w14:textFill>
                  <w14:solidFill>
                    <w14:schemeClr w14:val="tx1"/>
                  </w14:solidFill>
                </w14:textFill>
              </w:rPr>
            </w:pPr>
            <w:bookmarkStart w:id="29" w:name="_Toc16655"/>
            <w:r>
              <w:rPr>
                <w:color w:val="000000" w:themeColor="text1"/>
                <w14:textFill>
                  <w14:solidFill>
                    <w14:schemeClr w14:val="tx1"/>
                  </w14:solidFill>
                </w14:textFill>
              </w:rPr>
              <w:t>7.2风险潜势初判及评价等级</w:t>
            </w:r>
            <w:bookmarkEnd w:id="29"/>
          </w:p>
          <w:p w14:paraId="09D8CAF7">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7.2.1环境风险潜势初判</w:t>
            </w:r>
          </w:p>
          <w:p w14:paraId="5CEF2AD0">
            <w:pPr>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根据《建设项目环境风险评价技术导则》（HJ169</w:t>
            </w:r>
            <w:r>
              <w:rPr>
                <w:rFonts w:hint="eastAsia" w:cs="Times New Roman"/>
                <w:bCs/>
                <w:color w:val="000000" w:themeColor="text1"/>
                <w:sz w:val="24"/>
                <w:lang w:val="en-US" w:eastAsia="zh-CN"/>
                <w14:textFill>
                  <w14:solidFill>
                    <w14:schemeClr w14:val="tx1"/>
                  </w14:solidFill>
                </w14:textFill>
              </w:rPr>
              <w:t>-</w:t>
            </w:r>
            <w:r>
              <w:rPr>
                <w:rFonts w:ascii="Times New Roman" w:hAnsi="Times New Roman" w:eastAsia="宋体" w:cs="Times New Roman"/>
                <w:bCs/>
                <w:color w:val="000000" w:themeColor="text1"/>
                <w:sz w:val="24"/>
                <w14:textFill>
                  <w14:solidFill>
                    <w14:schemeClr w14:val="tx1"/>
                  </w14:solidFill>
                </w14:textFill>
              </w:rPr>
              <w:t>2018），建设项目环境风险潜势划分为Ⅰ、Ⅱ、Ⅲ、Ⅳ/Ⅳ+级。</w:t>
            </w:r>
          </w:p>
          <w:p w14:paraId="5E4A5988">
            <w:pPr>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根据建设项目涉及的物质和工艺系统的危险性及其所在地的环境敏感程度，结合事故环境影响途径，对建设项目潜在环境危害程度进行概化分析，进而确定环境风险潜势，确定依据见表</w:t>
            </w:r>
            <w:r>
              <w:rPr>
                <w:rFonts w:hint="eastAsia" w:cs="Times New Roman"/>
                <w:bCs/>
                <w:color w:val="000000" w:themeColor="text1"/>
                <w:sz w:val="24"/>
                <w:lang w:val="en-US" w:eastAsia="zh-CN"/>
                <w14:textFill>
                  <w14:solidFill>
                    <w14:schemeClr w14:val="tx1"/>
                  </w14:solidFill>
                </w14:textFill>
              </w:rPr>
              <w:t>4-12</w:t>
            </w:r>
            <w:r>
              <w:rPr>
                <w:rFonts w:ascii="Times New Roman" w:hAnsi="Times New Roman" w:eastAsia="宋体" w:cs="Times New Roman"/>
                <w:bCs/>
                <w:color w:val="000000" w:themeColor="text1"/>
                <w:sz w:val="24"/>
                <w14:textFill>
                  <w14:solidFill>
                    <w14:schemeClr w14:val="tx1"/>
                  </w14:solidFill>
                </w14:textFill>
              </w:rPr>
              <w:t>。</w:t>
            </w:r>
          </w:p>
          <w:p w14:paraId="6559ACCA">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4-12</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项目环境风险潜势划分依据一览表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6"/>
              <w:gridCol w:w="1566"/>
              <w:gridCol w:w="1527"/>
              <w:gridCol w:w="1311"/>
              <w:gridCol w:w="1571"/>
            </w:tblGrid>
            <w:tr w14:paraId="0A1E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486" w:type="pct"/>
                  <w:vMerge w:val="restart"/>
                  <w:vAlign w:val="center"/>
                </w:tcPr>
                <w:p w14:paraId="3C46C149">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环境敏感程度</w:t>
                  </w:r>
                </w:p>
              </w:tc>
              <w:tc>
                <w:tcPr>
                  <w:tcW w:w="3513" w:type="pct"/>
                  <w:gridSpan w:val="4"/>
                  <w:vAlign w:val="center"/>
                </w:tcPr>
                <w:p w14:paraId="0171E9AF">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危险物质及工艺系统危险性（P）</w:t>
                  </w:r>
                </w:p>
              </w:tc>
            </w:tr>
            <w:tr w14:paraId="5AAA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86" w:type="pct"/>
                  <w:vMerge w:val="continue"/>
                  <w:vAlign w:val="center"/>
                </w:tcPr>
                <w:p w14:paraId="543CF2B8">
                  <w:pPr>
                    <w:pStyle w:val="26"/>
                    <w:framePr w:hSpace="0" w:wrap="auto" w:vAnchor="margin" w:hAnchor="text" w:xAlign="left" w:yAlign="inline"/>
                    <w:spacing w:line="240" w:lineRule="auto"/>
                    <w:jc w:val="center"/>
                    <w:rPr>
                      <w:color w:val="000000" w:themeColor="text1"/>
                      <w14:textFill>
                        <w14:solidFill>
                          <w14:schemeClr w14:val="tx1"/>
                        </w14:solidFill>
                      </w14:textFill>
                    </w:rPr>
                  </w:pPr>
                </w:p>
              </w:tc>
              <w:tc>
                <w:tcPr>
                  <w:tcW w:w="921" w:type="pct"/>
                  <w:vAlign w:val="center"/>
                </w:tcPr>
                <w:p w14:paraId="4138622F">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极高危害（P1）</w:t>
                  </w:r>
                </w:p>
              </w:tc>
              <w:tc>
                <w:tcPr>
                  <w:tcW w:w="898" w:type="pct"/>
                  <w:vAlign w:val="center"/>
                </w:tcPr>
                <w:p w14:paraId="2B1B856F">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高度危害（P2）</w:t>
                  </w:r>
                </w:p>
              </w:tc>
              <w:tc>
                <w:tcPr>
                  <w:tcW w:w="771" w:type="pct"/>
                  <w:vAlign w:val="center"/>
                </w:tcPr>
                <w:p w14:paraId="59DABD6D">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中度危害（P3）</w:t>
                  </w:r>
                </w:p>
              </w:tc>
              <w:tc>
                <w:tcPr>
                  <w:tcW w:w="921" w:type="pct"/>
                  <w:vAlign w:val="center"/>
                </w:tcPr>
                <w:p w14:paraId="37A1F117">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轻度危害（P4）</w:t>
                  </w:r>
                </w:p>
              </w:tc>
            </w:tr>
            <w:tr w14:paraId="7B29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486" w:type="pct"/>
                  <w:vAlign w:val="center"/>
                </w:tcPr>
                <w:p w14:paraId="64C042D6">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环境高度敏感区（E1）</w:t>
                  </w:r>
                </w:p>
              </w:tc>
              <w:tc>
                <w:tcPr>
                  <w:tcW w:w="921" w:type="pct"/>
                  <w:vAlign w:val="center"/>
                </w:tcPr>
                <w:p w14:paraId="3ED10880">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Ⅳ+</w:t>
                  </w:r>
                </w:p>
              </w:tc>
              <w:tc>
                <w:tcPr>
                  <w:tcW w:w="898" w:type="pct"/>
                  <w:vAlign w:val="center"/>
                </w:tcPr>
                <w:p w14:paraId="743FDA88">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Ⅳ</w:t>
                  </w:r>
                </w:p>
              </w:tc>
              <w:tc>
                <w:tcPr>
                  <w:tcW w:w="771" w:type="pct"/>
                  <w:vAlign w:val="center"/>
                </w:tcPr>
                <w:p w14:paraId="50AF90E9">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c>
                <w:tcPr>
                  <w:tcW w:w="921" w:type="pct"/>
                  <w:vAlign w:val="center"/>
                </w:tcPr>
                <w:p w14:paraId="7A571E12">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r>
            <w:tr w14:paraId="7BAA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486" w:type="pct"/>
                  <w:vAlign w:val="center"/>
                </w:tcPr>
                <w:p w14:paraId="060C2064">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环境中度敏感区（E2）</w:t>
                  </w:r>
                </w:p>
              </w:tc>
              <w:tc>
                <w:tcPr>
                  <w:tcW w:w="921" w:type="pct"/>
                  <w:vAlign w:val="center"/>
                </w:tcPr>
                <w:p w14:paraId="1A435BCC">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Ⅳ</w:t>
                  </w:r>
                </w:p>
              </w:tc>
              <w:tc>
                <w:tcPr>
                  <w:tcW w:w="898" w:type="pct"/>
                  <w:vAlign w:val="center"/>
                </w:tcPr>
                <w:p w14:paraId="25254ED1">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c>
                <w:tcPr>
                  <w:tcW w:w="771" w:type="pct"/>
                  <w:vAlign w:val="center"/>
                </w:tcPr>
                <w:p w14:paraId="234D7A20">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c>
                <w:tcPr>
                  <w:tcW w:w="921" w:type="pct"/>
                  <w:vAlign w:val="center"/>
                </w:tcPr>
                <w:p w14:paraId="6E52DB10">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Ⅱ</w:t>
                  </w:r>
                </w:p>
              </w:tc>
            </w:tr>
            <w:tr w14:paraId="56FB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486" w:type="pct"/>
                  <w:vAlign w:val="center"/>
                </w:tcPr>
                <w:p w14:paraId="6835EFD2">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环境低度敏感区（E3）</w:t>
                  </w:r>
                </w:p>
              </w:tc>
              <w:tc>
                <w:tcPr>
                  <w:tcW w:w="921" w:type="pct"/>
                  <w:vAlign w:val="center"/>
                </w:tcPr>
                <w:p w14:paraId="783E2C05">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c>
                <w:tcPr>
                  <w:tcW w:w="898" w:type="pct"/>
                  <w:vAlign w:val="center"/>
                </w:tcPr>
                <w:p w14:paraId="042BA8C4">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c>
                <w:tcPr>
                  <w:tcW w:w="771" w:type="pct"/>
                  <w:vAlign w:val="center"/>
                </w:tcPr>
                <w:p w14:paraId="19F61EE1">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Ⅱ</w:t>
                  </w:r>
                </w:p>
              </w:tc>
              <w:tc>
                <w:tcPr>
                  <w:tcW w:w="921" w:type="pct"/>
                  <w:vAlign w:val="center"/>
                </w:tcPr>
                <w:p w14:paraId="120B4FA5">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Ⅰ</w:t>
                  </w:r>
                </w:p>
              </w:tc>
            </w:tr>
            <w:tr w14:paraId="46EB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000" w:type="pct"/>
                  <w:gridSpan w:val="5"/>
                  <w:vAlign w:val="center"/>
                </w:tcPr>
                <w:p w14:paraId="7AEF3C5A">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注：Ⅳ+极高环境风险</w:t>
                  </w:r>
                </w:p>
              </w:tc>
            </w:tr>
          </w:tbl>
          <w:p w14:paraId="486D12ED">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（1）Q值的确定</w:t>
            </w:r>
          </w:p>
          <w:p w14:paraId="0EB5E630">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项目涉及的主要危险物质为</w:t>
            </w:r>
            <w:r>
              <w:rPr>
                <w:rFonts w:hint="eastAsia" w:cs="Times New Roman"/>
                <w:color w:val="000000" w:themeColor="text1"/>
                <w:sz w:val="24"/>
                <w:lang w:val="en-US" w:eastAsia="zh-CN"/>
                <w14:textFill>
                  <w14:solidFill>
                    <w14:schemeClr w14:val="tx1"/>
                  </w14:solidFill>
                </w14:textFill>
              </w:rPr>
              <w:t>柴油</w:t>
            </w:r>
            <w:r>
              <w:rPr>
                <w:rFonts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原</w:t>
            </w:r>
            <w:r>
              <w:rPr>
                <w:rFonts w:ascii="Times New Roman" w:hAnsi="Times New Roman" w:cs="Times New Roman"/>
                <w:color w:val="000000" w:themeColor="text1"/>
                <w:sz w:val="24"/>
                <w14:textFill>
                  <w14:solidFill>
                    <w14:schemeClr w14:val="tx1"/>
                  </w14:solidFill>
                </w14:textFill>
              </w:rPr>
              <w:t>油、</w:t>
            </w:r>
            <w:r>
              <w:rPr>
                <w:rFonts w:hint="eastAsia" w:cs="Times New Roman"/>
                <w:color w:val="000000" w:themeColor="text1"/>
                <w:sz w:val="24"/>
                <w:lang w:val="en-US" w:eastAsia="zh-CN"/>
                <w14:textFill>
                  <w14:solidFill>
                    <w14:schemeClr w14:val="tx1"/>
                  </w14:solidFill>
                </w14:textFill>
              </w:rPr>
              <w:t>甲醇</w:t>
            </w:r>
            <w:r>
              <w:rPr>
                <w:rFonts w:ascii="Times New Roman" w:hAnsi="Times New Roman" w:cs="Times New Roman"/>
                <w:color w:val="000000" w:themeColor="text1"/>
                <w:sz w:val="24"/>
                <w14:textFill>
                  <w14:solidFill>
                    <w14:schemeClr w14:val="tx1"/>
                  </w14:solidFill>
                </w14:textFill>
              </w:rPr>
              <w:t>。涉及的风险为运行过程中储存罐破损造成的油类物质</w:t>
            </w:r>
            <w:r>
              <w:rPr>
                <w:rFonts w:hint="eastAsia" w:cs="Times New Roman"/>
                <w:color w:val="000000" w:themeColor="text1"/>
                <w:sz w:val="24"/>
                <w:lang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天然气和</w:t>
            </w:r>
            <w:r>
              <w:rPr>
                <w:rFonts w:hint="eastAsia" w:cs="Times New Roman"/>
                <w:color w:val="000000" w:themeColor="text1"/>
                <w:sz w:val="24"/>
                <w:lang w:val="en-US" w:eastAsia="zh-CN"/>
                <w14:textFill>
                  <w14:solidFill>
                    <w14:schemeClr w14:val="tx1"/>
                  </w14:solidFill>
                </w14:textFill>
              </w:rPr>
              <w:t>甲醇</w:t>
            </w:r>
            <w:r>
              <w:rPr>
                <w:rFonts w:ascii="Times New Roman" w:hAnsi="Times New Roman" w:cs="Times New Roman"/>
                <w:color w:val="000000" w:themeColor="text1"/>
                <w:sz w:val="24"/>
                <w14:textFill>
                  <w14:solidFill>
                    <w14:schemeClr w14:val="tx1"/>
                  </w14:solidFill>
                </w14:textFill>
              </w:rPr>
              <w:t>的泄漏。根据《建设项目环境风险评价技术导则》（HJ 169-2018）中的判定方法，当存在多种危险物质时，按照下式计算物质总量与其临界量比值：</w:t>
            </w:r>
          </w:p>
          <w:p w14:paraId="57696C6C">
            <w:pPr>
              <w:spacing w:line="36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drawing>
                <wp:inline distT="0" distB="0" distL="114300" distR="114300">
                  <wp:extent cx="1546860" cy="438150"/>
                  <wp:effectExtent l="0" t="0" r="15240" b="0"/>
                  <wp:docPr id="2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0"/>
                          <pic:cNvPicPr>
                            <a:picLocks noChangeAspect="1"/>
                          </pic:cNvPicPr>
                        </pic:nvPicPr>
                        <pic:blipFill>
                          <a:blip r:embed="rId13"/>
                          <a:stretch>
                            <a:fillRect/>
                          </a:stretch>
                        </pic:blipFill>
                        <pic:spPr>
                          <a:xfrm>
                            <a:off x="0" y="0"/>
                            <a:ext cx="1546860" cy="438150"/>
                          </a:xfrm>
                          <a:prstGeom prst="rect">
                            <a:avLst/>
                          </a:prstGeom>
                          <a:noFill/>
                          <a:ln>
                            <a:noFill/>
                          </a:ln>
                        </pic:spPr>
                      </pic:pic>
                    </a:graphicData>
                  </a:graphic>
                </wp:inline>
              </w:drawing>
            </w:r>
          </w:p>
          <w:p w14:paraId="0427EA8F">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式中：q</w:t>
            </w:r>
            <w:r>
              <w:rPr>
                <w:rFonts w:ascii="Times New Roman" w:hAnsi="Times New Roman" w:cs="Times New Roman"/>
                <w:color w:val="000000" w:themeColor="text1"/>
                <w:sz w:val="24"/>
                <w:vertAlign w:val="subscript"/>
                <w14:textFill>
                  <w14:solidFill>
                    <w14:schemeClr w14:val="tx1"/>
                  </w14:solidFill>
                </w14:textFill>
              </w:rPr>
              <w:t>1</w:t>
            </w:r>
            <w:r>
              <w:rPr>
                <w:rFonts w:ascii="Times New Roman" w:hAnsi="Times New Roman" w:cs="Times New Roman"/>
                <w:color w:val="000000" w:themeColor="text1"/>
                <w:sz w:val="24"/>
                <w14:textFill>
                  <w14:solidFill>
                    <w14:schemeClr w14:val="tx1"/>
                  </w14:solidFill>
                </w14:textFill>
              </w:rPr>
              <w:t>，q</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……q</w:t>
            </w:r>
            <w:r>
              <w:rPr>
                <w:rFonts w:ascii="Times New Roman" w:hAnsi="Times New Roman" w:cs="Times New Roman"/>
                <w:color w:val="000000" w:themeColor="text1"/>
                <w:sz w:val="24"/>
                <w:vertAlign w:val="subscript"/>
                <w14:textFill>
                  <w14:solidFill>
                    <w14:schemeClr w14:val="tx1"/>
                  </w14:solidFill>
                </w14:textFill>
              </w:rPr>
              <w:t>n</w:t>
            </w:r>
            <w:r>
              <w:rPr>
                <w:rFonts w:ascii="Times New Roman" w:hAnsi="Times New Roman" w:cs="Times New Roman"/>
                <w:color w:val="000000" w:themeColor="text1"/>
                <w:sz w:val="24"/>
                <w14:textFill>
                  <w14:solidFill>
                    <w14:schemeClr w14:val="tx1"/>
                  </w14:solidFill>
                </w14:textFill>
              </w:rPr>
              <w:t>—每种危险物质的最大存在量，t；</w:t>
            </w:r>
          </w:p>
          <w:p w14:paraId="53E83E0A">
            <w:pPr>
              <w:spacing w:line="360" w:lineRule="auto"/>
              <w:ind w:firstLine="1200" w:firstLineChars="5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Q</w:t>
            </w:r>
            <w:r>
              <w:rPr>
                <w:rFonts w:ascii="Times New Roman" w:hAnsi="Times New Roman" w:cs="Times New Roman"/>
                <w:color w:val="000000" w:themeColor="text1"/>
                <w:sz w:val="24"/>
                <w:vertAlign w:val="subscript"/>
                <w14:textFill>
                  <w14:solidFill>
                    <w14:schemeClr w14:val="tx1"/>
                  </w14:solidFill>
                </w14:textFill>
              </w:rPr>
              <w:t>1</w:t>
            </w:r>
            <w:r>
              <w:rPr>
                <w:rFonts w:ascii="Times New Roman" w:hAnsi="Times New Roman" w:cs="Times New Roman"/>
                <w:color w:val="000000" w:themeColor="text1"/>
                <w:sz w:val="24"/>
                <w14:textFill>
                  <w14:solidFill>
                    <w14:schemeClr w14:val="tx1"/>
                  </w14:solidFill>
                </w14:textFill>
              </w:rPr>
              <w:t>，Q</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…Q</w:t>
            </w:r>
            <w:r>
              <w:rPr>
                <w:rFonts w:ascii="Times New Roman" w:hAnsi="Times New Roman" w:cs="Times New Roman"/>
                <w:color w:val="000000" w:themeColor="text1"/>
                <w:sz w:val="24"/>
                <w:vertAlign w:val="subscript"/>
                <w14:textFill>
                  <w14:solidFill>
                    <w14:schemeClr w14:val="tx1"/>
                  </w14:solidFill>
                </w14:textFill>
              </w:rPr>
              <w:t>n</w:t>
            </w:r>
            <w:r>
              <w:rPr>
                <w:rFonts w:ascii="Times New Roman" w:hAnsi="Times New Roman" w:cs="Times New Roman"/>
                <w:color w:val="000000" w:themeColor="text1"/>
                <w:sz w:val="24"/>
                <w14:textFill>
                  <w14:solidFill>
                    <w14:schemeClr w14:val="tx1"/>
                  </w14:solidFill>
                </w14:textFill>
              </w:rPr>
              <w:t>—每种危险物质的临界量，t。</w:t>
            </w:r>
          </w:p>
          <w:p w14:paraId="5FBF2B83">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当Q＜1时，环境风险潜势为</w:t>
            </w:r>
            <w:r>
              <w:rPr>
                <w:rFonts w:ascii="Times New Roman" w:hAnsi="Times New Roman" w:cs="Times New Roman"/>
                <w:color w:val="000000" w:themeColor="text1"/>
                <w:sz w:val="24"/>
                <w14:textFill>
                  <w14:solidFill>
                    <w14:schemeClr w14:val="tx1"/>
                  </w14:solidFill>
                </w14:textFill>
              </w:rPr>
              <w:fldChar w:fldCharType="begin"/>
            </w:r>
            <w:r>
              <w:rPr>
                <w:rFonts w:ascii="Times New Roman" w:hAnsi="Times New Roman" w:cs="Times New Roman"/>
                <w:color w:val="000000" w:themeColor="text1"/>
                <w:sz w:val="24"/>
                <w14:textFill>
                  <w14:solidFill>
                    <w14:schemeClr w14:val="tx1"/>
                  </w14:solidFill>
                </w14:textFill>
              </w:rPr>
              <w:instrText xml:space="preserve"> = 1 \* ROMAN \* MERGEFORMAT </w:instrText>
            </w:r>
            <w:r>
              <w:rPr>
                <w:rFonts w:ascii="Times New Roman" w:hAnsi="Times New Roman" w:cs="Times New Roman"/>
                <w:color w:val="000000" w:themeColor="text1"/>
                <w:sz w:val="24"/>
                <w14:textFill>
                  <w14:solidFill>
                    <w14:schemeClr w14:val="tx1"/>
                  </w14:solidFill>
                </w14:textFill>
              </w:rPr>
              <w:fldChar w:fldCharType="separate"/>
            </w:r>
            <w:r>
              <w:rPr>
                <w:rFonts w:ascii="Times New Roman" w:hAnsi="Times New Roman" w:cs="Times New Roman"/>
                <w:color w:val="000000" w:themeColor="text1"/>
                <w:sz w:val="24"/>
                <w14:textFill>
                  <w14:solidFill>
                    <w14:schemeClr w14:val="tx1"/>
                  </w14:solidFill>
                </w14:textFill>
              </w:rPr>
              <w:t>I</w:t>
            </w:r>
            <w:r>
              <w:rPr>
                <w:rFonts w:ascii="Times New Roman" w:hAnsi="Times New Roman" w:cs="Times New Roman"/>
                <w:color w:val="000000" w:themeColor="text1"/>
                <w:sz w:val="24"/>
                <w14:textFill>
                  <w14:solidFill>
                    <w14:schemeClr w14:val="tx1"/>
                  </w14:solidFill>
                </w14:textFill>
              </w:rPr>
              <w:fldChar w:fldCharType="end"/>
            </w:r>
            <w:r>
              <w:rPr>
                <w:rFonts w:ascii="Times New Roman" w:hAnsi="Times New Roman" w:cs="Times New Roman"/>
                <w:color w:val="000000" w:themeColor="text1"/>
                <w:sz w:val="24"/>
                <w14:textFill>
                  <w14:solidFill>
                    <w14:schemeClr w14:val="tx1"/>
                  </w14:solidFill>
                </w14:textFill>
              </w:rPr>
              <w:t>。</w:t>
            </w:r>
          </w:p>
          <w:p w14:paraId="08E70161">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当Q≥1时，将Q值划分为：（1）1≤Q＜10；（2）10≤Q＜100；（3）Q≥100。</w:t>
            </w:r>
          </w:p>
          <w:p w14:paraId="02551FFB">
            <w:pPr>
              <w:ind w:firstLine="480"/>
              <w:rPr>
                <w:bCs/>
                <w:color w:val="000000" w:themeColor="text1"/>
                <w:szCs w:val="21"/>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本项目Q的确定见表</w:t>
            </w:r>
            <w:r>
              <w:rPr>
                <w:rFonts w:hint="eastAsia" w:cs="Times New Roman"/>
                <w:color w:val="000000" w:themeColor="text1"/>
                <w:sz w:val="24"/>
                <w:lang w:val="en-US" w:eastAsia="zh-CN"/>
                <w14:textFill>
                  <w14:solidFill>
                    <w14:schemeClr w14:val="tx1"/>
                  </w14:solidFill>
                </w14:textFill>
              </w:rPr>
              <w:t>4-13</w:t>
            </w:r>
            <w:r>
              <w:rPr>
                <w:rFonts w:ascii="Times New Roman" w:hAnsi="Times New Roman" w:cs="Times New Roman"/>
                <w:color w:val="000000" w:themeColor="text1"/>
                <w:sz w:val="24"/>
                <w14:textFill>
                  <w14:solidFill>
                    <w14:schemeClr w14:val="tx1"/>
                  </w14:solidFill>
                </w14:textFill>
              </w:rPr>
              <w:t>。</w:t>
            </w:r>
          </w:p>
          <w:p w14:paraId="46A37A44">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表4-1</w:t>
            </w:r>
            <w:r>
              <w:rPr>
                <w:rFonts w:hint="eastAsia"/>
                <w:bCs/>
                <w:color w:val="000000" w:themeColor="text1"/>
                <w:sz w:val="21"/>
                <w:szCs w:val="21"/>
                <w:lang w:val="en-US" w:eastAsia="zh-CN"/>
                <w14:textFill>
                  <w14:solidFill>
                    <w14:schemeClr w14:val="tx1"/>
                  </w14:solidFill>
                </w14:textFill>
              </w:rPr>
              <w:t>3</w:t>
            </w:r>
            <w:r>
              <w:rPr>
                <w:bCs/>
                <w:color w:val="000000" w:themeColor="text1"/>
                <w:sz w:val="21"/>
                <w:szCs w:val="21"/>
                <w14:textFill>
                  <w14:solidFill>
                    <w14:schemeClr w14:val="tx1"/>
                  </w14:solidFill>
                </w14:textFill>
              </w:rPr>
              <w:t xml:space="preserve">  危险物质与临界量比值</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8"/>
              <w:gridCol w:w="1905"/>
              <w:gridCol w:w="1759"/>
              <w:gridCol w:w="1799"/>
            </w:tblGrid>
            <w:tr w14:paraId="4141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33B305F2">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物质名称</w:t>
                  </w:r>
                </w:p>
              </w:tc>
              <w:tc>
                <w:tcPr>
                  <w:tcW w:w="1120" w:type="pct"/>
                  <w:tcBorders>
                    <w:top w:val="single" w:color="auto" w:sz="4" w:space="0"/>
                    <w:left w:val="single" w:color="auto" w:sz="4" w:space="0"/>
                    <w:bottom w:val="single" w:color="auto" w:sz="4" w:space="0"/>
                    <w:right w:val="single" w:color="auto" w:sz="4" w:space="0"/>
                  </w:tcBorders>
                  <w:vAlign w:val="center"/>
                </w:tcPr>
                <w:p w14:paraId="6183A6A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临界量</w:t>
                  </w:r>
                </w:p>
              </w:tc>
              <w:tc>
                <w:tcPr>
                  <w:tcW w:w="1034" w:type="pct"/>
                  <w:tcBorders>
                    <w:top w:val="single" w:color="auto" w:sz="4" w:space="0"/>
                    <w:left w:val="single" w:color="auto" w:sz="4" w:space="0"/>
                    <w:bottom w:val="single" w:color="auto" w:sz="4" w:space="0"/>
                    <w:right w:val="single" w:color="auto" w:sz="4" w:space="0"/>
                  </w:tcBorders>
                  <w:vAlign w:val="center"/>
                </w:tcPr>
                <w:p w14:paraId="0D43A74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最大存在总量</w:t>
                  </w:r>
                </w:p>
              </w:tc>
              <w:tc>
                <w:tcPr>
                  <w:tcW w:w="1058" w:type="pct"/>
                  <w:tcBorders>
                    <w:top w:val="single" w:color="auto" w:sz="4" w:space="0"/>
                    <w:left w:val="single" w:color="auto" w:sz="4" w:space="0"/>
                    <w:bottom w:val="single" w:color="auto" w:sz="4" w:space="0"/>
                    <w:right w:val="single" w:color="auto" w:sz="4" w:space="0"/>
                  </w:tcBorders>
                  <w:vAlign w:val="center"/>
                </w:tcPr>
                <w:p w14:paraId="46FA77A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Q</w:t>
                  </w:r>
                </w:p>
              </w:tc>
            </w:tr>
            <w:tr w14:paraId="6DBB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611722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w:t>
                  </w:r>
                </w:p>
              </w:tc>
              <w:tc>
                <w:tcPr>
                  <w:tcW w:w="1120" w:type="pct"/>
                  <w:tcBorders>
                    <w:top w:val="single" w:color="auto" w:sz="4" w:space="0"/>
                    <w:left w:val="single" w:color="auto" w:sz="4" w:space="0"/>
                    <w:right w:val="single" w:color="auto" w:sz="4" w:space="0"/>
                  </w:tcBorders>
                  <w:vAlign w:val="center"/>
                </w:tcPr>
                <w:p w14:paraId="5ED5903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2500t</w:t>
                  </w:r>
                </w:p>
              </w:tc>
              <w:tc>
                <w:tcPr>
                  <w:tcW w:w="1034" w:type="pct"/>
                  <w:tcBorders>
                    <w:top w:val="single" w:color="auto" w:sz="4" w:space="0"/>
                    <w:left w:val="single" w:color="auto" w:sz="4" w:space="0"/>
                    <w:bottom w:val="single" w:color="auto" w:sz="4" w:space="0"/>
                    <w:right w:val="single" w:color="auto" w:sz="4" w:space="0"/>
                  </w:tcBorders>
                  <w:vAlign w:val="center"/>
                </w:tcPr>
                <w:p w14:paraId="736720D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20.9t</w:t>
                  </w:r>
                </w:p>
              </w:tc>
              <w:tc>
                <w:tcPr>
                  <w:tcW w:w="1058" w:type="pct"/>
                  <w:tcBorders>
                    <w:top w:val="single" w:color="auto" w:sz="4" w:space="0"/>
                    <w:left w:val="single" w:color="auto" w:sz="4" w:space="0"/>
                    <w:bottom w:val="single" w:color="auto" w:sz="4" w:space="0"/>
                    <w:right w:val="single" w:color="auto" w:sz="4" w:space="0"/>
                  </w:tcBorders>
                  <w:vAlign w:val="center"/>
                </w:tcPr>
                <w:p w14:paraId="707157C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0.008</w:t>
                  </w:r>
                </w:p>
              </w:tc>
            </w:tr>
            <w:tr w14:paraId="0841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06920CE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原油</w:t>
                  </w:r>
                </w:p>
              </w:tc>
              <w:tc>
                <w:tcPr>
                  <w:tcW w:w="1120" w:type="pct"/>
                  <w:tcBorders>
                    <w:left w:val="single" w:color="auto" w:sz="4" w:space="0"/>
                    <w:bottom w:val="single" w:color="auto" w:sz="4" w:space="0"/>
                    <w:right w:val="single" w:color="auto" w:sz="4" w:space="0"/>
                  </w:tcBorders>
                  <w:vAlign w:val="center"/>
                </w:tcPr>
                <w:p w14:paraId="3859075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2500t</w:t>
                  </w:r>
                </w:p>
              </w:tc>
              <w:tc>
                <w:tcPr>
                  <w:tcW w:w="1034" w:type="pct"/>
                  <w:tcBorders>
                    <w:top w:val="single" w:color="auto" w:sz="4" w:space="0"/>
                    <w:left w:val="single" w:color="auto" w:sz="4" w:space="0"/>
                    <w:bottom w:val="single" w:color="auto" w:sz="4" w:space="0"/>
                    <w:right w:val="single" w:color="auto" w:sz="4" w:space="0"/>
                  </w:tcBorders>
                  <w:vAlign w:val="center"/>
                </w:tcPr>
                <w:p w14:paraId="6B2058B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49.8t</w:t>
                  </w:r>
                </w:p>
              </w:tc>
              <w:tc>
                <w:tcPr>
                  <w:tcW w:w="1058" w:type="pct"/>
                  <w:tcBorders>
                    <w:top w:val="single" w:color="auto" w:sz="4" w:space="0"/>
                    <w:left w:val="single" w:color="auto" w:sz="4" w:space="0"/>
                    <w:bottom w:val="single" w:color="auto" w:sz="4" w:space="0"/>
                    <w:right w:val="single" w:color="auto" w:sz="4" w:space="0"/>
                  </w:tcBorders>
                  <w:vAlign w:val="center"/>
                </w:tcPr>
                <w:p w14:paraId="208B6F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0.02</w:t>
                  </w:r>
                </w:p>
              </w:tc>
            </w:tr>
            <w:tr w14:paraId="03C9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5F5646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甲烷（天然气）</w:t>
                  </w:r>
                </w:p>
              </w:tc>
              <w:tc>
                <w:tcPr>
                  <w:tcW w:w="1120" w:type="pct"/>
                  <w:tcBorders>
                    <w:top w:val="single" w:color="auto" w:sz="4" w:space="0"/>
                    <w:left w:val="single" w:color="auto" w:sz="4" w:space="0"/>
                    <w:bottom w:val="single" w:color="auto" w:sz="4" w:space="0"/>
                    <w:right w:val="single" w:color="auto" w:sz="4" w:space="0"/>
                  </w:tcBorders>
                  <w:vAlign w:val="center"/>
                </w:tcPr>
                <w:p w14:paraId="166D8E0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10t</w:t>
                  </w:r>
                </w:p>
              </w:tc>
              <w:tc>
                <w:tcPr>
                  <w:tcW w:w="1034" w:type="pct"/>
                  <w:tcBorders>
                    <w:top w:val="single" w:color="auto" w:sz="4" w:space="0"/>
                    <w:left w:val="single" w:color="auto" w:sz="4" w:space="0"/>
                    <w:bottom w:val="single" w:color="auto" w:sz="4" w:space="0"/>
                    <w:right w:val="single" w:color="auto" w:sz="4" w:space="0"/>
                  </w:tcBorders>
                  <w:vAlign w:val="center"/>
                </w:tcPr>
                <w:p w14:paraId="05549C5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c>
                <w:tcPr>
                  <w:tcW w:w="1058" w:type="pct"/>
                  <w:tcBorders>
                    <w:top w:val="single" w:color="auto" w:sz="4" w:space="0"/>
                    <w:left w:val="single" w:color="auto" w:sz="4" w:space="0"/>
                    <w:bottom w:val="single" w:color="auto" w:sz="4" w:space="0"/>
                    <w:right w:val="single" w:color="auto" w:sz="4" w:space="0"/>
                  </w:tcBorders>
                  <w:vAlign w:val="center"/>
                </w:tcPr>
                <w:p w14:paraId="41BCA6B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r>
            <w:tr w14:paraId="6131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7AE76C49">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甲醇</w:t>
                  </w:r>
                </w:p>
              </w:tc>
              <w:tc>
                <w:tcPr>
                  <w:tcW w:w="1120" w:type="pct"/>
                  <w:tcBorders>
                    <w:top w:val="single" w:color="auto" w:sz="4" w:space="0"/>
                    <w:left w:val="single" w:color="auto" w:sz="4" w:space="0"/>
                    <w:bottom w:val="single" w:color="auto" w:sz="4" w:space="0"/>
                    <w:right w:val="single" w:color="auto" w:sz="4" w:space="0"/>
                  </w:tcBorders>
                  <w:vAlign w:val="center"/>
                </w:tcPr>
                <w:p w14:paraId="7BE7F47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10t</w:t>
                  </w:r>
                </w:p>
              </w:tc>
              <w:tc>
                <w:tcPr>
                  <w:tcW w:w="1034" w:type="pct"/>
                  <w:tcBorders>
                    <w:top w:val="single" w:color="auto" w:sz="4" w:space="0"/>
                    <w:left w:val="single" w:color="auto" w:sz="4" w:space="0"/>
                    <w:bottom w:val="single" w:color="auto" w:sz="4" w:space="0"/>
                    <w:right w:val="single" w:color="auto" w:sz="4" w:space="0"/>
                  </w:tcBorders>
                  <w:vAlign w:val="center"/>
                </w:tcPr>
                <w:p w14:paraId="7B221720">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30t</w:t>
                  </w:r>
                </w:p>
              </w:tc>
              <w:tc>
                <w:tcPr>
                  <w:tcW w:w="1058" w:type="pct"/>
                  <w:tcBorders>
                    <w:top w:val="single" w:color="auto" w:sz="4" w:space="0"/>
                    <w:left w:val="single" w:color="auto" w:sz="4" w:space="0"/>
                    <w:bottom w:val="single" w:color="auto" w:sz="4" w:space="0"/>
                    <w:right w:val="single" w:color="auto" w:sz="4" w:space="0"/>
                  </w:tcBorders>
                  <w:vAlign w:val="center"/>
                </w:tcPr>
                <w:p w14:paraId="41AFB565">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r>
            <w:tr w14:paraId="2BFF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86" w:type="pct"/>
                  <w:tcBorders>
                    <w:top w:val="single" w:color="auto" w:sz="4" w:space="0"/>
                    <w:left w:val="single" w:color="auto" w:sz="4" w:space="0"/>
                    <w:bottom w:val="single" w:color="auto" w:sz="4" w:space="0"/>
                    <w:right w:val="single" w:color="auto" w:sz="4" w:space="0"/>
                  </w:tcBorders>
                  <w:vAlign w:val="center"/>
                </w:tcPr>
                <w:p w14:paraId="5BF3A29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1120" w:type="pct"/>
                  <w:tcBorders>
                    <w:top w:val="single" w:color="auto" w:sz="4" w:space="0"/>
                    <w:left w:val="single" w:color="auto" w:sz="4" w:space="0"/>
                    <w:bottom w:val="single" w:color="auto" w:sz="4" w:space="0"/>
                    <w:right w:val="single" w:color="auto" w:sz="4" w:space="0"/>
                  </w:tcBorders>
                  <w:vAlign w:val="center"/>
                </w:tcPr>
                <w:p w14:paraId="6C535FA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1034" w:type="pct"/>
                  <w:tcBorders>
                    <w:top w:val="single" w:color="auto" w:sz="4" w:space="0"/>
                    <w:left w:val="single" w:color="auto" w:sz="4" w:space="0"/>
                    <w:bottom w:val="single" w:color="auto" w:sz="4" w:space="0"/>
                    <w:right w:val="single" w:color="auto" w:sz="4" w:space="0"/>
                  </w:tcBorders>
                  <w:vAlign w:val="center"/>
                </w:tcPr>
                <w:p w14:paraId="0D80580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1058" w:type="pct"/>
                  <w:tcBorders>
                    <w:top w:val="single" w:color="auto" w:sz="4" w:space="0"/>
                    <w:left w:val="single" w:color="auto" w:sz="4" w:space="0"/>
                    <w:bottom w:val="single" w:color="auto" w:sz="4" w:space="0"/>
                    <w:right w:val="single" w:color="auto" w:sz="4" w:space="0"/>
                  </w:tcBorders>
                  <w:vAlign w:val="center"/>
                </w:tcPr>
                <w:p w14:paraId="10A0A4B4">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3.028</w:t>
                  </w:r>
                </w:p>
              </w:tc>
            </w:tr>
          </w:tbl>
          <w:p w14:paraId="2310C562">
            <w:pPr>
              <w:ind w:firstLine="480"/>
              <w:rPr>
                <w:bCs/>
                <w:color w:val="000000" w:themeColor="text1"/>
                <w:szCs w:val="21"/>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综上，本项目Q值介于1≤Q=</w:t>
            </w:r>
            <w:r>
              <w:rPr>
                <w:rFonts w:hint="eastAsia" w:cs="Times New Roman"/>
                <w:color w:val="000000" w:themeColor="text1"/>
                <w:sz w:val="24"/>
                <w:lang w:val="en-US" w:eastAsia="zh-CN"/>
                <w14:textFill>
                  <w14:solidFill>
                    <w14:schemeClr w14:val="tx1"/>
                  </w14:solidFill>
                </w14:textFill>
              </w:rPr>
              <w:t>3.028</w:t>
            </w:r>
            <w:r>
              <w:rPr>
                <w:rFonts w:ascii="Times New Roman" w:hAnsi="Times New Roman" w:cs="Times New Roman"/>
                <w:color w:val="000000" w:themeColor="text1"/>
                <w:sz w:val="24"/>
                <w14:textFill>
                  <w14:solidFill>
                    <w14:schemeClr w14:val="tx1"/>
                  </w14:solidFill>
                </w14:textFill>
              </w:rPr>
              <w:t>＜10。</w:t>
            </w:r>
          </w:p>
          <w:p w14:paraId="6CDA5423">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（2）M值的确定</w:t>
            </w:r>
          </w:p>
          <w:p w14:paraId="0EDAB549">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分析项目所属行业及生产工艺特点，具有多套工艺单元的项目，对每套生产工艺分别评分并求和。将M划分为（1）M＞20；（2）10＜M≤20；（3）5＜M≤10；（4）M=5，分别以M1、M2、M3和M4表示。</w:t>
            </w:r>
          </w:p>
          <w:p w14:paraId="77695AA7">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4-14</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行业及生产工艺（M）</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9"/>
              <w:gridCol w:w="5589"/>
              <w:gridCol w:w="1124"/>
            </w:tblGrid>
            <w:tr w14:paraId="79AE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tcBorders>
                    <w:tl2br w:val="nil"/>
                    <w:tr2bl w:val="nil"/>
                  </w:tcBorders>
                  <w:vAlign w:val="center"/>
                </w:tcPr>
                <w:p w14:paraId="1FC7AE2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行业</w:t>
                  </w:r>
                </w:p>
              </w:tc>
              <w:tc>
                <w:tcPr>
                  <w:tcW w:w="3287" w:type="pct"/>
                  <w:tcBorders>
                    <w:tl2br w:val="nil"/>
                    <w:tr2bl w:val="nil"/>
                  </w:tcBorders>
                  <w:vAlign w:val="center"/>
                </w:tcPr>
                <w:p w14:paraId="4A71072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评估依据</w:t>
                  </w:r>
                </w:p>
              </w:tc>
              <w:tc>
                <w:tcPr>
                  <w:tcW w:w="659" w:type="pct"/>
                  <w:tcBorders>
                    <w:tl2br w:val="nil"/>
                    <w:tr2bl w:val="nil"/>
                  </w:tcBorders>
                  <w:vAlign w:val="center"/>
                </w:tcPr>
                <w:p w14:paraId="6D2D309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分值</w:t>
                  </w:r>
                </w:p>
              </w:tc>
            </w:tr>
            <w:tr w14:paraId="41B0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vMerge w:val="restart"/>
                  <w:tcBorders>
                    <w:tl2br w:val="nil"/>
                    <w:tr2bl w:val="nil"/>
                  </w:tcBorders>
                  <w:vAlign w:val="center"/>
                </w:tcPr>
                <w:p w14:paraId="2D4BA81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石化、化工、医药、轻工、化纤、有色冶炼等</w:t>
                  </w:r>
                </w:p>
              </w:tc>
              <w:tc>
                <w:tcPr>
                  <w:tcW w:w="3287" w:type="pct"/>
                  <w:tcBorders>
                    <w:tl2br w:val="nil"/>
                    <w:tr2bl w:val="nil"/>
                  </w:tcBorders>
                  <w:vAlign w:val="center"/>
                </w:tcPr>
                <w:p w14:paraId="4A7B5FC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涉及光气及光气化工艺、电解工艺</w:t>
                  </w:r>
                  <w:r>
                    <w:rPr>
                      <w:rFonts w:hint="eastAsia" w:ascii="Times New Roman" w:hAnsi="Times New Roman" w:eastAsia="宋体" w:cs="Times New Roman"/>
                      <w:bCs/>
                      <w:color w:val="000000" w:themeColor="text1"/>
                      <w:kern w:val="0"/>
                      <w:sz w:val="21"/>
                      <w:szCs w:val="21"/>
                      <w:lang w:bidi="ar"/>
                      <w14:textFill>
                        <w14:solidFill>
                          <w14:schemeClr w14:val="tx1"/>
                        </w14:solidFill>
                      </w14:textFill>
                    </w:rPr>
                    <w:t>（</w:t>
                  </w:r>
                  <w:r>
                    <w:rPr>
                      <w:rFonts w:ascii="Times New Roman" w:hAnsi="Times New Roman" w:eastAsia="宋体" w:cs="Times New Roman"/>
                      <w:bCs/>
                      <w:color w:val="000000" w:themeColor="text1"/>
                      <w:kern w:val="0"/>
                      <w:sz w:val="21"/>
                      <w:szCs w:val="21"/>
                      <w:lang w:bidi="ar"/>
                      <w14:textFill>
                        <w14:solidFill>
                          <w14:schemeClr w14:val="tx1"/>
                        </w14:solidFill>
                      </w14:textFill>
                    </w:rPr>
                    <w:t>氯碱)、氯化工艺、硝化工艺、合成氨工艺、裂解（裂化）工艺、氟化工艺、加氢工艺、重氮化工艺、氧化工艺、过氧化工艺、胺基化工艺、磺化工艺、聚合工艺、烷基化工艺、新型煤化工工艺、电石生产工艺、偶氮化工艺</w:t>
                  </w:r>
                </w:p>
              </w:tc>
              <w:tc>
                <w:tcPr>
                  <w:tcW w:w="659" w:type="pct"/>
                  <w:tcBorders>
                    <w:tl2br w:val="nil"/>
                    <w:tr2bl w:val="nil"/>
                  </w:tcBorders>
                  <w:vAlign w:val="center"/>
                </w:tcPr>
                <w:p w14:paraId="7A1639B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10/套</w:t>
                  </w:r>
                </w:p>
              </w:tc>
            </w:tr>
            <w:tr w14:paraId="3D3D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vMerge w:val="continue"/>
                  <w:tcBorders>
                    <w:tl2br w:val="nil"/>
                    <w:tr2bl w:val="nil"/>
                  </w:tcBorders>
                  <w:vAlign w:val="center"/>
                </w:tcPr>
                <w:p w14:paraId="2331FB3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p>
              </w:tc>
              <w:tc>
                <w:tcPr>
                  <w:tcW w:w="3287" w:type="pct"/>
                  <w:tcBorders>
                    <w:tl2br w:val="nil"/>
                    <w:tr2bl w:val="nil"/>
                  </w:tcBorders>
                  <w:vAlign w:val="center"/>
                </w:tcPr>
                <w:p w14:paraId="4F7FC3B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无机酸制酸工艺、焦化工艺</w:t>
                  </w:r>
                </w:p>
              </w:tc>
              <w:tc>
                <w:tcPr>
                  <w:tcW w:w="659" w:type="pct"/>
                  <w:tcBorders>
                    <w:tl2br w:val="nil"/>
                    <w:tr2bl w:val="nil"/>
                  </w:tcBorders>
                  <w:vAlign w:val="center"/>
                </w:tcPr>
                <w:p w14:paraId="7384805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5/套</w:t>
                  </w:r>
                </w:p>
              </w:tc>
            </w:tr>
            <w:tr w14:paraId="7404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vMerge w:val="continue"/>
                  <w:tcBorders>
                    <w:tl2br w:val="nil"/>
                    <w:tr2bl w:val="nil"/>
                  </w:tcBorders>
                  <w:vAlign w:val="center"/>
                </w:tcPr>
                <w:p w14:paraId="0401EFB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p>
              </w:tc>
              <w:tc>
                <w:tcPr>
                  <w:tcW w:w="3287" w:type="pct"/>
                  <w:tcBorders>
                    <w:tl2br w:val="nil"/>
                    <w:tr2bl w:val="nil"/>
                  </w:tcBorders>
                  <w:vAlign w:val="center"/>
                </w:tcPr>
                <w:p w14:paraId="59560A4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其他高温或高压，且涉及危险物质的工艺过程a、危险物质贮存罐区</w:t>
                  </w:r>
                </w:p>
              </w:tc>
              <w:tc>
                <w:tcPr>
                  <w:tcW w:w="659" w:type="pct"/>
                  <w:tcBorders>
                    <w:tl2br w:val="nil"/>
                    <w:tr2bl w:val="nil"/>
                  </w:tcBorders>
                  <w:vAlign w:val="center"/>
                </w:tcPr>
                <w:p w14:paraId="54D46A7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5/套（罐区）</w:t>
                  </w:r>
                </w:p>
              </w:tc>
            </w:tr>
            <w:tr w14:paraId="2466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tcBorders>
                    <w:tl2br w:val="nil"/>
                    <w:tr2bl w:val="nil"/>
                  </w:tcBorders>
                  <w:vAlign w:val="center"/>
                </w:tcPr>
                <w:p w14:paraId="784ED17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管道、港口/码头等</w:t>
                  </w:r>
                </w:p>
              </w:tc>
              <w:tc>
                <w:tcPr>
                  <w:tcW w:w="3287" w:type="pct"/>
                  <w:tcBorders>
                    <w:tl2br w:val="nil"/>
                    <w:tr2bl w:val="nil"/>
                  </w:tcBorders>
                  <w:vAlign w:val="center"/>
                </w:tcPr>
                <w:p w14:paraId="02C5DF8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涉及危险物质管道运输项目、港口/码头等</w:t>
                  </w:r>
                </w:p>
              </w:tc>
              <w:tc>
                <w:tcPr>
                  <w:tcW w:w="659" w:type="pct"/>
                  <w:tcBorders>
                    <w:tl2br w:val="nil"/>
                    <w:tr2bl w:val="nil"/>
                  </w:tcBorders>
                  <w:vAlign w:val="center"/>
                </w:tcPr>
                <w:p w14:paraId="7C1DF5A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10</w:t>
                  </w:r>
                </w:p>
              </w:tc>
            </w:tr>
            <w:tr w14:paraId="55A7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tcBorders>
                    <w:tl2br w:val="nil"/>
                    <w:tr2bl w:val="nil"/>
                  </w:tcBorders>
                  <w:shd w:val="clear" w:color="auto" w:fill="auto"/>
                  <w:vAlign w:val="center"/>
                </w:tcPr>
                <w:p w14:paraId="0D149AC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石油天然气</w:t>
                  </w:r>
                </w:p>
              </w:tc>
              <w:tc>
                <w:tcPr>
                  <w:tcW w:w="3287" w:type="pct"/>
                  <w:tcBorders>
                    <w:tl2br w:val="nil"/>
                    <w:tr2bl w:val="nil"/>
                  </w:tcBorders>
                  <w:shd w:val="clear" w:color="auto" w:fill="auto"/>
                  <w:vAlign w:val="center"/>
                </w:tcPr>
                <w:p w14:paraId="6A81F35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石油、天然气、页岩气开采（含净化），气库（不含加气站的气库），油库（不含加气站的油库）、油气管线b（不含城镇燃气管线）</w:t>
                  </w:r>
                </w:p>
              </w:tc>
              <w:tc>
                <w:tcPr>
                  <w:tcW w:w="659" w:type="pct"/>
                  <w:tcBorders>
                    <w:tl2br w:val="nil"/>
                    <w:tr2bl w:val="nil"/>
                  </w:tcBorders>
                  <w:shd w:val="clear" w:color="auto" w:fill="auto"/>
                  <w:vAlign w:val="center"/>
                </w:tcPr>
                <w:p w14:paraId="166256C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10</w:t>
                  </w:r>
                </w:p>
              </w:tc>
            </w:tr>
            <w:tr w14:paraId="3CFF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052" w:type="pct"/>
                  <w:tcBorders>
                    <w:tl2br w:val="nil"/>
                    <w:tr2bl w:val="nil"/>
                  </w:tcBorders>
                  <w:shd w:val="clear" w:color="auto" w:fill="BEBEBE" w:themeFill="background1" w:themeFillShade="BF"/>
                  <w:vAlign w:val="center"/>
                </w:tcPr>
                <w:p w14:paraId="07ECE42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其他</w:t>
                  </w:r>
                </w:p>
              </w:tc>
              <w:tc>
                <w:tcPr>
                  <w:tcW w:w="3287" w:type="pct"/>
                  <w:tcBorders>
                    <w:tl2br w:val="nil"/>
                    <w:tr2bl w:val="nil"/>
                  </w:tcBorders>
                  <w:shd w:val="clear" w:color="auto" w:fill="BEBEBE" w:themeFill="background1" w:themeFillShade="BF"/>
                  <w:vAlign w:val="center"/>
                </w:tcPr>
                <w:p w14:paraId="25F9CC8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涉及危险物质使用、贮存的项目</w:t>
                  </w:r>
                </w:p>
              </w:tc>
              <w:tc>
                <w:tcPr>
                  <w:tcW w:w="659" w:type="pct"/>
                  <w:tcBorders>
                    <w:tl2br w:val="nil"/>
                    <w:tr2bl w:val="nil"/>
                  </w:tcBorders>
                  <w:shd w:val="clear" w:color="auto" w:fill="BEBEBE" w:themeFill="background1" w:themeFillShade="BF"/>
                  <w:vAlign w:val="center"/>
                </w:tcPr>
                <w:p w14:paraId="7B27B2B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5</w:t>
                  </w:r>
                </w:p>
              </w:tc>
            </w:tr>
            <w:tr w14:paraId="5793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l2br w:val="nil"/>
                    <w:tr2bl w:val="nil"/>
                  </w:tcBorders>
                  <w:vAlign w:val="center"/>
                </w:tcPr>
                <w:p w14:paraId="2FE7389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a温度≥300℃，高压指压力容器的设计压力(P)≥10.0MPa；</w:t>
                  </w:r>
                </w:p>
                <w:p w14:paraId="5472EA4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b长输管道运输项目应按站场、管线分段进行评价。</w:t>
                  </w:r>
                </w:p>
              </w:tc>
            </w:tr>
          </w:tbl>
          <w:p w14:paraId="46FBB031">
            <w:pPr>
              <w:widowControl/>
              <w:topLinePunct/>
              <w:spacing w:line="360" w:lineRule="auto"/>
              <w:ind w:firstLine="480"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本项目为</w:t>
            </w:r>
            <w:r>
              <w:rPr>
                <w:color w:val="000000" w:themeColor="text1"/>
                <w14:textFill>
                  <w14:solidFill>
                    <w14:schemeClr w14:val="tx1"/>
                  </w14:solidFill>
                </w14:textFill>
              </w:rPr>
              <w:t>陆地矿产资源地质勘查</w:t>
            </w:r>
            <w:r>
              <w:rPr>
                <w:rFonts w:ascii="Times New Roman" w:hAnsi="Times New Roman" w:eastAsia="宋体" w:cs="Times New Roman"/>
                <w:bCs/>
                <w:color w:val="000000" w:themeColor="text1"/>
                <w:sz w:val="24"/>
                <w14:textFill>
                  <w14:solidFill>
                    <w14:schemeClr w14:val="tx1"/>
                  </w14:solidFill>
                </w14:textFill>
              </w:rPr>
              <w:t>，综上，各</w:t>
            </w:r>
            <w:r>
              <w:rPr>
                <w:rFonts w:hint="eastAsia" w:cs="Times New Roman"/>
                <w:bCs/>
                <w:color w:val="000000" w:themeColor="text1"/>
                <w:sz w:val="24"/>
                <w:lang w:val="en-US" w:eastAsia="zh-CN"/>
                <w14:textFill>
                  <w14:solidFill>
                    <w14:schemeClr w14:val="tx1"/>
                  </w14:solidFill>
                </w14:textFill>
              </w:rPr>
              <w:t>贮存设施</w:t>
            </w:r>
            <w:r>
              <w:rPr>
                <w:rFonts w:ascii="Times New Roman" w:hAnsi="Times New Roman" w:eastAsia="宋体" w:cs="Times New Roman"/>
                <w:bCs/>
                <w:color w:val="000000" w:themeColor="text1"/>
                <w:sz w:val="24"/>
                <w14:textFill>
                  <w14:solidFill>
                    <w14:schemeClr w14:val="tx1"/>
                  </w14:solidFill>
                </w14:textFill>
              </w:rPr>
              <w:t>M分值为</w:t>
            </w:r>
            <w:r>
              <w:rPr>
                <w:rFonts w:hint="eastAsia" w:cs="Times New Roman"/>
                <w:bCs/>
                <w:color w:val="000000" w:themeColor="text1"/>
                <w:sz w:val="24"/>
                <w:lang w:val="en-US" w:eastAsia="zh-CN"/>
                <w14:textFill>
                  <w14:solidFill>
                    <w14:schemeClr w14:val="tx1"/>
                  </w14:solidFill>
                </w14:textFill>
              </w:rPr>
              <w:t>5</w:t>
            </w:r>
            <w:r>
              <w:rPr>
                <w:rFonts w:ascii="Times New Roman" w:hAnsi="Times New Roman" w:eastAsia="宋体" w:cs="Times New Roman"/>
                <w:bCs/>
                <w:color w:val="000000" w:themeColor="text1"/>
                <w:sz w:val="24"/>
                <w14:textFill>
                  <w14:solidFill>
                    <w14:schemeClr w14:val="tx1"/>
                  </w14:solidFill>
                </w14:textFill>
              </w:rPr>
              <w:t>，级别为M</w:t>
            </w:r>
            <w:r>
              <w:rPr>
                <w:rFonts w:hint="eastAsia" w:cs="Times New Roman"/>
                <w:bCs/>
                <w:color w:val="000000" w:themeColor="text1"/>
                <w:sz w:val="24"/>
                <w:lang w:val="en-US" w:eastAsia="zh-CN"/>
                <w14:textFill>
                  <w14:solidFill>
                    <w14:schemeClr w14:val="tx1"/>
                  </w14:solidFill>
                </w14:textFill>
              </w:rPr>
              <w:t>4</w:t>
            </w:r>
            <w:r>
              <w:rPr>
                <w:rFonts w:ascii="Times New Roman" w:hAnsi="Times New Roman" w:eastAsia="宋体" w:cs="Times New Roman"/>
                <w:bCs/>
                <w:color w:val="000000" w:themeColor="text1"/>
                <w:sz w:val="24"/>
                <w14:textFill>
                  <w14:solidFill>
                    <w14:schemeClr w14:val="tx1"/>
                  </w14:solidFill>
                </w14:textFill>
              </w:rPr>
              <w:t>（M</w:t>
            </w:r>
            <w:r>
              <w:rPr>
                <w:rFonts w:hint="eastAsia" w:cs="Times New Roman"/>
                <w:bCs/>
                <w:color w:val="000000" w:themeColor="text1"/>
                <w:sz w:val="24"/>
                <w:lang w:val="en-US" w:eastAsia="zh-CN"/>
                <w14:textFill>
                  <w14:solidFill>
                    <w14:schemeClr w14:val="tx1"/>
                  </w14:solidFill>
                </w14:textFill>
              </w:rPr>
              <w:t>=5</w:t>
            </w:r>
            <w:r>
              <w:rPr>
                <w:rFonts w:ascii="Times New Roman" w:hAnsi="Times New Roman" w:eastAsia="宋体" w:cs="Times New Roman"/>
                <w:bCs/>
                <w:color w:val="000000" w:themeColor="text1"/>
                <w:sz w:val="24"/>
                <w14:textFill>
                  <w14:solidFill>
                    <w14:schemeClr w14:val="tx1"/>
                  </w14:solidFill>
                </w14:textFill>
              </w:rPr>
              <w:t>）。</w:t>
            </w:r>
          </w:p>
          <w:p w14:paraId="40A318F3">
            <w:pPr>
              <w:widowControl/>
              <w:topLinePunct/>
              <w:spacing w:line="360" w:lineRule="auto"/>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（3）P值的确定</w:t>
            </w:r>
          </w:p>
          <w:p w14:paraId="4C00F140">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根据危险物质数量与临界量比值（Q）和行业及生产工艺（M），按照表</w:t>
            </w:r>
            <w:r>
              <w:rPr>
                <w:rFonts w:hint="eastAsia" w:cs="Times New Roman"/>
                <w:bCs/>
                <w:color w:val="000000" w:themeColor="text1"/>
                <w:sz w:val="24"/>
                <w:lang w:val="en-US" w:eastAsia="zh-CN"/>
                <w14:textFill>
                  <w14:solidFill>
                    <w14:schemeClr w14:val="tx1"/>
                  </w14:solidFill>
                </w14:textFill>
              </w:rPr>
              <w:t>4-15</w:t>
            </w:r>
            <w:r>
              <w:rPr>
                <w:rFonts w:ascii="Times New Roman" w:hAnsi="Times New Roman" w:eastAsia="宋体" w:cs="Times New Roman"/>
                <w:bCs/>
                <w:color w:val="000000" w:themeColor="text1"/>
                <w:sz w:val="24"/>
                <w14:textFill>
                  <w14:solidFill>
                    <w14:schemeClr w14:val="tx1"/>
                  </w14:solidFill>
                </w14:textFill>
              </w:rPr>
              <w:t>确定危险物质及工艺系数危险性等级（P），分别以P1、P2、P3、P4表示。</w:t>
            </w:r>
          </w:p>
          <w:p w14:paraId="5B340F52">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4-15</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危险物质及工艺系数危险性等级判断（P）</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1700"/>
              <w:gridCol w:w="1701"/>
              <w:gridCol w:w="1701"/>
              <w:gridCol w:w="1702"/>
            </w:tblGrid>
            <w:tr w14:paraId="3438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3" w:type="dxa"/>
                  <w:vMerge w:val="restart"/>
                  <w:vAlign w:val="center"/>
                </w:tcPr>
                <w:p w14:paraId="773CAC4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危险物质数量与临界比值（Q）</w:t>
                  </w:r>
                </w:p>
              </w:tc>
              <w:tc>
                <w:tcPr>
                  <w:tcW w:w="6818" w:type="dxa"/>
                  <w:gridSpan w:val="4"/>
                  <w:vAlign w:val="center"/>
                </w:tcPr>
                <w:p w14:paraId="6DAA2AC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行业及生产工艺（M）</w:t>
                  </w:r>
                </w:p>
              </w:tc>
            </w:tr>
            <w:tr w14:paraId="206F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continue"/>
                  <w:vAlign w:val="center"/>
                </w:tcPr>
                <w:p w14:paraId="6BE65F4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p>
              </w:tc>
              <w:tc>
                <w:tcPr>
                  <w:tcW w:w="1704" w:type="dxa"/>
                  <w:vAlign w:val="center"/>
                </w:tcPr>
                <w:p w14:paraId="7FE27A8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M1</w:t>
                  </w:r>
                </w:p>
              </w:tc>
              <w:tc>
                <w:tcPr>
                  <w:tcW w:w="1705" w:type="dxa"/>
                  <w:vAlign w:val="center"/>
                </w:tcPr>
                <w:p w14:paraId="2E83E64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M2</w:t>
                  </w:r>
                </w:p>
              </w:tc>
              <w:tc>
                <w:tcPr>
                  <w:tcW w:w="1704" w:type="dxa"/>
                  <w:vAlign w:val="center"/>
                </w:tcPr>
                <w:p w14:paraId="152561F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M3</w:t>
                  </w:r>
                </w:p>
              </w:tc>
              <w:tc>
                <w:tcPr>
                  <w:tcW w:w="1705" w:type="dxa"/>
                  <w:vAlign w:val="center"/>
                </w:tcPr>
                <w:p w14:paraId="562D3C5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M4</w:t>
                  </w:r>
                </w:p>
              </w:tc>
            </w:tr>
            <w:tr w14:paraId="0BD6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Align w:val="center"/>
                </w:tcPr>
                <w:p w14:paraId="7CA2BAB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Q≥100</w:t>
                  </w:r>
                </w:p>
              </w:tc>
              <w:tc>
                <w:tcPr>
                  <w:tcW w:w="1704" w:type="dxa"/>
                  <w:vAlign w:val="center"/>
                </w:tcPr>
                <w:p w14:paraId="09E1508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P1</w:t>
                  </w:r>
                </w:p>
              </w:tc>
              <w:tc>
                <w:tcPr>
                  <w:tcW w:w="1705" w:type="dxa"/>
                  <w:vAlign w:val="center"/>
                </w:tcPr>
                <w:p w14:paraId="23DBFDE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P1</w:t>
                  </w:r>
                </w:p>
              </w:tc>
              <w:tc>
                <w:tcPr>
                  <w:tcW w:w="1704" w:type="dxa"/>
                  <w:vAlign w:val="center"/>
                </w:tcPr>
                <w:p w14:paraId="49A74D3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P2</w:t>
                  </w:r>
                </w:p>
              </w:tc>
              <w:tc>
                <w:tcPr>
                  <w:tcW w:w="1705" w:type="dxa"/>
                  <w:vAlign w:val="center"/>
                </w:tcPr>
                <w:p w14:paraId="324B3FA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P3</w:t>
                  </w:r>
                </w:p>
              </w:tc>
            </w:tr>
            <w:tr w14:paraId="73FB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Align w:val="center"/>
                </w:tcPr>
                <w:p w14:paraId="4AD8B5D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10≤Q＜100</w:t>
                  </w:r>
                </w:p>
              </w:tc>
              <w:tc>
                <w:tcPr>
                  <w:tcW w:w="1704" w:type="dxa"/>
                  <w:vAlign w:val="center"/>
                </w:tcPr>
                <w:p w14:paraId="76C3F34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P1</w:t>
                  </w:r>
                </w:p>
              </w:tc>
              <w:tc>
                <w:tcPr>
                  <w:tcW w:w="1705" w:type="dxa"/>
                  <w:vAlign w:val="center"/>
                </w:tcPr>
                <w:p w14:paraId="5659019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P2</w:t>
                  </w:r>
                </w:p>
              </w:tc>
              <w:tc>
                <w:tcPr>
                  <w:tcW w:w="1704" w:type="dxa"/>
                  <w:vAlign w:val="center"/>
                </w:tcPr>
                <w:p w14:paraId="2FA0235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P3</w:t>
                  </w:r>
                </w:p>
              </w:tc>
              <w:tc>
                <w:tcPr>
                  <w:tcW w:w="1705" w:type="dxa"/>
                  <w:vAlign w:val="center"/>
                </w:tcPr>
                <w:p w14:paraId="2D781CF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P4</w:t>
                  </w:r>
                </w:p>
              </w:tc>
            </w:tr>
            <w:tr w14:paraId="6CBB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Align w:val="center"/>
                </w:tcPr>
                <w:p w14:paraId="01E3238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1≤Q＜10</w:t>
                  </w:r>
                </w:p>
              </w:tc>
              <w:tc>
                <w:tcPr>
                  <w:tcW w:w="1704" w:type="dxa"/>
                  <w:vAlign w:val="center"/>
                </w:tcPr>
                <w:p w14:paraId="01D68C5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P2</w:t>
                  </w:r>
                </w:p>
              </w:tc>
              <w:tc>
                <w:tcPr>
                  <w:tcW w:w="1705" w:type="dxa"/>
                  <w:vAlign w:val="center"/>
                </w:tcPr>
                <w:p w14:paraId="1ED2DC7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P3</w:t>
                  </w:r>
                </w:p>
              </w:tc>
              <w:tc>
                <w:tcPr>
                  <w:tcW w:w="1704" w:type="dxa"/>
                  <w:shd w:val="clear" w:color="auto" w:fill="auto"/>
                  <w:vAlign w:val="center"/>
                </w:tcPr>
                <w:p w14:paraId="1A5FCF0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P4</w:t>
                  </w:r>
                </w:p>
              </w:tc>
              <w:tc>
                <w:tcPr>
                  <w:tcW w:w="1705" w:type="dxa"/>
                  <w:shd w:val="clear" w:color="auto" w:fill="D7D7D7" w:themeFill="background1" w:themeFillShade="D8"/>
                  <w:vAlign w:val="center"/>
                </w:tcPr>
                <w:p w14:paraId="6896655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P4</w:t>
                  </w:r>
                </w:p>
              </w:tc>
            </w:tr>
          </w:tbl>
          <w:p w14:paraId="697141F3">
            <w:pPr>
              <w:widowControl/>
              <w:topLinePunct/>
              <w:spacing w:before="163" w:beforeLines="50"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本项目危险物质数量与临界量比值1≤Q＜10，行业及生产工艺（M）为M</w:t>
            </w:r>
            <w:r>
              <w:rPr>
                <w:rFonts w:hint="eastAsia" w:cs="Times New Roman"/>
                <w:bCs/>
                <w:color w:val="000000" w:themeColor="text1"/>
                <w:sz w:val="24"/>
                <w:lang w:val="en-US" w:eastAsia="zh-CN"/>
                <w14:textFill>
                  <w14:solidFill>
                    <w14:schemeClr w14:val="tx1"/>
                  </w14:solidFill>
                </w14:textFill>
              </w:rPr>
              <w:t>4</w:t>
            </w:r>
            <w:r>
              <w:rPr>
                <w:rFonts w:ascii="Times New Roman" w:hAnsi="Times New Roman" w:eastAsia="宋体" w:cs="Times New Roman"/>
                <w:bCs/>
                <w:color w:val="000000" w:themeColor="text1"/>
                <w:sz w:val="24"/>
                <w14:textFill>
                  <w14:solidFill>
                    <w14:schemeClr w14:val="tx1"/>
                  </w14:solidFill>
                </w14:textFill>
              </w:rPr>
              <w:t>，因此危险物质及工艺系统危险性等级为P4。</w:t>
            </w:r>
          </w:p>
          <w:p w14:paraId="38FBF832">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（4）环境敏感程度的确定</w:t>
            </w:r>
          </w:p>
          <w:p w14:paraId="356D65BD">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1）大气环境敏感程度</w:t>
            </w:r>
          </w:p>
          <w:p w14:paraId="40E4D9C1">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根据《建设项目环境风险评价技术导则》（HJ169-2018）附录D的规定：项目所在区域大气环境敏感程度是依据环境敏感目标环境敏感性及人口密度划分环境风险受体的敏感性来确定。大气环境敏感程度共分为三种类型：E1为环境高度敏感区，E2为环境中度敏感区，E3为环境低度敏感区，分级原则见表</w:t>
            </w:r>
            <w:r>
              <w:rPr>
                <w:rFonts w:hint="eastAsia" w:cs="Times New Roman"/>
                <w:bCs/>
                <w:color w:val="000000" w:themeColor="text1"/>
                <w:sz w:val="24"/>
                <w:lang w:val="en-US" w:eastAsia="zh-CN"/>
                <w14:textFill>
                  <w14:solidFill>
                    <w14:schemeClr w14:val="tx1"/>
                  </w14:solidFill>
                </w14:textFill>
              </w:rPr>
              <w:t>4-16</w:t>
            </w:r>
            <w:r>
              <w:rPr>
                <w:rFonts w:ascii="Times New Roman" w:hAnsi="Times New Roman" w:eastAsia="宋体" w:cs="Times New Roman"/>
                <w:bCs/>
                <w:color w:val="000000" w:themeColor="text1"/>
                <w:sz w:val="24"/>
                <w14:textFill>
                  <w14:solidFill>
                    <w14:schemeClr w14:val="tx1"/>
                  </w14:solidFill>
                </w14:textFill>
              </w:rPr>
              <w:t>。</w:t>
            </w:r>
          </w:p>
          <w:p w14:paraId="26828FA4">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4-16</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大气环境敏感程度分级原则一览表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7722"/>
            </w:tblGrid>
            <w:tr w14:paraId="54E1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82" w:type="dxa"/>
                  <w:vAlign w:val="center"/>
                </w:tcPr>
                <w:p w14:paraId="79CD47D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分级</w:t>
                  </w:r>
                </w:p>
              </w:tc>
              <w:tc>
                <w:tcPr>
                  <w:tcW w:w="7722" w:type="dxa"/>
                  <w:vAlign w:val="center"/>
                </w:tcPr>
                <w:p w14:paraId="5349E4F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大气环境敏感性</w:t>
                  </w:r>
                </w:p>
              </w:tc>
            </w:tr>
            <w:tr w14:paraId="6A99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Align w:val="center"/>
                </w:tcPr>
                <w:p w14:paraId="6CF3B2E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7722" w:type="dxa"/>
                  <w:vAlign w:val="center"/>
                </w:tcPr>
                <w:p w14:paraId="5C23F5C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周边5km范围内居住区、医疗卫生、文化教育、科研、行政办公等机构人口总数大于5万人，或其他需要特殊保护区域；或周边500m范围内人口总数大于1000人；油气、化学品输送管线管段周边200m范围内，每千米管段人口数大于200人。</w:t>
                  </w:r>
                </w:p>
              </w:tc>
            </w:tr>
            <w:tr w14:paraId="0E31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vAlign w:val="center"/>
                </w:tcPr>
                <w:p w14:paraId="257DBEA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7722" w:type="dxa"/>
                  <w:shd w:val="clear" w:color="auto" w:fill="auto"/>
                  <w:vAlign w:val="center"/>
                </w:tcPr>
                <w:p w14:paraId="64077C1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周边5km范围内居住区、医疗卫生、文化教育、科研、行政办公等机构人口总数大于1万人，小于5万人；或周边500m范围内人口总数大于500人，小于1000人；油气、化学品输送管线管段周边200m范围内，每千米管段人口数大于100人，小于200人。</w:t>
                  </w:r>
                </w:p>
              </w:tc>
            </w:tr>
            <w:tr w14:paraId="759B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D7D7D7" w:themeFill="background1" w:themeFillShade="D8"/>
                  <w:vAlign w:val="center"/>
                </w:tcPr>
                <w:p w14:paraId="0BA1263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c>
                <w:tcPr>
                  <w:tcW w:w="7722" w:type="dxa"/>
                  <w:shd w:val="clear" w:color="auto" w:fill="D7D7D7" w:themeFill="background1" w:themeFillShade="D8"/>
                  <w:vAlign w:val="center"/>
                </w:tcPr>
                <w:p w14:paraId="40436C3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周边5km范围内居住区、医疗卫生、文化教育、科研、行政办公等机构人口总数小于1万人；或周边500m范围内人口总数小于500人；油气、化学品输送管线管段周边200m范围内，每千米管段人口数小于100人。</w:t>
                  </w:r>
                </w:p>
              </w:tc>
            </w:tr>
          </w:tbl>
          <w:p w14:paraId="5D14B435">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本项目位于</w:t>
            </w:r>
            <w:r>
              <w:rPr>
                <w:rFonts w:hint="eastAsia" w:cs="Times New Roman"/>
                <w:bCs/>
                <w:color w:val="000000" w:themeColor="text1"/>
                <w:sz w:val="24"/>
                <w:lang w:val="en-US" w:eastAsia="zh-CN"/>
                <w14:textFill>
                  <w14:solidFill>
                    <w14:schemeClr w14:val="tx1"/>
                  </w14:solidFill>
                </w14:textFill>
              </w:rPr>
              <w:t>奇台县</w:t>
            </w:r>
            <w:r>
              <w:rPr>
                <w:rFonts w:ascii="Times New Roman" w:hAnsi="Times New Roman" w:eastAsia="宋体" w:cs="Times New Roman"/>
                <w:bCs/>
                <w:color w:val="000000" w:themeColor="text1"/>
                <w:sz w:val="24"/>
                <w14:textFill>
                  <w14:solidFill>
                    <w14:schemeClr w14:val="tx1"/>
                  </w14:solidFill>
                </w14:textFill>
              </w:rPr>
              <w:t>，根据现场调查，井场周边5km范围内居住区、医疗卫生、文化教育、科研、行政办公等机构人口总数小于1万人</w:t>
            </w:r>
            <w:r>
              <w:rPr>
                <w:rFonts w:hint="eastAsia" w:cs="Times New Roman"/>
                <w:bCs/>
                <w:color w:val="000000" w:themeColor="text1"/>
                <w:sz w:val="24"/>
                <w:lang w:eastAsia="zh-CN"/>
                <w14:textFill>
                  <w14:solidFill>
                    <w14:schemeClr w14:val="tx1"/>
                  </w14:solidFill>
                </w14:textFill>
              </w:rPr>
              <w:t>，</w:t>
            </w:r>
            <w:r>
              <w:rPr>
                <w:rFonts w:ascii="Times New Roman" w:hAnsi="Times New Roman" w:eastAsia="宋体" w:cs="Times New Roman"/>
                <w:bCs/>
                <w:color w:val="000000" w:themeColor="text1"/>
                <w:sz w:val="24"/>
                <w14:textFill>
                  <w14:solidFill>
                    <w14:schemeClr w14:val="tx1"/>
                  </w14:solidFill>
                </w14:textFill>
              </w:rPr>
              <w:t>周边500m范围内人口总数小于500人。根据表</w:t>
            </w:r>
            <w:r>
              <w:rPr>
                <w:rFonts w:hint="eastAsia" w:cs="Times New Roman"/>
                <w:bCs/>
                <w:color w:val="000000" w:themeColor="text1"/>
                <w:sz w:val="24"/>
                <w:lang w:val="en-US" w:eastAsia="zh-CN"/>
                <w14:textFill>
                  <w14:solidFill>
                    <w14:schemeClr w14:val="tx1"/>
                  </w14:solidFill>
                </w14:textFill>
              </w:rPr>
              <w:t>4-16</w:t>
            </w:r>
            <w:r>
              <w:rPr>
                <w:rFonts w:ascii="Times New Roman" w:hAnsi="Times New Roman" w:eastAsia="宋体" w:cs="Times New Roman"/>
                <w:bCs/>
                <w:color w:val="000000" w:themeColor="text1"/>
                <w:sz w:val="24"/>
                <w14:textFill>
                  <w14:solidFill>
                    <w14:schemeClr w14:val="tx1"/>
                  </w14:solidFill>
                </w14:textFill>
              </w:rPr>
              <w:t>判定，项目所在区域大气环境敏感程度为环境</w:t>
            </w:r>
            <w:r>
              <w:rPr>
                <w:rFonts w:hint="eastAsia" w:cs="Times New Roman"/>
                <w:bCs/>
                <w:color w:val="000000" w:themeColor="text1"/>
                <w:sz w:val="24"/>
                <w:lang w:val="en-US" w:eastAsia="zh-CN"/>
                <w14:textFill>
                  <w14:solidFill>
                    <w14:schemeClr w14:val="tx1"/>
                  </w14:solidFill>
                </w14:textFill>
              </w:rPr>
              <w:t>低</w:t>
            </w:r>
            <w:r>
              <w:rPr>
                <w:rFonts w:ascii="Times New Roman" w:hAnsi="Times New Roman" w:eastAsia="宋体" w:cs="Times New Roman"/>
                <w:bCs/>
                <w:color w:val="000000" w:themeColor="text1"/>
                <w:sz w:val="24"/>
                <w14:textFill>
                  <w14:solidFill>
                    <w14:schemeClr w14:val="tx1"/>
                  </w14:solidFill>
                </w14:textFill>
              </w:rPr>
              <w:t>度敏感区E</w:t>
            </w:r>
            <w:r>
              <w:rPr>
                <w:rFonts w:hint="eastAsia" w:cs="Times New Roman"/>
                <w:bCs/>
                <w:color w:val="000000" w:themeColor="text1"/>
                <w:sz w:val="24"/>
                <w:lang w:val="en-US" w:eastAsia="zh-CN"/>
                <w14:textFill>
                  <w14:solidFill>
                    <w14:schemeClr w14:val="tx1"/>
                  </w14:solidFill>
                </w14:textFill>
              </w:rPr>
              <w:t>3</w:t>
            </w:r>
            <w:r>
              <w:rPr>
                <w:rFonts w:ascii="Times New Roman" w:hAnsi="Times New Roman" w:eastAsia="宋体" w:cs="Times New Roman"/>
                <w:bCs/>
                <w:color w:val="000000" w:themeColor="text1"/>
                <w:sz w:val="24"/>
                <w14:textFill>
                  <w14:solidFill>
                    <w14:schemeClr w14:val="tx1"/>
                  </w14:solidFill>
                </w14:textFill>
              </w:rPr>
              <w:t>。</w:t>
            </w:r>
          </w:p>
          <w:p w14:paraId="7E524FC2">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2）地表水环境敏感程度</w:t>
            </w:r>
          </w:p>
          <w:p w14:paraId="1BF49733">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根据《建设项目环境风险评价技术导则》（HJ169-2018）附录D的规定：区域地表水环境敏感程度依据事故情况下危险物质泄漏到水体的排放点受纳地表水体功能敏感性与下游环境敏感目标情况确定。区域地表水环境敏感程度共分为三种类型，E1为环境高度敏感区，E2为环境中度敏感区，E3为环境低度敏感区，其分级原则见表</w:t>
            </w:r>
            <w:r>
              <w:rPr>
                <w:rFonts w:hint="eastAsia" w:cs="Times New Roman"/>
                <w:bCs/>
                <w:color w:val="000000" w:themeColor="text1"/>
                <w:sz w:val="24"/>
                <w:lang w:val="en-US" w:eastAsia="zh-CN"/>
                <w14:textFill>
                  <w14:solidFill>
                    <w14:schemeClr w14:val="tx1"/>
                  </w14:solidFill>
                </w14:textFill>
              </w:rPr>
              <w:t>4-17</w:t>
            </w:r>
            <w:r>
              <w:rPr>
                <w:rFonts w:ascii="Times New Roman" w:hAnsi="Times New Roman" w:eastAsia="宋体" w:cs="Times New Roman"/>
                <w:bCs/>
                <w:color w:val="000000" w:themeColor="text1"/>
                <w:sz w:val="24"/>
                <w14:textFill>
                  <w14:solidFill>
                    <w14:schemeClr w14:val="tx1"/>
                  </w14:solidFill>
                </w14:textFill>
              </w:rPr>
              <w:t>。其中地表水功能敏感性分区和环境敏感目标分级原则分别见表</w:t>
            </w:r>
            <w:r>
              <w:rPr>
                <w:rFonts w:hint="eastAsia" w:cs="Times New Roman"/>
                <w:bCs/>
                <w:color w:val="000000" w:themeColor="text1"/>
                <w:sz w:val="24"/>
                <w:lang w:val="en-US" w:eastAsia="zh-CN"/>
                <w14:textFill>
                  <w14:solidFill>
                    <w14:schemeClr w14:val="tx1"/>
                  </w14:solidFill>
                </w14:textFill>
              </w:rPr>
              <w:t>4-18</w:t>
            </w:r>
            <w:r>
              <w:rPr>
                <w:rFonts w:ascii="Times New Roman" w:hAnsi="Times New Roman" w:eastAsia="宋体" w:cs="Times New Roman"/>
                <w:bCs/>
                <w:color w:val="000000" w:themeColor="text1"/>
                <w:sz w:val="24"/>
                <w14:textFill>
                  <w14:solidFill>
                    <w14:schemeClr w14:val="tx1"/>
                  </w14:solidFill>
                </w14:textFill>
              </w:rPr>
              <w:t>和表</w:t>
            </w:r>
            <w:r>
              <w:rPr>
                <w:rFonts w:hint="eastAsia" w:cs="Times New Roman"/>
                <w:bCs/>
                <w:color w:val="000000" w:themeColor="text1"/>
                <w:sz w:val="24"/>
                <w:lang w:val="en-US" w:eastAsia="zh-CN"/>
                <w14:textFill>
                  <w14:solidFill>
                    <w14:schemeClr w14:val="tx1"/>
                  </w14:solidFill>
                </w14:textFill>
              </w:rPr>
              <w:t>4-19</w:t>
            </w:r>
            <w:r>
              <w:rPr>
                <w:rFonts w:ascii="Times New Roman" w:hAnsi="Times New Roman" w:eastAsia="宋体" w:cs="Times New Roman"/>
                <w:bCs/>
                <w:color w:val="000000" w:themeColor="text1"/>
                <w:sz w:val="24"/>
                <w14:textFill>
                  <w14:solidFill>
                    <w14:schemeClr w14:val="tx1"/>
                  </w14:solidFill>
                </w14:textFill>
              </w:rPr>
              <w:t>。</w:t>
            </w:r>
          </w:p>
          <w:p w14:paraId="11593F38">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 xml:space="preserve">4-17 </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地表水环境敏感程度分级原则一览表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5"/>
              <w:gridCol w:w="2126"/>
              <w:gridCol w:w="2127"/>
              <w:gridCol w:w="2126"/>
            </w:tblGrid>
            <w:tr w14:paraId="0C2E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30" w:type="dxa"/>
                  <w:vMerge w:val="restart"/>
                  <w:vAlign w:val="center"/>
                </w:tcPr>
                <w:p w14:paraId="27DB09F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环境敏感目标</w:t>
                  </w:r>
                </w:p>
              </w:tc>
              <w:tc>
                <w:tcPr>
                  <w:tcW w:w="6391" w:type="dxa"/>
                  <w:gridSpan w:val="3"/>
                  <w:vAlign w:val="center"/>
                </w:tcPr>
                <w:p w14:paraId="1919C1D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地表水功能敏感性</w:t>
                  </w:r>
                </w:p>
              </w:tc>
            </w:tr>
            <w:tr w14:paraId="77AC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Merge w:val="continue"/>
                  <w:vAlign w:val="center"/>
                </w:tcPr>
                <w:p w14:paraId="5EB57AA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p>
              </w:tc>
              <w:tc>
                <w:tcPr>
                  <w:tcW w:w="2130" w:type="dxa"/>
                  <w:vAlign w:val="center"/>
                </w:tcPr>
                <w:p w14:paraId="732F82A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F1</w:t>
                  </w:r>
                </w:p>
              </w:tc>
              <w:tc>
                <w:tcPr>
                  <w:tcW w:w="2131" w:type="dxa"/>
                  <w:vAlign w:val="center"/>
                </w:tcPr>
                <w:p w14:paraId="00B52C8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F2</w:t>
                  </w:r>
                </w:p>
              </w:tc>
              <w:tc>
                <w:tcPr>
                  <w:tcW w:w="2130" w:type="dxa"/>
                  <w:vAlign w:val="center"/>
                </w:tcPr>
                <w:p w14:paraId="4179C5F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F3</w:t>
                  </w:r>
                </w:p>
              </w:tc>
            </w:tr>
            <w:tr w14:paraId="4F8B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1CB3111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S1</w:t>
                  </w:r>
                </w:p>
              </w:tc>
              <w:tc>
                <w:tcPr>
                  <w:tcW w:w="2130" w:type="dxa"/>
                  <w:vAlign w:val="center"/>
                </w:tcPr>
                <w:p w14:paraId="1CA4A19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31" w:type="dxa"/>
                  <w:vAlign w:val="center"/>
                </w:tcPr>
                <w:p w14:paraId="72D8C53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2130" w:type="dxa"/>
                  <w:vAlign w:val="center"/>
                </w:tcPr>
                <w:p w14:paraId="0112F69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r>
            <w:tr w14:paraId="4C0F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24505E2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S2</w:t>
                  </w:r>
                </w:p>
              </w:tc>
              <w:tc>
                <w:tcPr>
                  <w:tcW w:w="2130" w:type="dxa"/>
                  <w:vAlign w:val="center"/>
                </w:tcPr>
                <w:p w14:paraId="3A383F8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31" w:type="dxa"/>
                  <w:vAlign w:val="center"/>
                </w:tcPr>
                <w:p w14:paraId="1AE9FD9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2130" w:type="dxa"/>
                  <w:vAlign w:val="center"/>
                </w:tcPr>
                <w:p w14:paraId="1DB1E0F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r>
            <w:tr w14:paraId="2E47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0855726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S3</w:t>
                  </w:r>
                </w:p>
              </w:tc>
              <w:tc>
                <w:tcPr>
                  <w:tcW w:w="2130" w:type="dxa"/>
                  <w:vAlign w:val="center"/>
                </w:tcPr>
                <w:p w14:paraId="51138C4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31" w:type="dxa"/>
                  <w:vAlign w:val="center"/>
                </w:tcPr>
                <w:p w14:paraId="75F8461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2130" w:type="dxa"/>
                  <w:shd w:val="clear" w:color="auto" w:fill="BEBEBE" w:themeFill="background1" w:themeFillShade="BF"/>
                  <w:vAlign w:val="center"/>
                </w:tcPr>
                <w:p w14:paraId="50A6E90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r>
          </w:tbl>
          <w:p w14:paraId="0B7F7211">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4-18</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地表水功能敏感性分区原则一览表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7199"/>
            </w:tblGrid>
            <w:tr w14:paraId="20BF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3347AC0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敏感性</w:t>
                  </w:r>
                </w:p>
              </w:tc>
              <w:tc>
                <w:tcPr>
                  <w:tcW w:w="7214" w:type="dxa"/>
                </w:tcPr>
                <w:p w14:paraId="5FA0393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地表水环境敏感特征</w:t>
                  </w:r>
                </w:p>
              </w:tc>
            </w:tr>
            <w:tr w14:paraId="3A95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654D0A5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敏感F1</w:t>
                  </w:r>
                </w:p>
              </w:tc>
              <w:tc>
                <w:tcPr>
                  <w:tcW w:w="7214" w:type="dxa"/>
                </w:tcPr>
                <w:p w14:paraId="5792ECD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排放点进入地表水水域环境功能为Ⅱ类及以上，或海水水质分类第一类；或以发生事故时，危险物质泄漏到水体的排放点算起，排放进入受纳河流最大流速时，24h流经范围内涉跨国界的</w:t>
                  </w:r>
                </w:p>
              </w:tc>
            </w:tr>
            <w:tr w14:paraId="64ED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02054E8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较敏感F2</w:t>
                  </w:r>
                </w:p>
              </w:tc>
              <w:tc>
                <w:tcPr>
                  <w:tcW w:w="7214" w:type="dxa"/>
                </w:tcPr>
                <w:p w14:paraId="20A13EA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排放点进入地表水水域环境功能为Ⅲ类，或海水水质分类第二类；或以发生事故时，危险物质泄漏到水体的排放点算起，排放进入受纳河流最大流速时，24h流经范围内涉跨省界的</w:t>
                  </w:r>
                </w:p>
              </w:tc>
            </w:tr>
            <w:tr w14:paraId="1A14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76BDF96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低敏感F3</w:t>
                  </w:r>
                </w:p>
              </w:tc>
              <w:tc>
                <w:tcPr>
                  <w:tcW w:w="7214" w:type="dxa"/>
                </w:tcPr>
                <w:p w14:paraId="7116FDD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上述地区之外的其他地区</w:t>
                  </w:r>
                </w:p>
              </w:tc>
            </w:tr>
          </w:tbl>
          <w:p w14:paraId="1DB5D073">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 xml:space="preserve">4-19  </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环境敏感目标分级原则一览表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7199"/>
            </w:tblGrid>
            <w:tr w14:paraId="4C0E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630A938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分级</w:t>
                  </w:r>
                </w:p>
              </w:tc>
              <w:tc>
                <w:tcPr>
                  <w:tcW w:w="7214" w:type="dxa"/>
                </w:tcPr>
                <w:p w14:paraId="27CBAF3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环境敏感目标</w:t>
                  </w:r>
                </w:p>
              </w:tc>
            </w:tr>
            <w:tr w14:paraId="66F6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652866D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S1</w:t>
                  </w:r>
                </w:p>
              </w:tc>
              <w:tc>
                <w:tcPr>
                  <w:tcW w:w="7214" w:type="dxa"/>
                </w:tcPr>
                <w:p w14:paraId="59FD56C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发生事故时，危险物质泄漏到内陆水体的排放点下游（顺水流向）10km范围内、近岸海域一个潮周期水质点可能达到的最大水平距离的两倍范围内，有如下一类或多类环境风险受体：集中式地表水饮用水水源保护区（包括一级保护区、二级保护区及准保护区）；农村及分散式饮用水水源保护区和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14:paraId="79F3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12FAAF7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S2</w:t>
                  </w:r>
                </w:p>
              </w:tc>
              <w:tc>
                <w:tcPr>
                  <w:tcW w:w="7214" w:type="dxa"/>
                </w:tcPr>
                <w:p w14:paraId="3629BAE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发生事故时，危险物质泄漏到内陆水体的排放点下游（顺水流向）10km范围内、近岸海域一个潮周期水质点可能达到的最大水平距离的两倍范围内，有如下一类或多类环境风险受体的：水产养殖区；天然渔场；森林公园；地质公园；海滨风景游览区；具有重要经济价值的海洋生物生存区域</w:t>
                  </w:r>
                </w:p>
              </w:tc>
            </w:tr>
            <w:tr w14:paraId="1F3E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1D05844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S3</w:t>
                  </w:r>
                </w:p>
              </w:tc>
              <w:tc>
                <w:tcPr>
                  <w:tcW w:w="7214" w:type="dxa"/>
                </w:tcPr>
                <w:p w14:paraId="77AF683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排放点下游（顺水流向）10km范围、近岸海域一个潮周期水质点可能达到的最大水平距离的两倍范围内无上述类型1和类型2包括的敏感保护目标</w:t>
                  </w:r>
                </w:p>
              </w:tc>
            </w:tr>
          </w:tbl>
          <w:p w14:paraId="42E34657">
            <w:pPr>
              <w:widowControl/>
              <w:topLinePunct/>
              <w:spacing w:line="480" w:lineRule="exact"/>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根据项目工程分析，本项目</w:t>
            </w:r>
            <w:r>
              <w:rPr>
                <w:rFonts w:hint="eastAsia" w:cs="Times New Roman"/>
                <w:bCs/>
                <w:color w:val="000000" w:themeColor="text1"/>
                <w:spacing w:val="-2"/>
                <w:sz w:val="24"/>
                <w:lang w:val="en-US" w:eastAsia="zh-CN"/>
                <w14:textFill>
                  <w14:solidFill>
                    <w14:schemeClr w14:val="tx1"/>
                  </w14:solidFill>
                </w14:textFill>
              </w:rPr>
              <w:t>周边无天然地表水体，</w:t>
            </w:r>
            <w:r>
              <w:rPr>
                <w:rFonts w:ascii="Times New Roman" w:hAnsi="Times New Roman" w:eastAsia="宋体" w:cs="Times New Roman"/>
                <w:bCs/>
                <w:color w:val="000000" w:themeColor="text1"/>
                <w:spacing w:val="-2"/>
                <w:sz w:val="24"/>
                <w14:textFill>
                  <w14:solidFill>
                    <w14:schemeClr w14:val="tx1"/>
                  </w14:solidFill>
                </w14:textFill>
              </w:rPr>
              <w:t>因此，本项目不考虑风险事故泄漏危险物质对地表水体的</w:t>
            </w:r>
            <w:r>
              <w:rPr>
                <w:rFonts w:hint="eastAsia" w:ascii="Times New Roman" w:hAnsi="Times New Roman" w:eastAsia="宋体" w:cs="Times New Roman"/>
                <w:bCs/>
                <w:color w:val="000000" w:themeColor="text1"/>
                <w:spacing w:val="-2"/>
                <w:sz w:val="24"/>
                <w14:textFill>
                  <w14:solidFill>
                    <w14:schemeClr w14:val="tx1"/>
                  </w14:solidFill>
                </w14:textFill>
              </w:rPr>
              <w:t>预测</w:t>
            </w:r>
            <w:r>
              <w:rPr>
                <w:rFonts w:ascii="Times New Roman" w:hAnsi="Times New Roman" w:eastAsia="宋体" w:cs="Times New Roman"/>
                <w:bCs/>
                <w:color w:val="000000" w:themeColor="text1"/>
                <w:spacing w:val="-2"/>
                <w:sz w:val="24"/>
                <w14:textFill>
                  <w14:solidFill>
                    <w14:schemeClr w14:val="tx1"/>
                  </w14:solidFill>
                </w14:textFill>
              </w:rPr>
              <w:t>影响</w:t>
            </w:r>
            <w:r>
              <w:rPr>
                <w:rFonts w:hint="eastAsia" w:ascii="Times New Roman" w:hAnsi="Times New Roman" w:eastAsia="宋体" w:cs="Times New Roman"/>
                <w:bCs/>
                <w:color w:val="000000" w:themeColor="text1"/>
                <w:spacing w:val="-2"/>
                <w:sz w:val="24"/>
                <w14:textFill>
                  <w14:solidFill>
                    <w14:schemeClr w14:val="tx1"/>
                  </w14:solidFill>
                </w14:textFill>
              </w:rPr>
              <w:t>分析，仅进行定性分析。</w:t>
            </w:r>
          </w:p>
          <w:p w14:paraId="240E5591">
            <w:pPr>
              <w:widowControl/>
              <w:topLinePunct/>
              <w:spacing w:line="480" w:lineRule="exact"/>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3）地下水环境敏感程度的确定</w:t>
            </w:r>
          </w:p>
          <w:p w14:paraId="54F56CF9">
            <w:pPr>
              <w:widowControl/>
              <w:topLinePunct/>
              <w:spacing w:line="480" w:lineRule="exact"/>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根据《建设项目环境风险评价技术导则》（HJ169-2018）附录D的规定：项目所在区域地下水环境敏感程度依据地下水功能敏感性与包气带防污性能确定。区域地下水环境敏感程度共分为三种类型，E1为环境高度敏感区，E2为环境中度敏感区，E3为环境低度敏感区，其分级原则见表</w:t>
            </w:r>
            <w:r>
              <w:rPr>
                <w:rFonts w:hint="eastAsia" w:cs="Times New Roman"/>
                <w:bCs/>
                <w:color w:val="000000" w:themeColor="text1"/>
                <w:spacing w:val="-2"/>
                <w:sz w:val="24"/>
                <w:lang w:val="en-US" w:eastAsia="zh-CN"/>
                <w14:textFill>
                  <w14:solidFill>
                    <w14:schemeClr w14:val="tx1"/>
                  </w14:solidFill>
                </w14:textFill>
              </w:rPr>
              <w:t>4-20</w:t>
            </w:r>
            <w:r>
              <w:rPr>
                <w:rFonts w:ascii="Times New Roman" w:hAnsi="Times New Roman" w:eastAsia="宋体" w:cs="Times New Roman"/>
                <w:bCs/>
                <w:color w:val="000000" w:themeColor="text1"/>
                <w:spacing w:val="-2"/>
                <w:sz w:val="24"/>
                <w14:textFill>
                  <w14:solidFill>
                    <w14:schemeClr w14:val="tx1"/>
                  </w14:solidFill>
                </w14:textFill>
              </w:rPr>
              <w:t>。其中地下水功能敏感性分区和包气带防污性能分级分别见表</w:t>
            </w:r>
            <w:r>
              <w:rPr>
                <w:rFonts w:hint="eastAsia" w:cs="Times New Roman"/>
                <w:bCs/>
                <w:color w:val="000000" w:themeColor="text1"/>
                <w:spacing w:val="-2"/>
                <w:sz w:val="24"/>
                <w:lang w:val="en-US" w:eastAsia="zh-CN"/>
                <w14:textFill>
                  <w14:solidFill>
                    <w14:schemeClr w14:val="tx1"/>
                  </w14:solidFill>
                </w14:textFill>
              </w:rPr>
              <w:t>4-21</w:t>
            </w:r>
            <w:r>
              <w:rPr>
                <w:rFonts w:ascii="Times New Roman" w:hAnsi="Times New Roman" w:eastAsia="宋体" w:cs="Times New Roman"/>
                <w:bCs/>
                <w:color w:val="000000" w:themeColor="text1"/>
                <w:spacing w:val="-2"/>
                <w:sz w:val="24"/>
                <w14:textFill>
                  <w14:solidFill>
                    <w14:schemeClr w14:val="tx1"/>
                  </w14:solidFill>
                </w14:textFill>
              </w:rPr>
              <w:t>和表</w:t>
            </w:r>
            <w:r>
              <w:rPr>
                <w:rFonts w:hint="eastAsia" w:cs="Times New Roman"/>
                <w:bCs/>
                <w:color w:val="000000" w:themeColor="text1"/>
                <w:spacing w:val="-2"/>
                <w:sz w:val="24"/>
                <w:lang w:val="en-US" w:eastAsia="zh-CN"/>
                <w14:textFill>
                  <w14:solidFill>
                    <w14:schemeClr w14:val="tx1"/>
                  </w14:solidFill>
                </w14:textFill>
              </w:rPr>
              <w:t>4-22</w:t>
            </w:r>
            <w:r>
              <w:rPr>
                <w:rFonts w:ascii="Times New Roman" w:hAnsi="Times New Roman" w:eastAsia="宋体" w:cs="Times New Roman"/>
                <w:bCs/>
                <w:color w:val="000000" w:themeColor="text1"/>
                <w:spacing w:val="-2"/>
                <w:sz w:val="24"/>
                <w14:textFill>
                  <w14:solidFill>
                    <w14:schemeClr w14:val="tx1"/>
                  </w14:solidFill>
                </w14:textFill>
              </w:rPr>
              <w:t>。当同一建设项目涉及两个G分区或D分级及以上时，取相对值。</w:t>
            </w:r>
          </w:p>
          <w:p w14:paraId="6662695E">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4-20</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地下水环境敏感程度分级原则一览表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5"/>
              <w:gridCol w:w="2126"/>
              <w:gridCol w:w="2127"/>
              <w:gridCol w:w="2126"/>
            </w:tblGrid>
            <w:tr w14:paraId="1DE1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restart"/>
                  <w:vAlign w:val="center"/>
                </w:tcPr>
                <w:p w14:paraId="68711DF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包气带防污性能</w:t>
                  </w:r>
                </w:p>
              </w:tc>
              <w:tc>
                <w:tcPr>
                  <w:tcW w:w="6379" w:type="dxa"/>
                  <w:gridSpan w:val="3"/>
                  <w:vAlign w:val="center"/>
                </w:tcPr>
                <w:p w14:paraId="5697F01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地下水功能敏感性</w:t>
                  </w:r>
                </w:p>
              </w:tc>
            </w:tr>
            <w:tr w14:paraId="71D0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continue"/>
                  <w:vAlign w:val="center"/>
                </w:tcPr>
                <w:p w14:paraId="6D14E4D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p>
              </w:tc>
              <w:tc>
                <w:tcPr>
                  <w:tcW w:w="2126" w:type="dxa"/>
                  <w:vAlign w:val="center"/>
                </w:tcPr>
                <w:p w14:paraId="559D308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G1</w:t>
                  </w:r>
                </w:p>
              </w:tc>
              <w:tc>
                <w:tcPr>
                  <w:tcW w:w="2127" w:type="dxa"/>
                  <w:vAlign w:val="center"/>
                </w:tcPr>
                <w:p w14:paraId="0A5B8C1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G2</w:t>
                  </w:r>
                </w:p>
              </w:tc>
              <w:tc>
                <w:tcPr>
                  <w:tcW w:w="2126" w:type="dxa"/>
                  <w:vAlign w:val="center"/>
                </w:tcPr>
                <w:p w14:paraId="7519975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G3</w:t>
                  </w:r>
                </w:p>
              </w:tc>
            </w:tr>
            <w:tr w14:paraId="4441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64AB778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D1</w:t>
                  </w:r>
                </w:p>
              </w:tc>
              <w:tc>
                <w:tcPr>
                  <w:tcW w:w="2126" w:type="dxa"/>
                  <w:vAlign w:val="center"/>
                </w:tcPr>
                <w:p w14:paraId="21165C9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27" w:type="dxa"/>
                  <w:vAlign w:val="center"/>
                </w:tcPr>
                <w:p w14:paraId="71EA530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26" w:type="dxa"/>
                  <w:vAlign w:val="center"/>
                </w:tcPr>
                <w:p w14:paraId="457F6B3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r>
            <w:tr w14:paraId="691B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2C2A2D4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D2</w:t>
                  </w:r>
                </w:p>
              </w:tc>
              <w:tc>
                <w:tcPr>
                  <w:tcW w:w="2126" w:type="dxa"/>
                  <w:shd w:val="clear" w:color="auto" w:fill="auto"/>
                  <w:vAlign w:val="center"/>
                </w:tcPr>
                <w:p w14:paraId="6918819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27" w:type="dxa"/>
                  <w:shd w:val="clear" w:color="auto" w:fill="auto"/>
                  <w:vAlign w:val="center"/>
                </w:tcPr>
                <w:p w14:paraId="6C316F6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2126" w:type="dxa"/>
                  <w:shd w:val="clear" w:color="auto" w:fill="D7D7D7" w:themeFill="background1" w:themeFillShade="D8"/>
                  <w:vAlign w:val="center"/>
                </w:tcPr>
                <w:p w14:paraId="3F8B969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r>
            <w:tr w14:paraId="423B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6F2866D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D3</w:t>
                  </w:r>
                </w:p>
              </w:tc>
              <w:tc>
                <w:tcPr>
                  <w:tcW w:w="2126" w:type="dxa"/>
                  <w:vAlign w:val="center"/>
                </w:tcPr>
                <w:p w14:paraId="7BFF735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2127" w:type="dxa"/>
                  <w:vAlign w:val="center"/>
                </w:tcPr>
                <w:p w14:paraId="11F9CED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c>
                <w:tcPr>
                  <w:tcW w:w="2126" w:type="dxa"/>
                  <w:vAlign w:val="center"/>
                </w:tcPr>
                <w:p w14:paraId="377FF08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r>
          </w:tbl>
          <w:p w14:paraId="7C9C80E9">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4-21</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地下水功能敏感性分区原则一览表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6909"/>
            </w:tblGrid>
            <w:tr w14:paraId="2B87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vAlign w:val="center"/>
                </w:tcPr>
                <w:p w14:paraId="1B0A55C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分级</w:t>
                  </w:r>
                </w:p>
              </w:tc>
              <w:tc>
                <w:tcPr>
                  <w:tcW w:w="6923" w:type="dxa"/>
                </w:tcPr>
                <w:p w14:paraId="768A1CF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分级地下水环境敏感特征</w:t>
                  </w:r>
                </w:p>
              </w:tc>
            </w:tr>
            <w:tr w14:paraId="3685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shd w:val="clear" w:color="auto" w:fill="auto"/>
                  <w:vAlign w:val="center"/>
                </w:tcPr>
                <w:p w14:paraId="7B7EA4C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敏感G1</w:t>
                  </w:r>
                </w:p>
              </w:tc>
              <w:tc>
                <w:tcPr>
                  <w:tcW w:w="6923" w:type="dxa"/>
                  <w:shd w:val="clear" w:color="auto" w:fill="auto"/>
                </w:tcPr>
                <w:p w14:paraId="4484D25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14:paraId="15BC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shd w:val="clear" w:color="auto" w:fill="auto"/>
                  <w:vAlign w:val="center"/>
                </w:tcPr>
                <w:p w14:paraId="3308C1F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较敏感G2</w:t>
                  </w:r>
                </w:p>
              </w:tc>
              <w:tc>
                <w:tcPr>
                  <w:tcW w:w="6923" w:type="dxa"/>
                  <w:shd w:val="clear" w:color="auto" w:fill="auto"/>
                </w:tcPr>
                <w:p w14:paraId="72071BA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集中式饮用水水源（包括已建成的在用、备用、应急水源，在建和规划的饮用水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w:t>
                  </w:r>
                </w:p>
              </w:tc>
            </w:tr>
            <w:tr w14:paraId="4E34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shd w:val="clear" w:color="auto" w:fill="D7D7D7" w:themeFill="background1" w:themeFillShade="D8"/>
                  <w:vAlign w:val="center"/>
                </w:tcPr>
                <w:p w14:paraId="7499E1A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不敏感G3</w:t>
                  </w:r>
                </w:p>
              </w:tc>
              <w:tc>
                <w:tcPr>
                  <w:tcW w:w="6923" w:type="dxa"/>
                  <w:shd w:val="clear" w:color="auto" w:fill="D7D7D7" w:themeFill="background1" w:themeFillShade="D8"/>
                </w:tcPr>
                <w:p w14:paraId="4E73DEB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上述地区之外的其他地区</w:t>
                  </w:r>
                </w:p>
              </w:tc>
            </w:tr>
            <w:tr w14:paraId="6B1D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1" w:type="dxa"/>
                  <w:gridSpan w:val="2"/>
                </w:tcPr>
                <w:p w14:paraId="474632F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baseline"/>
                    <w:rPr>
                      <w:rFonts w:hint="eastAsia" w:ascii="Times New Roman" w:hAnsi="Times New Roman" w:eastAsia="宋体" w:cs="Times New Roman"/>
                      <w:bCs/>
                      <w:color w:val="000000" w:themeColor="text1"/>
                      <w:kern w:val="0"/>
                      <w:sz w:val="21"/>
                      <w:szCs w:val="21"/>
                      <w:lang w:eastAsia="zh-CN"/>
                      <w14:textFill>
                        <w14:solidFill>
                          <w14:schemeClr w14:val="tx1"/>
                        </w14:solidFill>
                      </w14:textFill>
                    </w:rPr>
                  </w:pPr>
                  <w:r>
                    <w:rPr>
                      <w:rFonts w:ascii="Times New Roman" w:hAnsi="Times New Roman" w:eastAsia="宋体" w:cs="Times New Roman"/>
                      <w:bCs/>
                      <w:color w:val="000000" w:themeColor="text1"/>
                      <w:kern w:val="0"/>
                      <w:sz w:val="18"/>
                      <w:szCs w:val="18"/>
                      <w14:textFill>
                        <w14:solidFill>
                          <w14:schemeClr w14:val="tx1"/>
                        </w14:solidFill>
                      </w14:textFill>
                    </w:rPr>
                    <w:t>环境敏感区是指《建设项目环境影响评价分类管理名录》中所界定的涉及地下水的环境敏感区</w:t>
                  </w:r>
                  <w:r>
                    <w:rPr>
                      <w:rFonts w:hint="eastAsia" w:cs="Times New Roman"/>
                      <w:bCs/>
                      <w:color w:val="000000" w:themeColor="text1"/>
                      <w:kern w:val="0"/>
                      <w:sz w:val="18"/>
                      <w:szCs w:val="18"/>
                      <w:lang w:eastAsia="zh-CN"/>
                      <w14:textFill>
                        <w14:solidFill>
                          <w14:schemeClr w14:val="tx1"/>
                        </w14:solidFill>
                      </w14:textFill>
                    </w:rPr>
                    <w:t>。</w:t>
                  </w:r>
                </w:p>
              </w:tc>
            </w:tr>
          </w:tbl>
          <w:p w14:paraId="70956B1E">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 xml:space="preserve">4-22  </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包气带防污性能分级原则一览表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6909"/>
            </w:tblGrid>
            <w:tr w14:paraId="2C9F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vAlign w:val="center"/>
                </w:tcPr>
                <w:p w14:paraId="2F3B590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分级</w:t>
                  </w:r>
                </w:p>
              </w:tc>
              <w:tc>
                <w:tcPr>
                  <w:tcW w:w="6923" w:type="dxa"/>
                </w:tcPr>
                <w:p w14:paraId="12D265F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包气带岩土的渗透性能</w:t>
                  </w:r>
                </w:p>
              </w:tc>
            </w:tr>
            <w:tr w14:paraId="0B90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vAlign w:val="center"/>
                </w:tcPr>
                <w:p w14:paraId="79497E3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D3</w:t>
                  </w:r>
                </w:p>
              </w:tc>
              <w:tc>
                <w:tcPr>
                  <w:tcW w:w="6923" w:type="dxa"/>
                </w:tcPr>
                <w:p w14:paraId="137BB30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Mb≥1.0m，K≤1.0×10</w:t>
                  </w:r>
                  <w:r>
                    <w:rPr>
                      <w:rFonts w:ascii="Times New Roman" w:hAnsi="Times New Roman" w:eastAsia="宋体" w:cs="Times New Roman"/>
                      <w:bCs/>
                      <w:color w:val="000000" w:themeColor="text1"/>
                      <w:kern w:val="0"/>
                      <w:sz w:val="21"/>
                      <w:szCs w:val="21"/>
                      <w:vertAlign w:val="superscript"/>
                      <w14:textFill>
                        <w14:solidFill>
                          <w14:schemeClr w14:val="tx1"/>
                        </w14:solidFill>
                      </w14:textFill>
                    </w:rPr>
                    <w:t>-6</w:t>
                  </w:r>
                  <w:r>
                    <w:rPr>
                      <w:rFonts w:ascii="Times New Roman" w:hAnsi="Times New Roman" w:eastAsia="宋体" w:cs="Times New Roman"/>
                      <w:bCs/>
                      <w:color w:val="000000" w:themeColor="text1"/>
                      <w:kern w:val="0"/>
                      <w:sz w:val="21"/>
                      <w:szCs w:val="21"/>
                      <w14:textFill>
                        <w14:solidFill>
                          <w14:schemeClr w14:val="tx1"/>
                        </w14:solidFill>
                      </w14:textFill>
                    </w:rPr>
                    <w:t>cm/s，且分布连续、稳定</w:t>
                  </w:r>
                </w:p>
              </w:tc>
            </w:tr>
            <w:tr w14:paraId="7893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shd w:val="clear" w:color="auto" w:fill="D7D7D7" w:themeFill="background1" w:themeFillShade="D8"/>
                  <w:vAlign w:val="center"/>
                </w:tcPr>
                <w:p w14:paraId="3779913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D2</w:t>
                  </w:r>
                </w:p>
              </w:tc>
              <w:tc>
                <w:tcPr>
                  <w:tcW w:w="6923" w:type="dxa"/>
                  <w:shd w:val="clear" w:color="auto" w:fill="D7D7D7" w:themeFill="background1" w:themeFillShade="D8"/>
                </w:tcPr>
                <w:p w14:paraId="4DC3BCE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0.5m≤Mb&lt;1.0m，K≤1.0×10</w:t>
                  </w:r>
                  <w:r>
                    <w:rPr>
                      <w:rFonts w:ascii="Times New Roman" w:hAnsi="Times New Roman" w:eastAsia="宋体" w:cs="Times New Roman"/>
                      <w:bCs/>
                      <w:color w:val="000000" w:themeColor="text1"/>
                      <w:kern w:val="0"/>
                      <w:sz w:val="21"/>
                      <w:szCs w:val="21"/>
                      <w:vertAlign w:val="superscript"/>
                      <w14:textFill>
                        <w14:solidFill>
                          <w14:schemeClr w14:val="tx1"/>
                        </w14:solidFill>
                      </w14:textFill>
                    </w:rPr>
                    <w:t>-6</w:t>
                  </w:r>
                  <w:r>
                    <w:rPr>
                      <w:rFonts w:ascii="Times New Roman" w:hAnsi="Times New Roman" w:eastAsia="宋体" w:cs="Times New Roman"/>
                      <w:bCs/>
                      <w:color w:val="000000" w:themeColor="text1"/>
                      <w:kern w:val="0"/>
                      <w:sz w:val="21"/>
                      <w:szCs w:val="21"/>
                      <w14:textFill>
                        <w14:solidFill>
                          <w14:schemeClr w14:val="tx1"/>
                        </w14:solidFill>
                      </w14:textFill>
                    </w:rPr>
                    <w:t>cm/s，且分布连续、稳定</w:t>
                  </w:r>
                </w:p>
                <w:p w14:paraId="6933857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Mb≥1.0m，1.0×10</w:t>
                  </w:r>
                  <w:r>
                    <w:rPr>
                      <w:rFonts w:ascii="Times New Roman" w:hAnsi="Times New Roman" w:eastAsia="宋体" w:cs="Times New Roman"/>
                      <w:bCs/>
                      <w:color w:val="000000" w:themeColor="text1"/>
                      <w:kern w:val="0"/>
                      <w:sz w:val="21"/>
                      <w:szCs w:val="21"/>
                      <w:vertAlign w:val="superscript"/>
                      <w14:textFill>
                        <w14:solidFill>
                          <w14:schemeClr w14:val="tx1"/>
                        </w14:solidFill>
                      </w14:textFill>
                    </w:rPr>
                    <w:t>-6</w:t>
                  </w:r>
                  <w:r>
                    <w:rPr>
                      <w:rFonts w:ascii="Times New Roman" w:hAnsi="Times New Roman" w:eastAsia="宋体" w:cs="Times New Roman"/>
                      <w:bCs/>
                      <w:color w:val="000000" w:themeColor="text1"/>
                      <w:kern w:val="0"/>
                      <w:sz w:val="21"/>
                      <w:szCs w:val="21"/>
                      <w14:textFill>
                        <w14:solidFill>
                          <w14:schemeClr w14:val="tx1"/>
                        </w14:solidFill>
                      </w14:textFill>
                    </w:rPr>
                    <w:t>cm/s＜K≤1.0×10</w:t>
                  </w:r>
                  <w:r>
                    <w:rPr>
                      <w:rFonts w:ascii="Times New Roman" w:hAnsi="Times New Roman" w:eastAsia="宋体" w:cs="Times New Roman"/>
                      <w:bCs/>
                      <w:color w:val="000000" w:themeColor="text1"/>
                      <w:kern w:val="0"/>
                      <w:sz w:val="21"/>
                      <w:szCs w:val="21"/>
                      <w:vertAlign w:val="superscript"/>
                      <w14:textFill>
                        <w14:solidFill>
                          <w14:schemeClr w14:val="tx1"/>
                        </w14:solidFill>
                      </w14:textFill>
                    </w:rPr>
                    <w:t>-4</w:t>
                  </w:r>
                  <w:r>
                    <w:rPr>
                      <w:rFonts w:ascii="Times New Roman" w:hAnsi="Times New Roman" w:eastAsia="宋体" w:cs="Times New Roman"/>
                      <w:bCs/>
                      <w:color w:val="000000" w:themeColor="text1"/>
                      <w:kern w:val="0"/>
                      <w:sz w:val="21"/>
                      <w:szCs w:val="21"/>
                      <w14:textFill>
                        <w14:solidFill>
                          <w14:schemeClr w14:val="tx1"/>
                        </w14:solidFill>
                      </w14:textFill>
                    </w:rPr>
                    <w:t>cm/s，且分布连续、稳定</w:t>
                  </w:r>
                </w:p>
              </w:tc>
            </w:tr>
            <w:tr w14:paraId="66ED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vAlign w:val="center"/>
                </w:tcPr>
                <w:p w14:paraId="45F7B98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D1</w:t>
                  </w:r>
                </w:p>
              </w:tc>
              <w:tc>
                <w:tcPr>
                  <w:tcW w:w="6923" w:type="dxa"/>
                </w:tcPr>
                <w:p w14:paraId="4B967AB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岩（土）层不满足上述“D2”和“D3”条件</w:t>
                  </w:r>
                </w:p>
              </w:tc>
            </w:tr>
            <w:tr w14:paraId="57C0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1" w:type="dxa"/>
                  <w:gridSpan w:val="2"/>
                </w:tcPr>
                <w:p w14:paraId="4620148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Mb：岩土层单层厚度。K：渗透系数</w:t>
                  </w:r>
                </w:p>
              </w:tc>
            </w:tr>
          </w:tbl>
          <w:p w14:paraId="170DE748">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snapToGrid w:val="0"/>
                <w:color w:val="000000" w:themeColor="text1"/>
                <w:sz w:val="24"/>
                <w:lang w:bidi="zh-CN"/>
                <w14:textFill>
                  <w14:solidFill>
                    <w14:schemeClr w14:val="tx1"/>
                  </w14:solidFill>
                </w14:textFill>
              </w:rPr>
              <w:t>项目环境风险物质主要是甲烷气体，不会进入地下水中，此外导热油炉为橇装式，废润滑油在</w:t>
            </w:r>
            <w:r>
              <w:rPr>
                <w:rFonts w:hint="eastAsia" w:ascii="Times New Roman" w:hAnsi="Times New Roman" w:eastAsia="宋体" w:cs="Times New Roman"/>
                <w:bCs/>
                <w:snapToGrid w:val="0"/>
                <w:color w:val="000000" w:themeColor="text1"/>
                <w:sz w:val="24"/>
                <w:lang w:bidi="zh-CN"/>
                <w14:textFill>
                  <w14:solidFill>
                    <w14:schemeClr w14:val="tx1"/>
                  </w14:solidFill>
                </w14:textFill>
              </w:rPr>
              <w:t>站内</w:t>
            </w:r>
            <w:r>
              <w:rPr>
                <w:rFonts w:ascii="Times New Roman" w:hAnsi="Times New Roman" w:eastAsia="宋体" w:cs="Times New Roman"/>
                <w:bCs/>
                <w:snapToGrid w:val="0"/>
                <w:color w:val="000000" w:themeColor="text1"/>
                <w:sz w:val="24"/>
                <w:lang w:bidi="zh-CN"/>
                <w14:textFill>
                  <w14:solidFill>
                    <w14:schemeClr w14:val="tx1"/>
                  </w14:solidFill>
                </w14:textFill>
              </w:rPr>
              <w:t>危废贮存库暂存，发生泄漏后可及时发现，通过围堰或收集设施收集，不会进入地下水中。</w:t>
            </w:r>
            <w:r>
              <w:rPr>
                <w:rFonts w:ascii="Times New Roman" w:hAnsi="Times New Roman" w:eastAsia="宋体" w:cs="Times New Roman"/>
                <w:bCs/>
                <w:color w:val="000000" w:themeColor="text1"/>
                <w:sz w:val="24"/>
                <w14:textFill>
                  <w14:solidFill>
                    <w14:schemeClr w14:val="tx1"/>
                  </w14:solidFill>
                </w14:textFill>
              </w:rPr>
              <w:t>因此本项目</w:t>
            </w:r>
            <w:r>
              <w:rPr>
                <w:rFonts w:ascii="Times New Roman" w:hAnsi="Times New Roman" w:eastAsia="宋体" w:cs="Times New Roman"/>
                <w:bCs/>
                <w:snapToGrid w:val="0"/>
                <w:color w:val="000000" w:themeColor="text1"/>
                <w:sz w:val="24"/>
                <w:lang w:bidi="zh-CN"/>
                <w14:textFill>
                  <w14:solidFill>
                    <w14:schemeClr w14:val="tx1"/>
                  </w14:solidFill>
                </w14:textFill>
              </w:rPr>
              <w:t>各集气增压脱水站</w:t>
            </w:r>
            <w:r>
              <w:rPr>
                <w:rFonts w:ascii="Times New Roman" w:hAnsi="Times New Roman" w:eastAsia="宋体" w:cs="Times New Roman"/>
                <w:bCs/>
                <w:color w:val="000000" w:themeColor="text1"/>
                <w:sz w:val="24"/>
                <w14:textFill>
                  <w14:solidFill>
                    <w14:schemeClr w14:val="tx1"/>
                  </w14:solidFill>
                </w14:textFill>
              </w:rPr>
              <w:t>所在区域地下水功能敏感性为“</w:t>
            </w:r>
            <w:r>
              <w:rPr>
                <w:rFonts w:hint="eastAsia" w:ascii="Times New Roman" w:hAnsi="Times New Roman" w:eastAsia="宋体" w:cs="Times New Roman"/>
                <w:bCs/>
                <w:color w:val="000000" w:themeColor="text1"/>
                <w:sz w:val="24"/>
                <w:lang w:val="en-US" w:eastAsia="zh-CN"/>
                <w14:textFill>
                  <w14:solidFill>
                    <w14:schemeClr w14:val="tx1"/>
                  </w14:solidFill>
                </w14:textFill>
              </w:rPr>
              <w:t>较</w:t>
            </w:r>
            <w:r>
              <w:rPr>
                <w:rFonts w:ascii="Times New Roman" w:hAnsi="Times New Roman" w:eastAsia="宋体" w:cs="Times New Roman"/>
                <w:bCs/>
                <w:color w:val="000000" w:themeColor="text1"/>
                <w:sz w:val="24"/>
                <w14:textFill>
                  <w14:solidFill>
                    <w14:schemeClr w14:val="tx1"/>
                  </w14:solidFill>
                </w14:textFill>
              </w:rPr>
              <w:t>敏感</w:t>
            </w:r>
            <w:r>
              <w:rPr>
                <w:rFonts w:hint="eastAsia" w:ascii="Times New Roman" w:hAnsi="Times New Roman" w:eastAsia="宋体" w:cs="Times New Roman"/>
                <w:bCs/>
                <w:color w:val="000000" w:themeColor="text1"/>
                <w:sz w:val="24"/>
                <w:lang w:val="en-US" w:eastAsia="zh-CN"/>
                <w14:textFill>
                  <w14:solidFill>
                    <w14:schemeClr w14:val="tx1"/>
                  </w14:solidFill>
                </w14:textFill>
              </w:rPr>
              <w:t>G</w:t>
            </w:r>
            <w:r>
              <w:rPr>
                <w:rFonts w:hint="eastAsia" w:cs="Times New Roman"/>
                <w:bCs/>
                <w:color w:val="000000" w:themeColor="text1"/>
                <w:sz w:val="24"/>
                <w:lang w:val="en-US" w:eastAsia="zh-CN"/>
                <w14:textFill>
                  <w14:solidFill>
                    <w14:schemeClr w14:val="tx1"/>
                  </w14:solidFill>
                </w14:textFill>
              </w:rPr>
              <w:t>3</w:t>
            </w:r>
            <w:r>
              <w:rPr>
                <w:rFonts w:ascii="Times New Roman" w:hAnsi="Times New Roman" w:eastAsia="宋体" w:cs="Times New Roman"/>
                <w:bCs/>
                <w:color w:val="000000" w:themeColor="text1"/>
                <w:sz w:val="24"/>
                <w14:textFill>
                  <w14:solidFill>
                    <w14:schemeClr w14:val="tx1"/>
                  </w14:solidFill>
                </w14:textFill>
              </w:rPr>
              <w:t>”。</w:t>
            </w:r>
          </w:p>
          <w:p w14:paraId="0B6E82A3">
            <w:pPr>
              <w:widowControl/>
              <w:topLinePunct/>
              <w:spacing w:line="360" w:lineRule="auto"/>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根据调查，项目所在区域包气带厚度大于1m，包气带渗透系数</w:t>
            </w:r>
            <w:r>
              <w:rPr>
                <w:rFonts w:ascii="Times New Roman" w:hAnsi="Times New Roman" w:eastAsia="宋体" w:cs="Times New Roman"/>
                <w:bCs/>
                <w:color w:val="000000" w:themeColor="text1"/>
                <w:sz w:val="24"/>
                <w14:textFill>
                  <w14:solidFill>
                    <w14:schemeClr w14:val="tx1"/>
                  </w14:solidFill>
                </w14:textFill>
              </w:rPr>
              <w:t>1.0×10</w:t>
            </w:r>
            <w:r>
              <w:rPr>
                <w:rFonts w:ascii="Times New Roman" w:hAnsi="Times New Roman" w:eastAsia="宋体" w:cs="Times New Roman"/>
                <w:bCs/>
                <w:color w:val="000000" w:themeColor="text1"/>
                <w:sz w:val="24"/>
                <w:vertAlign w:val="superscript"/>
                <w14:textFill>
                  <w14:solidFill>
                    <w14:schemeClr w14:val="tx1"/>
                  </w14:solidFill>
                </w14:textFill>
              </w:rPr>
              <w:t>-6</w:t>
            </w:r>
            <w:r>
              <w:rPr>
                <w:rFonts w:ascii="Times New Roman" w:hAnsi="Times New Roman" w:eastAsia="宋体" w:cs="Times New Roman"/>
                <w:bCs/>
                <w:color w:val="000000" w:themeColor="text1"/>
                <w:sz w:val="24"/>
                <w14:textFill>
                  <w14:solidFill>
                    <w14:schemeClr w14:val="tx1"/>
                  </w14:solidFill>
                </w14:textFill>
              </w:rPr>
              <w:t>cm/s＜K≤1.0×10</w:t>
            </w:r>
            <w:r>
              <w:rPr>
                <w:rFonts w:ascii="Times New Roman" w:hAnsi="Times New Roman" w:eastAsia="宋体" w:cs="Times New Roman"/>
                <w:bCs/>
                <w:color w:val="000000" w:themeColor="text1"/>
                <w:sz w:val="24"/>
                <w:vertAlign w:val="superscript"/>
                <w14:textFill>
                  <w14:solidFill>
                    <w14:schemeClr w14:val="tx1"/>
                  </w14:solidFill>
                </w14:textFill>
              </w:rPr>
              <w:t>-4</w:t>
            </w:r>
            <w:r>
              <w:rPr>
                <w:rFonts w:ascii="Times New Roman" w:hAnsi="Times New Roman" w:eastAsia="宋体" w:cs="Times New Roman"/>
                <w:bCs/>
                <w:color w:val="000000" w:themeColor="text1"/>
                <w:sz w:val="24"/>
                <w14:textFill>
                  <w14:solidFill>
                    <w14:schemeClr w14:val="tx1"/>
                  </w14:solidFill>
                </w14:textFill>
              </w:rPr>
              <w:t>cm/s</w:t>
            </w:r>
            <w:r>
              <w:rPr>
                <w:rFonts w:ascii="Times New Roman" w:hAnsi="Times New Roman" w:eastAsia="宋体" w:cs="Times New Roman"/>
                <w:bCs/>
                <w:color w:val="000000" w:themeColor="text1"/>
                <w:spacing w:val="-2"/>
                <w:sz w:val="24"/>
                <w14:textFill>
                  <w14:solidFill>
                    <w14:schemeClr w14:val="tx1"/>
                  </w14:solidFill>
                </w14:textFill>
              </w:rPr>
              <w:t>，根据表</w:t>
            </w:r>
            <w:r>
              <w:rPr>
                <w:rFonts w:hint="eastAsia" w:cs="Times New Roman"/>
                <w:bCs/>
                <w:color w:val="000000" w:themeColor="text1"/>
                <w:spacing w:val="-2"/>
                <w:sz w:val="24"/>
                <w:lang w:val="en-US" w:eastAsia="zh-CN"/>
                <w14:textFill>
                  <w14:solidFill>
                    <w14:schemeClr w14:val="tx1"/>
                  </w14:solidFill>
                </w14:textFill>
              </w:rPr>
              <w:t>4-22</w:t>
            </w:r>
            <w:r>
              <w:rPr>
                <w:rFonts w:ascii="Times New Roman" w:hAnsi="Times New Roman" w:eastAsia="宋体" w:cs="Times New Roman"/>
                <w:bCs/>
                <w:color w:val="000000" w:themeColor="text1"/>
                <w:spacing w:val="-2"/>
                <w:sz w:val="24"/>
                <w14:textFill>
                  <w14:solidFill>
                    <w14:schemeClr w14:val="tx1"/>
                  </w14:solidFill>
                </w14:textFill>
              </w:rPr>
              <w:t>的判定依据，本项目所在区域包气带防污性能分级为“D2”。根据表</w:t>
            </w:r>
            <w:r>
              <w:rPr>
                <w:rFonts w:hint="eastAsia" w:cs="Times New Roman"/>
                <w:bCs/>
                <w:color w:val="000000" w:themeColor="text1"/>
                <w:spacing w:val="-2"/>
                <w:sz w:val="24"/>
                <w:lang w:val="en-US" w:eastAsia="zh-CN"/>
                <w14:textFill>
                  <w14:solidFill>
                    <w14:schemeClr w14:val="tx1"/>
                  </w14:solidFill>
                </w14:textFill>
              </w:rPr>
              <w:t>4-20</w:t>
            </w:r>
            <w:r>
              <w:rPr>
                <w:rFonts w:ascii="Times New Roman" w:hAnsi="Times New Roman" w:eastAsia="宋体" w:cs="Times New Roman"/>
                <w:bCs/>
                <w:color w:val="000000" w:themeColor="text1"/>
                <w:spacing w:val="-2"/>
                <w:sz w:val="24"/>
                <w14:textFill>
                  <w14:solidFill>
                    <w14:schemeClr w14:val="tx1"/>
                  </w14:solidFill>
                </w14:textFill>
              </w:rPr>
              <w:t>的判定依据，项目所在区域的地下水环境敏感程度分级为“E</w:t>
            </w:r>
            <w:r>
              <w:rPr>
                <w:rFonts w:hint="eastAsia" w:cs="Times New Roman"/>
                <w:bCs/>
                <w:color w:val="000000" w:themeColor="text1"/>
                <w:spacing w:val="-2"/>
                <w:sz w:val="24"/>
                <w:lang w:val="en-US" w:eastAsia="zh-CN"/>
                <w14:textFill>
                  <w14:solidFill>
                    <w14:schemeClr w14:val="tx1"/>
                  </w14:solidFill>
                </w14:textFill>
              </w:rPr>
              <w:t>3</w:t>
            </w:r>
            <w:r>
              <w:rPr>
                <w:rFonts w:ascii="Times New Roman" w:hAnsi="Times New Roman" w:eastAsia="宋体" w:cs="Times New Roman"/>
                <w:bCs/>
                <w:color w:val="000000" w:themeColor="text1"/>
                <w:spacing w:val="-2"/>
                <w:sz w:val="24"/>
                <w14:textFill>
                  <w14:solidFill>
                    <w14:schemeClr w14:val="tx1"/>
                  </w14:solidFill>
                </w14:textFill>
              </w:rPr>
              <w:t>”。</w:t>
            </w:r>
          </w:p>
          <w:p w14:paraId="299653A6">
            <w:pPr>
              <w:widowControl/>
              <w:topLinePunct/>
              <w:spacing w:line="360" w:lineRule="auto"/>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（5）环境风险潜势判定</w:t>
            </w:r>
          </w:p>
          <w:p w14:paraId="0713D622">
            <w:pPr>
              <w:widowControl/>
              <w:topLinePunct/>
              <w:spacing w:line="360" w:lineRule="auto"/>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经分析得知，本项目不考虑风险事故泄漏危险物质对地表水体的影响，项目所在区域大气环境敏感程度为环境</w:t>
            </w:r>
            <w:r>
              <w:rPr>
                <w:rFonts w:hint="eastAsia" w:cs="Times New Roman"/>
                <w:bCs/>
                <w:color w:val="000000" w:themeColor="text1"/>
                <w:spacing w:val="-2"/>
                <w:sz w:val="24"/>
                <w:lang w:val="en-US" w:eastAsia="zh-CN"/>
                <w14:textFill>
                  <w14:solidFill>
                    <w14:schemeClr w14:val="tx1"/>
                  </w14:solidFill>
                </w14:textFill>
              </w:rPr>
              <w:t>低</w:t>
            </w:r>
            <w:r>
              <w:rPr>
                <w:rFonts w:ascii="Times New Roman" w:hAnsi="Times New Roman" w:eastAsia="宋体" w:cs="Times New Roman"/>
                <w:bCs/>
                <w:color w:val="000000" w:themeColor="text1"/>
                <w:spacing w:val="-2"/>
                <w:sz w:val="24"/>
                <w14:textFill>
                  <w14:solidFill>
                    <w14:schemeClr w14:val="tx1"/>
                  </w14:solidFill>
                </w14:textFill>
              </w:rPr>
              <w:t>度敏感区E</w:t>
            </w:r>
            <w:r>
              <w:rPr>
                <w:rFonts w:hint="eastAsia" w:cs="Times New Roman"/>
                <w:bCs/>
                <w:color w:val="000000" w:themeColor="text1"/>
                <w:spacing w:val="-2"/>
                <w:sz w:val="24"/>
                <w:lang w:val="en-US" w:eastAsia="zh-CN"/>
                <w14:textFill>
                  <w14:solidFill>
                    <w14:schemeClr w14:val="tx1"/>
                  </w14:solidFill>
                </w14:textFill>
              </w:rPr>
              <w:t>3</w:t>
            </w:r>
            <w:r>
              <w:rPr>
                <w:rFonts w:ascii="Times New Roman" w:hAnsi="Times New Roman" w:eastAsia="宋体" w:cs="Times New Roman"/>
                <w:bCs/>
                <w:color w:val="000000" w:themeColor="text1"/>
                <w:spacing w:val="-2"/>
                <w:sz w:val="24"/>
                <w14:textFill>
                  <w14:solidFill>
                    <w14:schemeClr w14:val="tx1"/>
                  </w14:solidFill>
                </w14:textFill>
              </w:rPr>
              <w:t>，</w:t>
            </w:r>
            <w:r>
              <w:rPr>
                <w:rFonts w:ascii="Times New Roman" w:hAnsi="Times New Roman" w:eastAsia="宋体" w:cs="Times New Roman"/>
                <w:bCs/>
                <w:color w:val="000000" w:themeColor="text1"/>
                <w:sz w:val="24"/>
                <w14:textFill>
                  <w14:solidFill>
                    <w14:schemeClr w14:val="tx1"/>
                  </w14:solidFill>
                </w14:textFill>
              </w:rPr>
              <w:t>地表水环境敏感程度分级为</w:t>
            </w:r>
            <w:r>
              <w:rPr>
                <w:rFonts w:ascii="Times New Roman" w:hAnsi="Times New Roman" w:eastAsia="宋体" w:cs="Times New Roman"/>
                <w:bCs/>
                <w:color w:val="000000" w:themeColor="text1"/>
                <w:spacing w:val="-2"/>
                <w:sz w:val="24"/>
                <w14:textFill>
                  <w14:solidFill>
                    <w14:schemeClr w14:val="tx1"/>
                  </w14:solidFill>
                </w14:textFill>
              </w:rPr>
              <w:t>环境</w:t>
            </w:r>
            <w:r>
              <w:rPr>
                <w:rFonts w:hint="eastAsia" w:ascii="Times New Roman" w:hAnsi="Times New Roman" w:eastAsia="宋体" w:cs="Times New Roman"/>
                <w:bCs/>
                <w:color w:val="000000" w:themeColor="text1"/>
                <w:spacing w:val="-2"/>
                <w:sz w:val="24"/>
                <w:lang w:val="en-US" w:eastAsia="zh-CN"/>
                <w14:textFill>
                  <w14:solidFill>
                    <w14:schemeClr w14:val="tx1"/>
                  </w14:solidFill>
                </w14:textFill>
              </w:rPr>
              <w:t>低</w:t>
            </w:r>
            <w:r>
              <w:rPr>
                <w:rFonts w:ascii="Times New Roman" w:hAnsi="Times New Roman" w:eastAsia="宋体" w:cs="Times New Roman"/>
                <w:bCs/>
                <w:color w:val="000000" w:themeColor="text1"/>
                <w:spacing w:val="-2"/>
                <w:sz w:val="24"/>
                <w14:textFill>
                  <w14:solidFill>
                    <w14:schemeClr w14:val="tx1"/>
                  </w14:solidFill>
                </w14:textFill>
              </w:rPr>
              <w:t>度敏感区</w:t>
            </w:r>
            <w:r>
              <w:rPr>
                <w:rFonts w:ascii="Times New Roman" w:hAnsi="Times New Roman" w:eastAsia="宋体" w:cs="Times New Roman"/>
                <w:bCs/>
                <w:color w:val="000000" w:themeColor="text1"/>
                <w:sz w:val="24"/>
                <w14:textFill>
                  <w14:solidFill>
                    <w14:schemeClr w14:val="tx1"/>
                  </w14:solidFill>
                </w14:textFill>
              </w:rPr>
              <w:t>E3，</w:t>
            </w:r>
            <w:r>
              <w:rPr>
                <w:rFonts w:ascii="Times New Roman" w:hAnsi="Times New Roman" w:eastAsia="宋体" w:cs="Times New Roman"/>
                <w:bCs/>
                <w:color w:val="000000" w:themeColor="text1"/>
                <w:spacing w:val="-2"/>
                <w:sz w:val="24"/>
                <w14:textFill>
                  <w14:solidFill>
                    <w14:schemeClr w14:val="tx1"/>
                  </w14:solidFill>
                </w14:textFill>
              </w:rPr>
              <w:t>项目所在区域的地下水环境敏感程度分级为环境</w:t>
            </w:r>
            <w:r>
              <w:rPr>
                <w:rFonts w:hint="eastAsia" w:cs="Times New Roman"/>
                <w:bCs/>
                <w:color w:val="000000" w:themeColor="text1"/>
                <w:spacing w:val="-2"/>
                <w:sz w:val="24"/>
                <w:lang w:val="en-US" w:eastAsia="zh-CN"/>
                <w14:textFill>
                  <w14:solidFill>
                    <w14:schemeClr w14:val="tx1"/>
                  </w14:solidFill>
                </w14:textFill>
              </w:rPr>
              <w:t>低</w:t>
            </w:r>
            <w:r>
              <w:rPr>
                <w:rFonts w:ascii="Times New Roman" w:hAnsi="Times New Roman" w:eastAsia="宋体" w:cs="Times New Roman"/>
                <w:bCs/>
                <w:color w:val="000000" w:themeColor="text1"/>
                <w:spacing w:val="-2"/>
                <w:sz w:val="24"/>
                <w14:textFill>
                  <w14:solidFill>
                    <w14:schemeClr w14:val="tx1"/>
                  </w14:solidFill>
                </w14:textFill>
              </w:rPr>
              <w:t>度敏感区E</w:t>
            </w:r>
            <w:r>
              <w:rPr>
                <w:rFonts w:hint="eastAsia" w:cs="Times New Roman"/>
                <w:bCs/>
                <w:color w:val="000000" w:themeColor="text1"/>
                <w:spacing w:val="-2"/>
                <w:sz w:val="24"/>
                <w:lang w:val="en-US" w:eastAsia="zh-CN"/>
                <w14:textFill>
                  <w14:solidFill>
                    <w14:schemeClr w14:val="tx1"/>
                  </w14:solidFill>
                </w14:textFill>
              </w:rPr>
              <w:t>3</w:t>
            </w:r>
            <w:r>
              <w:rPr>
                <w:rFonts w:ascii="Times New Roman" w:hAnsi="Times New Roman" w:eastAsia="宋体" w:cs="Times New Roman"/>
                <w:bCs/>
                <w:color w:val="000000" w:themeColor="text1"/>
                <w:spacing w:val="-2"/>
                <w:sz w:val="24"/>
                <w14:textFill>
                  <w14:solidFill>
                    <w14:schemeClr w14:val="tx1"/>
                  </w14:solidFill>
                </w14:textFill>
              </w:rPr>
              <w:t>，其环境风险潜势判定结果具体见表</w:t>
            </w:r>
            <w:r>
              <w:rPr>
                <w:rFonts w:hint="eastAsia" w:cs="Times New Roman"/>
                <w:bCs/>
                <w:color w:val="000000" w:themeColor="text1"/>
                <w:spacing w:val="-2"/>
                <w:sz w:val="24"/>
                <w:lang w:val="en-US" w:eastAsia="zh-CN"/>
                <w14:textFill>
                  <w14:solidFill>
                    <w14:schemeClr w14:val="tx1"/>
                  </w14:solidFill>
                </w14:textFill>
              </w:rPr>
              <w:t>4-23</w:t>
            </w:r>
            <w:r>
              <w:rPr>
                <w:rFonts w:ascii="Times New Roman" w:hAnsi="Times New Roman" w:eastAsia="宋体" w:cs="Times New Roman"/>
                <w:bCs/>
                <w:color w:val="000000" w:themeColor="text1"/>
                <w:spacing w:val="-2"/>
                <w:sz w:val="24"/>
                <w14:textFill>
                  <w14:solidFill>
                    <w14:schemeClr w14:val="tx1"/>
                  </w14:solidFill>
                </w14:textFill>
              </w:rPr>
              <w:t>。</w:t>
            </w:r>
          </w:p>
          <w:p w14:paraId="1F0A8D20">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4-23</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项目环境风险潜势判定结果一览表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5314"/>
            </w:tblGrid>
            <w:tr w14:paraId="47E9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6" w:type="dxa"/>
                  <w:vMerge w:val="restart"/>
                  <w:vAlign w:val="center"/>
                </w:tcPr>
                <w:p w14:paraId="72D4D5F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项目环境敏感程度</w:t>
                  </w:r>
                </w:p>
              </w:tc>
              <w:tc>
                <w:tcPr>
                  <w:tcW w:w="5325" w:type="dxa"/>
                  <w:vAlign w:val="center"/>
                </w:tcPr>
                <w:p w14:paraId="6A227B8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项目危险物质及工艺系统危险性P</w:t>
                  </w:r>
                </w:p>
              </w:tc>
            </w:tr>
            <w:tr w14:paraId="79D8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6" w:type="dxa"/>
                  <w:vMerge w:val="continue"/>
                  <w:vAlign w:val="center"/>
                </w:tcPr>
                <w:p w14:paraId="5D8B04E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p>
              </w:tc>
              <w:tc>
                <w:tcPr>
                  <w:tcW w:w="5325" w:type="dxa"/>
                  <w:vAlign w:val="center"/>
                </w:tcPr>
                <w:p w14:paraId="3947280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轻度危害（P4）</w:t>
                  </w:r>
                </w:p>
              </w:tc>
            </w:tr>
            <w:tr w14:paraId="3C14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6" w:type="dxa"/>
                  <w:vAlign w:val="center"/>
                </w:tcPr>
                <w:p w14:paraId="71A877C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大气环境</w:t>
                  </w:r>
                  <w:r>
                    <w:rPr>
                      <w:rFonts w:hint="eastAsia" w:cs="Times New Roman"/>
                      <w:bCs/>
                      <w:color w:val="000000" w:themeColor="text1"/>
                      <w:kern w:val="0"/>
                      <w:sz w:val="21"/>
                      <w:szCs w:val="21"/>
                      <w:lang w:val="en-US" w:eastAsia="zh-CN"/>
                      <w14:textFill>
                        <w14:solidFill>
                          <w14:schemeClr w14:val="tx1"/>
                        </w14:solidFill>
                      </w14:textFill>
                    </w:rPr>
                    <w:t>低</w:t>
                  </w:r>
                  <w:r>
                    <w:rPr>
                      <w:rFonts w:ascii="Times New Roman" w:hAnsi="Times New Roman" w:eastAsia="宋体" w:cs="Times New Roman"/>
                      <w:bCs/>
                      <w:color w:val="000000" w:themeColor="text1"/>
                      <w:kern w:val="0"/>
                      <w:sz w:val="21"/>
                      <w:szCs w:val="21"/>
                      <w14:textFill>
                        <w14:solidFill>
                          <w14:schemeClr w14:val="tx1"/>
                        </w14:solidFill>
                      </w14:textFill>
                    </w:rPr>
                    <w:t>度敏感度区（E</w:t>
                  </w:r>
                  <w:r>
                    <w:rPr>
                      <w:rFonts w:hint="eastAsia" w:cs="Times New Roman"/>
                      <w:bCs/>
                      <w:color w:val="000000" w:themeColor="text1"/>
                      <w:kern w:val="0"/>
                      <w:sz w:val="21"/>
                      <w:szCs w:val="21"/>
                      <w:lang w:val="en-US" w:eastAsia="zh-CN"/>
                      <w14:textFill>
                        <w14:solidFill>
                          <w14:schemeClr w14:val="tx1"/>
                        </w14:solidFill>
                      </w14:textFill>
                    </w:rPr>
                    <w:t>3</w:t>
                  </w:r>
                  <w:r>
                    <w:rPr>
                      <w:rFonts w:ascii="Times New Roman" w:hAnsi="Times New Roman" w:eastAsia="宋体" w:cs="Times New Roman"/>
                      <w:bCs/>
                      <w:color w:val="000000" w:themeColor="text1"/>
                      <w:kern w:val="0"/>
                      <w:sz w:val="21"/>
                      <w:szCs w:val="21"/>
                      <w14:textFill>
                        <w14:solidFill>
                          <w14:schemeClr w14:val="tx1"/>
                        </w14:solidFill>
                      </w14:textFill>
                    </w:rPr>
                    <w:t>）</w:t>
                  </w:r>
                </w:p>
              </w:tc>
              <w:tc>
                <w:tcPr>
                  <w:tcW w:w="5325" w:type="dxa"/>
                  <w:vAlign w:val="center"/>
                </w:tcPr>
                <w:p w14:paraId="670814D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Ⅰ</w:t>
                  </w:r>
                </w:p>
              </w:tc>
            </w:tr>
            <w:tr w14:paraId="5F94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6" w:type="dxa"/>
                  <w:vAlign w:val="center"/>
                </w:tcPr>
                <w:p w14:paraId="70D651B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地表水环境</w:t>
                  </w:r>
                  <w:r>
                    <w:rPr>
                      <w:rFonts w:hint="eastAsia" w:ascii="Times New Roman" w:hAnsi="Times New Roman" w:eastAsia="宋体" w:cs="Times New Roman"/>
                      <w:bCs/>
                      <w:color w:val="000000" w:themeColor="text1"/>
                      <w:kern w:val="0"/>
                      <w:sz w:val="21"/>
                      <w:szCs w:val="21"/>
                      <w:lang w:val="en-US" w:eastAsia="zh-CN"/>
                      <w14:textFill>
                        <w14:solidFill>
                          <w14:schemeClr w14:val="tx1"/>
                        </w14:solidFill>
                      </w14:textFill>
                    </w:rPr>
                    <w:t>低</w:t>
                  </w:r>
                  <w:r>
                    <w:rPr>
                      <w:rFonts w:ascii="Times New Roman" w:hAnsi="Times New Roman" w:eastAsia="宋体" w:cs="Times New Roman"/>
                      <w:bCs/>
                      <w:color w:val="000000" w:themeColor="text1"/>
                      <w:kern w:val="0"/>
                      <w:sz w:val="21"/>
                      <w:szCs w:val="21"/>
                      <w14:textFill>
                        <w14:solidFill>
                          <w14:schemeClr w14:val="tx1"/>
                        </w14:solidFill>
                      </w14:textFill>
                    </w:rPr>
                    <w:t>度敏感度区（E</w:t>
                  </w:r>
                  <w:r>
                    <w:rPr>
                      <w:rFonts w:hint="eastAsia" w:ascii="Times New Roman" w:hAnsi="Times New Roman" w:eastAsia="宋体" w:cs="Times New Roman"/>
                      <w:bCs/>
                      <w:color w:val="000000" w:themeColor="text1"/>
                      <w:kern w:val="0"/>
                      <w:sz w:val="21"/>
                      <w:szCs w:val="21"/>
                      <w14:textFill>
                        <w14:solidFill>
                          <w14:schemeClr w14:val="tx1"/>
                        </w14:solidFill>
                      </w14:textFill>
                    </w:rPr>
                    <w:t>3</w:t>
                  </w:r>
                  <w:r>
                    <w:rPr>
                      <w:rFonts w:ascii="Times New Roman" w:hAnsi="Times New Roman" w:eastAsia="宋体" w:cs="Times New Roman"/>
                      <w:bCs/>
                      <w:color w:val="000000" w:themeColor="text1"/>
                      <w:kern w:val="0"/>
                      <w:sz w:val="21"/>
                      <w:szCs w:val="21"/>
                      <w14:textFill>
                        <w14:solidFill>
                          <w14:schemeClr w14:val="tx1"/>
                        </w14:solidFill>
                      </w14:textFill>
                    </w:rPr>
                    <w:t>）</w:t>
                  </w:r>
                </w:p>
              </w:tc>
              <w:tc>
                <w:tcPr>
                  <w:tcW w:w="5325" w:type="dxa"/>
                  <w:vAlign w:val="center"/>
                </w:tcPr>
                <w:p w14:paraId="690AD4D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Ⅰ</w:t>
                  </w:r>
                </w:p>
              </w:tc>
            </w:tr>
            <w:tr w14:paraId="1AA4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6" w:type="dxa"/>
                  <w:vAlign w:val="center"/>
                </w:tcPr>
                <w:p w14:paraId="52D50BA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地下水环境</w:t>
                  </w:r>
                  <w:r>
                    <w:rPr>
                      <w:rFonts w:hint="eastAsia" w:cs="Times New Roman"/>
                      <w:bCs/>
                      <w:color w:val="000000" w:themeColor="text1"/>
                      <w:kern w:val="0"/>
                      <w:sz w:val="21"/>
                      <w:szCs w:val="21"/>
                      <w:lang w:val="en-US" w:eastAsia="zh-CN"/>
                      <w14:textFill>
                        <w14:solidFill>
                          <w14:schemeClr w14:val="tx1"/>
                        </w14:solidFill>
                      </w14:textFill>
                    </w:rPr>
                    <w:t>低</w:t>
                  </w:r>
                  <w:r>
                    <w:rPr>
                      <w:rFonts w:ascii="Times New Roman" w:hAnsi="Times New Roman" w:eastAsia="宋体" w:cs="Times New Roman"/>
                      <w:bCs/>
                      <w:color w:val="000000" w:themeColor="text1"/>
                      <w:kern w:val="0"/>
                      <w:sz w:val="21"/>
                      <w:szCs w:val="21"/>
                      <w14:textFill>
                        <w14:solidFill>
                          <w14:schemeClr w14:val="tx1"/>
                        </w14:solidFill>
                      </w14:textFill>
                    </w:rPr>
                    <w:t>度敏感度区（E</w:t>
                  </w:r>
                  <w:r>
                    <w:rPr>
                      <w:rFonts w:hint="eastAsia" w:cs="Times New Roman"/>
                      <w:bCs/>
                      <w:color w:val="000000" w:themeColor="text1"/>
                      <w:kern w:val="0"/>
                      <w:sz w:val="21"/>
                      <w:szCs w:val="21"/>
                      <w:lang w:val="en-US" w:eastAsia="zh-CN"/>
                      <w14:textFill>
                        <w14:solidFill>
                          <w14:schemeClr w14:val="tx1"/>
                        </w14:solidFill>
                      </w14:textFill>
                    </w:rPr>
                    <w:t>3</w:t>
                  </w:r>
                  <w:r>
                    <w:rPr>
                      <w:rFonts w:ascii="Times New Roman" w:hAnsi="Times New Roman" w:eastAsia="宋体" w:cs="Times New Roman"/>
                      <w:bCs/>
                      <w:color w:val="000000" w:themeColor="text1"/>
                      <w:kern w:val="0"/>
                      <w:sz w:val="21"/>
                      <w:szCs w:val="21"/>
                      <w14:textFill>
                        <w14:solidFill>
                          <w14:schemeClr w14:val="tx1"/>
                        </w14:solidFill>
                      </w14:textFill>
                    </w:rPr>
                    <w:t>）</w:t>
                  </w:r>
                </w:p>
              </w:tc>
              <w:tc>
                <w:tcPr>
                  <w:tcW w:w="5325" w:type="dxa"/>
                  <w:vAlign w:val="center"/>
                </w:tcPr>
                <w:p w14:paraId="522CC59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Ⅰ</w:t>
                  </w:r>
                </w:p>
              </w:tc>
            </w:tr>
          </w:tbl>
          <w:p w14:paraId="3CE5E5C6">
            <w:pPr>
              <w:spacing w:line="360" w:lineRule="auto"/>
              <w:ind w:firstLine="48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从表</w:t>
            </w:r>
            <w:r>
              <w:rPr>
                <w:rFonts w:hint="eastAsia" w:cs="Times New Roman"/>
                <w:bCs/>
                <w:color w:val="000000" w:themeColor="text1"/>
                <w:spacing w:val="-2"/>
                <w:sz w:val="24"/>
                <w:lang w:val="en-US" w:eastAsia="zh-CN"/>
                <w14:textFill>
                  <w14:solidFill>
                    <w14:schemeClr w14:val="tx1"/>
                  </w14:solidFill>
                </w14:textFill>
              </w:rPr>
              <w:t>4-23</w:t>
            </w:r>
            <w:r>
              <w:rPr>
                <w:rFonts w:ascii="Times New Roman" w:hAnsi="Times New Roman" w:eastAsia="宋体" w:cs="Times New Roman"/>
                <w:bCs/>
                <w:color w:val="000000" w:themeColor="text1"/>
                <w:spacing w:val="-2"/>
                <w:sz w:val="24"/>
                <w14:textFill>
                  <w14:solidFill>
                    <w14:schemeClr w14:val="tx1"/>
                  </w14:solidFill>
                </w14:textFill>
              </w:rPr>
              <w:t>中可知，本项目的大气环境</w:t>
            </w:r>
            <w:r>
              <w:rPr>
                <w:rFonts w:hint="eastAsia" w:ascii="Times New Roman" w:hAnsi="Times New Roman" w:eastAsia="宋体" w:cs="Times New Roman"/>
                <w:bCs/>
                <w:color w:val="000000" w:themeColor="text1"/>
                <w:spacing w:val="-2"/>
                <w:sz w:val="24"/>
                <w:lang w:eastAsia="zh-CN"/>
                <w14:textFill>
                  <w14:solidFill>
                    <w14:schemeClr w14:val="tx1"/>
                  </w14:solidFill>
                </w14:textFill>
              </w:rPr>
              <w:t>、</w:t>
            </w:r>
            <w:r>
              <w:rPr>
                <w:rFonts w:hint="eastAsia" w:ascii="Times New Roman" w:hAnsi="Times New Roman" w:eastAsia="宋体" w:cs="Times New Roman"/>
                <w:bCs/>
                <w:color w:val="000000" w:themeColor="text1"/>
                <w:spacing w:val="-2"/>
                <w:sz w:val="24"/>
                <w:lang w:val="en-US" w:eastAsia="zh-CN"/>
                <w14:textFill>
                  <w14:solidFill>
                    <w14:schemeClr w14:val="tx1"/>
                  </w14:solidFill>
                </w14:textFill>
              </w:rPr>
              <w:t>地下水环境</w:t>
            </w:r>
            <w:r>
              <w:rPr>
                <w:rFonts w:hint="eastAsia" w:cs="Times New Roman"/>
                <w:bCs/>
                <w:color w:val="000000" w:themeColor="text1"/>
                <w:spacing w:val="-2"/>
                <w:sz w:val="24"/>
                <w:lang w:val="en-US" w:eastAsia="zh-CN"/>
                <w14:textFill>
                  <w14:solidFill>
                    <w14:schemeClr w14:val="tx1"/>
                  </w14:solidFill>
                </w14:textFill>
              </w:rPr>
              <w:t>、</w:t>
            </w:r>
            <w:r>
              <w:rPr>
                <w:rFonts w:ascii="Times New Roman" w:hAnsi="Times New Roman" w:eastAsia="宋体" w:cs="Times New Roman"/>
                <w:bCs/>
                <w:color w:val="000000" w:themeColor="text1"/>
                <w:spacing w:val="-2"/>
                <w:sz w:val="24"/>
                <w14:textFill>
                  <w14:solidFill>
                    <w14:schemeClr w14:val="tx1"/>
                  </w14:solidFill>
                </w14:textFill>
              </w:rPr>
              <w:t>地表水环境风险潜势潜势</w:t>
            </w:r>
            <w:r>
              <w:rPr>
                <w:rFonts w:hint="eastAsia" w:cs="Times New Roman"/>
                <w:bCs/>
                <w:color w:val="000000" w:themeColor="text1"/>
                <w:spacing w:val="-2"/>
                <w:sz w:val="24"/>
                <w:lang w:val="en-US" w:eastAsia="zh-CN"/>
                <w14:textFill>
                  <w14:solidFill>
                    <w14:schemeClr w14:val="tx1"/>
                  </w14:solidFill>
                </w14:textFill>
              </w:rPr>
              <w:t>均</w:t>
            </w:r>
            <w:r>
              <w:rPr>
                <w:rFonts w:ascii="Times New Roman" w:hAnsi="Times New Roman" w:eastAsia="宋体" w:cs="Times New Roman"/>
                <w:bCs/>
                <w:color w:val="000000" w:themeColor="text1"/>
                <w:spacing w:val="-2"/>
                <w:sz w:val="24"/>
                <w14:textFill>
                  <w14:solidFill>
                    <w14:schemeClr w14:val="tx1"/>
                  </w14:solidFill>
                </w14:textFill>
              </w:rPr>
              <w:t>为</w:t>
            </w:r>
            <w:r>
              <w:rPr>
                <w:rFonts w:ascii="Times New Roman" w:hAnsi="Times New Roman" w:eastAsia="宋体" w:cs="Times New Roman"/>
                <w:bCs/>
                <w:color w:val="000000" w:themeColor="text1"/>
                <w:sz w:val="24"/>
                <w14:textFill>
                  <w14:solidFill>
                    <w14:schemeClr w14:val="tx1"/>
                  </w14:solidFill>
                </w14:textFill>
              </w:rPr>
              <w:t>Ⅰ</w:t>
            </w:r>
            <w:r>
              <w:rPr>
                <w:rFonts w:ascii="Times New Roman" w:hAnsi="Times New Roman" w:eastAsia="宋体" w:cs="Times New Roman"/>
                <w:bCs/>
                <w:color w:val="000000" w:themeColor="text1"/>
                <w:spacing w:val="-2"/>
                <w:sz w:val="24"/>
                <w14:textFill>
                  <w14:solidFill>
                    <w14:schemeClr w14:val="tx1"/>
                  </w14:solidFill>
                </w14:textFill>
              </w:rPr>
              <w:t>级。</w:t>
            </w:r>
          </w:p>
          <w:p w14:paraId="5AACC2FB">
            <w:pPr>
              <w:tabs>
                <w:tab w:val="left" w:pos="3465"/>
              </w:tabs>
              <w:spacing w:line="360" w:lineRule="auto"/>
              <w:ind w:left="0" w:leftChars="0" w:firstLine="0" w:firstLineChars="0"/>
              <w:outlineLvl w:val="3"/>
              <w:rPr>
                <w:rFonts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b/>
                <w:color w:val="000000" w:themeColor="text1"/>
                <w:kern w:val="2"/>
                <w:sz w:val="24"/>
                <w:szCs w:val="24"/>
                <w:lang w:val="en-US" w:eastAsia="zh-CN" w:bidi="ar-SA"/>
                <w14:textFill>
                  <w14:solidFill>
                    <w14:schemeClr w14:val="tx1"/>
                  </w14:solidFill>
                </w14:textFill>
              </w:rPr>
              <w:t>7.2.2环境风险评价等级</w:t>
            </w:r>
          </w:p>
          <w:p w14:paraId="30C10029">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《建设项目环境风险评价技术导则》（HJ169</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2018）中环境风险评价工作等级划分依据见表</w:t>
            </w:r>
            <w:r>
              <w:rPr>
                <w:rFonts w:hint="eastAsia" w:cs="Times New Roman"/>
                <w:color w:val="000000" w:themeColor="text1"/>
                <w:sz w:val="24"/>
                <w:lang w:val="en-US" w:eastAsia="zh-CN"/>
                <w14:textFill>
                  <w14:solidFill>
                    <w14:schemeClr w14:val="tx1"/>
                  </w14:solidFill>
                </w14:textFill>
              </w:rPr>
              <w:t>4-23</w:t>
            </w:r>
            <w:r>
              <w:rPr>
                <w:rFonts w:ascii="Times New Roman" w:hAnsi="Times New Roman" w:cs="Times New Roman"/>
                <w:color w:val="000000" w:themeColor="text1"/>
                <w:sz w:val="24"/>
                <w14:textFill>
                  <w14:solidFill>
                    <w14:schemeClr w14:val="tx1"/>
                  </w14:solidFill>
                </w14:textFill>
              </w:rPr>
              <w:t>。</w:t>
            </w:r>
          </w:p>
          <w:p w14:paraId="772FEABA">
            <w:pPr>
              <w:pStyle w:val="42"/>
              <w:keepNext w:val="0"/>
              <w:keepLines w:val="0"/>
              <w:pageBreakBefore w:val="0"/>
              <w:widowControl w:val="0"/>
              <w:tabs>
                <w:tab w:val="left" w:pos="0"/>
              </w:tabs>
              <w:kinsoku/>
              <w:wordWrap/>
              <w:overflowPunct w:val="0"/>
              <w:topLinePunct w:val="0"/>
              <w:autoSpaceDE/>
              <w:autoSpaceDN/>
              <w:bidi w:val="0"/>
              <w:adjustRightInd w:val="0"/>
              <w:snapToGrid w:val="0"/>
              <w:spacing w:after="0" w:line="360" w:lineRule="auto"/>
              <w:jc w:val="center"/>
              <w:textAlignment w:val="auto"/>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4-23</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环境风险评价工作等级划分表</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1490"/>
              <w:gridCol w:w="1780"/>
              <w:gridCol w:w="1780"/>
              <w:gridCol w:w="1672"/>
            </w:tblGrid>
            <w:tr w14:paraId="1E26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7" w:type="pct"/>
                  <w:vAlign w:val="center"/>
                </w:tcPr>
                <w:p w14:paraId="044CC681">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环境风险潜势</w:t>
                  </w:r>
                </w:p>
              </w:tc>
              <w:tc>
                <w:tcPr>
                  <w:tcW w:w="876" w:type="pct"/>
                  <w:vAlign w:val="center"/>
                </w:tcPr>
                <w:p w14:paraId="1067E9C1">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IV、IV+</w:t>
                  </w:r>
                </w:p>
              </w:tc>
              <w:tc>
                <w:tcPr>
                  <w:tcW w:w="1047" w:type="pct"/>
                  <w:vAlign w:val="center"/>
                </w:tcPr>
                <w:p w14:paraId="7D7F4F00">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III</w:t>
                  </w:r>
                </w:p>
              </w:tc>
              <w:tc>
                <w:tcPr>
                  <w:tcW w:w="1047" w:type="pct"/>
                  <w:vAlign w:val="center"/>
                </w:tcPr>
                <w:p w14:paraId="1806B48E">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Ⅱ</w:t>
                  </w:r>
                </w:p>
              </w:tc>
              <w:tc>
                <w:tcPr>
                  <w:tcW w:w="980" w:type="pct"/>
                  <w:vAlign w:val="center"/>
                </w:tcPr>
                <w:p w14:paraId="5449614F">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I</w:t>
                  </w:r>
                </w:p>
              </w:tc>
            </w:tr>
            <w:tr w14:paraId="4C21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7" w:type="pct"/>
                  <w:vAlign w:val="center"/>
                </w:tcPr>
                <w:p w14:paraId="57CF6928">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评价工作等级</w:t>
                  </w:r>
                </w:p>
              </w:tc>
              <w:tc>
                <w:tcPr>
                  <w:tcW w:w="876" w:type="pct"/>
                  <w:vAlign w:val="center"/>
                </w:tcPr>
                <w:p w14:paraId="4B01FCFF">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一</w:t>
                  </w:r>
                </w:p>
              </w:tc>
              <w:tc>
                <w:tcPr>
                  <w:tcW w:w="1047" w:type="pct"/>
                  <w:shd w:val="clear" w:color="auto" w:fill="auto"/>
                  <w:vAlign w:val="center"/>
                </w:tcPr>
                <w:p w14:paraId="265397D5">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二</w:t>
                  </w:r>
                </w:p>
              </w:tc>
              <w:tc>
                <w:tcPr>
                  <w:tcW w:w="1047" w:type="pct"/>
                  <w:shd w:val="clear" w:color="auto" w:fill="auto"/>
                  <w:vAlign w:val="center"/>
                </w:tcPr>
                <w:p w14:paraId="6FF48E02">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三</w:t>
                  </w:r>
                </w:p>
              </w:tc>
              <w:tc>
                <w:tcPr>
                  <w:tcW w:w="980" w:type="pct"/>
                  <w:vAlign w:val="center"/>
                </w:tcPr>
                <w:p w14:paraId="13F8D572">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简单分析a</w:t>
                  </w:r>
                </w:p>
              </w:tc>
            </w:tr>
            <w:tr w14:paraId="7A1B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5000" w:type="pct"/>
                  <w:gridSpan w:val="5"/>
                  <w:vAlign w:val="center"/>
                </w:tcPr>
                <w:p w14:paraId="2FDADB4B">
                  <w:pPr>
                    <w:pStyle w:val="43"/>
                    <w:jc w:val="left"/>
                    <w:rPr>
                      <w:rFonts w:cs="Times New Roman"/>
                      <w:color w:val="000000" w:themeColor="text1"/>
                      <w14:textFill>
                        <w14:solidFill>
                          <w14:schemeClr w14:val="tx1"/>
                        </w14:solidFill>
                      </w14:textFill>
                    </w:rPr>
                  </w:pPr>
                  <w:r>
                    <w:rPr>
                      <w:rFonts w:cs="Times New Roman"/>
                      <w:color w:val="000000" w:themeColor="text1"/>
                      <w:sz w:val="18"/>
                      <w:szCs w:val="18"/>
                      <w14:textFill>
                        <w14:solidFill>
                          <w14:schemeClr w14:val="tx1"/>
                        </w14:solidFill>
                      </w14:textFill>
                    </w:rPr>
                    <w:t>a是相对于详细评价工作内容而言，在描述危险物质、环境影响途径、环境危险后果、风险防范措施等方面给出定性的说明。</w:t>
                  </w:r>
                </w:p>
              </w:tc>
            </w:tr>
          </w:tbl>
          <w:p w14:paraId="1532C3BE">
            <w:pPr>
              <w:ind w:firstLine="480"/>
              <w:rPr>
                <w:color w:val="000000" w:themeColor="text1"/>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本项目的大气环境</w:t>
            </w:r>
            <w:r>
              <w:rPr>
                <w:rFonts w:hint="eastAsia" w:ascii="Times New Roman" w:hAnsi="Times New Roman" w:eastAsia="宋体" w:cs="Times New Roman"/>
                <w:bCs/>
                <w:color w:val="000000" w:themeColor="text1"/>
                <w:spacing w:val="-2"/>
                <w:sz w:val="24"/>
                <w:lang w:eastAsia="zh-CN"/>
                <w14:textFill>
                  <w14:solidFill>
                    <w14:schemeClr w14:val="tx1"/>
                  </w14:solidFill>
                </w14:textFill>
              </w:rPr>
              <w:t>、</w:t>
            </w:r>
            <w:r>
              <w:rPr>
                <w:rFonts w:hint="eastAsia" w:ascii="Times New Roman" w:hAnsi="Times New Roman" w:eastAsia="宋体" w:cs="Times New Roman"/>
                <w:bCs/>
                <w:color w:val="000000" w:themeColor="text1"/>
                <w:spacing w:val="-2"/>
                <w:sz w:val="24"/>
                <w:lang w:val="en-US" w:eastAsia="zh-CN"/>
                <w14:textFill>
                  <w14:solidFill>
                    <w14:schemeClr w14:val="tx1"/>
                  </w14:solidFill>
                </w14:textFill>
              </w:rPr>
              <w:t>地下水环境</w:t>
            </w:r>
            <w:r>
              <w:rPr>
                <w:rFonts w:hint="eastAsia" w:cs="Times New Roman"/>
                <w:bCs/>
                <w:color w:val="000000" w:themeColor="text1"/>
                <w:spacing w:val="-2"/>
                <w:sz w:val="24"/>
                <w:lang w:val="en-US" w:eastAsia="zh-CN"/>
                <w14:textFill>
                  <w14:solidFill>
                    <w14:schemeClr w14:val="tx1"/>
                  </w14:solidFill>
                </w14:textFill>
              </w:rPr>
              <w:t>、</w:t>
            </w:r>
            <w:r>
              <w:rPr>
                <w:rFonts w:ascii="Times New Roman" w:hAnsi="Times New Roman" w:eastAsia="宋体" w:cs="Times New Roman"/>
                <w:bCs/>
                <w:color w:val="000000" w:themeColor="text1"/>
                <w:spacing w:val="-2"/>
                <w:sz w:val="24"/>
                <w14:textFill>
                  <w14:solidFill>
                    <w14:schemeClr w14:val="tx1"/>
                  </w14:solidFill>
                </w14:textFill>
              </w:rPr>
              <w:t>地表水环境风险潜势潜势</w:t>
            </w:r>
            <w:r>
              <w:rPr>
                <w:rFonts w:hint="eastAsia" w:cs="Times New Roman"/>
                <w:bCs/>
                <w:color w:val="000000" w:themeColor="text1"/>
                <w:spacing w:val="-2"/>
                <w:sz w:val="24"/>
                <w:lang w:val="en-US" w:eastAsia="zh-CN"/>
                <w14:textFill>
                  <w14:solidFill>
                    <w14:schemeClr w14:val="tx1"/>
                  </w14:solidFill>
                </w14:textFill>
              </w:rPr>
              <w:t>均</w:t>
            </w:r>
            <w:r>
              <w:rPr>
                <w:rFonts w:ascii="Times New Roman" w:hAnsi="Times New Roman" w:eastAsia="宋体" w:cs="Times New Roman"/>
                <w:bCs/>
                <w:color w:val="000000" w:themeColor="text1"/>
                <w:spacing w:val="-2"/>
                <w:sz w:val="24"/>
                <w14:textFill>
                  <w14:solidFill>
                    <w14:schemeClr w14:val="tx1"/>
                  </w14:solidFill>
                </w14:textFill>
              </w:rPr>
              <w:t>为</w:t>
            </w:r>
            <w:r>
              <w:rPr>
                <w:rFonts w:ascii="Times New Roman" w:hAnsi="Times New Roman" w:eastAsia="宋体" w:cs="Times New Roman"/>
                <w:bCs/>
                <w:color w:val="000000" w:themeColor="text1"/>
                <w:sz w:val="24"/>
                <w14:textFill>
                  <w14:solidFill>
                    <w14:schemeClr w14:val="tx1"/>
                  </w14:solidFill>
                </w14:textFill>
              </w:rPr>
              <w:t>Ⅰ</w:t>
            </w:r>
            <w:r>
              <w:rPr>
                <w:rFonts w:ascii="Times New Roman" w:hAnsi="Times New Roman" w:eastAsia="宋体" w:cs="Times New Roman"/>
                <w:bCs/>
                <w:color w:val="000000" w:themeColor="text1"/>
                <w:spacing w:val="-2"/>
                <w:sz w:val="24"/>
                <w14:textFill>
                  <w14:solidFill>
                    <w14:schemeClr w14:val="tx1"/>
                  </w14:solidFill>
                </w14:textFill>
              </w:rPr>
              <w:t>级</w:t>
            </w:r>
            <w:r>
              <w:rPr>
                <w:rFonts w:hint="eastAsia" w:cs="Times New Roman"/>
                <w:bCs/>
                <w:color w:val="000000" w:themeColor="text1"/>
                <w:spacing w:val="-2"/>
                <w:sz w:val="24"/>
                <w:lang w:eastAsia="zh-CN"/>
                <w14:textFill>
                  <w14:solidFill>
                    <w14:schemeClr w14:val="tx1"/>
                  </w14:solidFill>
                </w14:textFill>
              </w:rPr>
              <w:t>，</w:t>
            </w:r>
            <w:r>
              <w:rPr>
                <w:rFonts w:hint="eastAsia" w:ascii="Times New Roman" w:hAnsi="Times New Roman" w:eastAsia="宋体" w:cs="Times New Roman"/>
                <w:color w:val="000000" w:themeColor="text1"/>
                <w:sz w:val="24"/>
                <w:lang w:val="en-US" w:eastAsia="zh-CN"/>
                <w14:textFill>
                  <w14:solidFill>
                    <w14:schemeClr w14:val="tx1"/>
                  </w14:solidFill>
                </w14:textFill>
              </w:rPr>
              <w:t>环境</w:t>
            </w:r>
            <w:r>
              <w:rPr>
                <w:rFonts w:ascii="Times New Roman" w:hAnsi="Times New Roman" w:cs="Times New Roman"/>
                <w:color w:val="000000" w:themeColor="text1"/>
                <w:sz w:val="24"/>
                <w14:textFill>
                  <w14:solidFill>
                    <w14:schemeClr w14:val="tx1"/>
                  </w14:solidFill>
                </w14:textFill>
              </w:rPr>
              <w:t>评价工作等级为</w:t>
            </w:r>
            <w:r>
              <w:rPr>
                <w:rFonts w:hint="eastAsia" w:ascii="Times New Roman" w:hAnsi="Times New Roman" w:cs="Times New Roman"/>
                <w:color w:val="000000" w:themeColor="text1"/>
                <w:sz w:val="24"/>
                <w:lang w:val="en-US" w:eastAsia="zh-CN"/>
                <w14:textFill>
                  <w14:solidFill>
                    <w14:schemeClr w14:val="tx1"/>
                  </w14:solidFill>
                </w14:textFill>
              </w:rPr>
              <w:t>简单分析</w:t>
            </w:r>
            <w:r>
              <w:rPr>
                <w:rFonts w:ascii="Times New Roman" w:hAnsi="Times New Roman" w:cs="Times New Roman"/>
                <w:color w:val="000000" w:themeColor="text1"/>
                <w:sz w:val="24"/>
                <w14:textFill>
                  <w14:solidFill>
                    <w14:schemeClr w14:val="tx1"/>
                  </w14:solidFill>
                </w14:textFill>
              </w:rPr>
              <w:t>。</w:t>
            </w:r>
          </w:p>
          <w:p w14:paraId="484387E0">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7.3 环境风险识别</w:t>
            </w:r>
          </w:p>
          <w:p w14:paraId="61C084D3">
            <w:pPr>
              <w:pStyle w:val="46"/>
              <w:spacing w:line="360" w:lineRule="auto"/>
              <w:ind w:firstLine="480"/>
              <w:rPr>
                <w:rFonts w:ascii="Times New Roman" w:hAnsi="Times New Roman"/>
                <w:color w:val="000000" w:themeColor="text1"/>
                <w14:textFill>
                  <w14:solidFill>
                    <w14:schemeClr w14:val="tx1"/>
                  </w14:solidFill>
                </w14:textFill>
              </w:rPr>
            </w:pPr>
            <w:r>
              <w:rPr>
                <w:rFonts w:ascii="Times New Roman" w:hAnsi="Times New Roman"/>
                <w:color w:val="000000" w:themeColor="text1"/>
                <w:kern w:val="2"/>
                <w14:textFill>
                  <w14:solidFill>
                    <w14:schemeClr w14:val="tx1"/>
                  </w14:solidFill>
                </w14:textFill>
              </w:rPr>
              <w:t>（1）物质危险性识别</w:t>
            </w:r>
          </w:p>
          <w:p w14:paraId="31B4746F">
            <w:pPr>
              <w:ind w:firstLine="480"/>
              <w:rPr>
                <w:bCs/>
                <w:color w:val="000000" w:themeColor="text1"/>
                <w:szCs w:val="21"/>
                <w:lang w:val="zh-CN"/>
                <w14:textFill>
                  <w14:solidFill>
                    <w14:schemeClr w14:val="tx1"/>
                  </w14:solidFill>
                </w14:textFill>
              </w:rPr>
            </w:pPr>
            <w:r>
              <w:rPr>
                <w:color w:val="000000" w:themeColor="text1"/>
                <w14:textFill>
                  <w14:solidFill>
                    <w14:schemeClr w14:val="tx1"/>
                  </w14:solidFill>
                </w14:textFill>
              </w:rPr>
              <w:t>本工程涉及的环境风险物质主要为：原油、天然气</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甲醇</w:t>
            </w:r>
            <w:r>
              <w:rPr>
                <w:color w:val="000000" w:themeColor="text1"/>
                <w14:textFill>
                  <w14:solidFill>
                    <w14:schemeClr w14:val="tx1"/>
                  </w14:solidFill>
                </w14:textFill>
              </w:rPr>
              <w:t>和柴油。其主要物化、毒理性质、危险等级划分，见表</w:t>
            </w:r>
            <w:r>
              <w:rPr>
                <w:color w:val="000000" w:themeColor="text1"/>
                <w:kern w:val="0"/>
                <w14:textFill>
                  <w14:solidFill>
                    <w14:schemeClr w14:val="tx1"/>
                  </w14:solidFill>
                </w14:textFill>
              </w:rPr>
              <w:t>4-</w:t>
            </w:r>
            <w:r>
              <w:rPr>
                <w:rFonts w:hint="eastAsia"/>
                <w:color w:val="000000" w:themeColor="text1"/>
                <w:kern w:val="0"/>
                <w:lang w:val="en-US" w:eastAsia="zh-CN"/>
                <w14:textFill>
                  <w14:solidFill>
                    <w14:schemeClr w14:val="tx1"/>
                  </w14:solidFill>
                </w14:textFill>
              </w:rPr>
              <w:t>24</w:t>
            </w:r>
            <w:r>
              <w:rPr>
                <w:color w:val="000000" w:themeColor="text1"/>
                <w14:textFill>
                  <w14:solidFill>
                    <w14:schemeClr w14:val="tx1"/>
                  </w14:solidFill>
                </w14:textFill>
              </w:rPr>
              <w:t>。</w:t>
            </w:r>
          </w:p>
          <w:p w14:paraId="72E3A1BC">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w:t>
            </w:r>
            <w:r>
              <w:rPr>
                <w:rFonts w:hint="eastAsia"/>
                <w:bCs/>
                <w:color w:val="000000" w:themeColor="text1"/>
                <w:sz w:val="21"/>
                <w:szCs w:val="21"/>
                <w:lang w:val="en-US" w:eastAsia="zh-CN"/>
                <w14:textFill>
                  <w14:solidFill>
                    <w14:schemeClr w14:val="tx1"/>
                  </w14:solidFill>
                </w14:textFill>
              </w:rPr>
              <w:t>24</w:t>
            </w:r>
            <w:r>
              <w:rPr>
                <w:bCs/>
                <w:color w:val="000000" w:themeColor="text1"/>
                <w:sz w:val="21"/>
                <w:szCs w:val="21"/>
                <w14:textFill>
                  <w14:solidFill>
                    <w14:schemeClr w14:val="tx1"/>
                  </w14:solidFill>
                </w14:textFill>
              </w:rPr>
              <w:t xml:space="preserve">  原油、天然气</w:t>
            </w:r>
            <w:r>
              <w:rPr>
                <w:rFonts w:hint="eastAsia"/>
                <w:bCs/>
                <w:color w:val="000000" w:themeColor="text1"/>
                <w:sz w:val="21"/>
                <w:szCs w:val="21"/>
                <w:lang w:eastAsia="zh-CN"/>
                <w14:textFill>
                  <w14:solidFill>
                    <w14:schemeClr w14:val="tx1"/>
                  </w14:solidFill>
                </w14:textFill>
              </w:rPr>
              <w:t>、</w:t>
            </w:r>
            <w:r>
              <w:rPr>
                <w:rFonts w:hint="eastAsia"/>
                <w:bCs/>
                <w:color w:val="000000" w:themeColor="text1"/>
                <w:sz w:val="21"/>
                <w:szCs w:val="21"/>
                <w:lang w:val="en-US" w:eastAsia="zh-CN"/>
                <w14:textFill>
                  <w14:solidFill>
                    <w14:schemeClr w14:val="tx1"/>
                  </w14:solidFill>
                </w14:textFill>
              </w:rPr>
              <w:t>甲醇</w:t>
            </w:r>
            <w:r>
              <w:rPr>
                <w:bCs/>
                <w:color w:val="000000" w:themeColor="text1"/>
                <w:sz w:val="21"/>
                <w:szCs w:val="21"/>
                <w14:textFill>
                  <w14:solidFill>
                    <w14:schemeClr w14:val="tx1"/>
                  </w14:solidFill>
                </w14:textFill>
              </w:rPr>
              <w:t>和柴油的理化性质及危险级别分类情况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592"/>
              <w:gridCol w:w="1350"/>
              <w:gridCol w:w="2430"/>
              <w:gridCol w:w="1912"/>
              <w:gridCol w:w="1376"/>
            </w:tblGrid>
            <w:tr w14:paraId="4B51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21C09A3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592" w:type="dxa"/>
                  <w:vAlign w:val="center"/>
                </w:tcPr>
                <w:p w14:paraId="74E8FFA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1350" w:type="dxa"/>
                  <w:vAlign w:val="center"/>
                </w:tcPr>
                <w:p w14:paraId="29A3A08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组分</w:t>
                  </w:r>
                </w:p>
              </w:tc>
              <w:tc>
                <w:tcPr>
                  <w:tcW w:w="2430" w:type="dxa"/>
                  <w:vAlign w:val="center"/>
                </w:tcPr>
                <w:p w14:paraId="05530BC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毒性</w:t>
                  </w:r>
                </w:p>
              </w:tc>
              <w:tc>
                <w:tcPr>
                  <w:tcW w:w="1912" w:type="dxa"/>
                  <w:vAlign w:val="center"/>
                </w:tcPr>
                <w:p w14:paraId="5DF7A0D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燃烧爆炸特性参数</w:t>
                  </w:r>
                </w:p>
              </w:tc>
              <w:tc>
                <w:tcPr>
                  <w:tcW w:w="1376" w:type="dxa"/>
                  <w:vAlign w:val="center"/>
                </w:tcPr>
                <w:p w14:paraId="7FE33AB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危险级别</w:t>
                  </w:r>
                </w:p>
              </w:tc>
            </w:tr>
            <w:tr w14:paraId="4013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0AE5377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592" w:type="dxa"/>
                  <w:vAlign w:val="center"/>
                </w:tcPr>
                <w:p w14:paraId="168E71E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原油</w:t>
                  </w:r>
                </w:p>
              </w:tc>
              <w:tc>
                <w:tcPr>
                  <w:tcW w:w="1350" w:type="dxa"/>
                  <w:vAlign w:val="center"/>
                </w:tcPr>
                <w:p w14:paraId="71B48D4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由各种烃类和非烃类化合物所组成的复杂混合物</w:t>
                  </w:r>
                </w:p>
              </w:tc>
              <w:tc>
                <w:tcPr>
                  <w:tcW w:w="2430" w:type="dxa"/>
                  <w:vAlign w:val="center"/>
                </w:tcPr>
                <w:p w14:paraId="369D896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原油本身无明显毒性。遇热分解出有毒的烟雾，吸入大量可引起危害：有刺激和麻痹作用，急性吸入中毒者有上呼吸道刺激感觉。流泪，随之出现头晕、头痛、恶心、运动失调及酒醉样症状</w:t>
                  </w:r>
                </w:p>
              </w:tc>
              <w:tc>
                <w:tcPr>
                  <w:tcW w:w="1912" w:type="dxa"/>
                  <w:vAlign w:val="center"/>
                </w:tcPr>
                <w:p w14:paraId="54AD2A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热值：41870KJ/kg</w:t>
                  </w:r>
                </w:p>
                <w:p w14:paraId="124D1A8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火焰温度：1100℃</w:t>
                  </w:r>
                </w:p>
                <w:p w14:paraId="32FEA72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沸点：300～325℃</w:t>
                  </w:r>
                </w:p>
                <w:p w14:paraId="6E5F1FF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闪点：23.59℃</w:t>
                  </w:r>
                </w:p>
                <w:p w14:paraId="525930C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爆炸极限：1.1%～6.4%(v)</w:t>
                  </w:r>
                </w:p>
                <w:p w14:paraId="42B1F0A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自然燃点：380~530℃</w:t>
                  </w:r>
                </w:p>
              </w:tc>
              <w:tc>
                <w:tcPr>
                  <w:tcW w:w="1376" w:type="dxa"/>
                  <w:vAlign w:val="center"/>
                </w:tcPr>
                <w:p w14:paraId="3F69274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属于高闪点液体</w:t>
                  </w:r>
                </w:p>
              </w:tc>
            </w:tr>
            <w:tr w14:paraId="1F3A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530BD74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592" w:type="dxa"/>
                  <w:vAlign w:val="center"/>
                </w:tcPr>
                <w:p w14:paraId="084FD6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天然气</w:t>
                  </w:r>
                </w:p>
              </w:tc>
              <w:tc>
                <w:tcPr>
                  <w:tcW w:w="1350" w:type="dxa"/>
                  <w:vAlign w:val="center"/>
                </w:tcPr>
                <w:p w14:paraId="79F52B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多种可燃性气体的总称，主要成分包括甲烷、乙烷等</w:t>
                  </w:r>
                </w:p>
              </w:tc>
              <w:tc>
                <w:tcPr>
                  <w:tcW w:w="2430" w:type="dxa"/>
                  <w:vAlign w:val="center"/>
                </w:tcPr>
                <w:p w14:paraId="4D851D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伴生气中主要包括天然气，天然气中含有的甲烷，是一种无毒气体，当空气中大量弥漫这种气体时它会造成人因氧气不足而呼吸困难，进而失去知觉、昏迷甚至残废</w:t>
                  </w:r>
                </w:p>
              </w:tc>
              <w:tc>
                <w:tcPr>
                  <w:tcW w:w="1912" w:type="dxa"/>
                  <w:vAlign w:val="center"/>
                </w:tcPr>
                <w:p w14:paraId="06CDA43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热值：50009KJ/kg</w:t>
                  </w:r>
                </w:p>
                <w:p w14:paraId="1A20C05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爆炸极限：5%～14%(v)</w:t>
                  </w:r>
                </w:p>
                <w:p w14:paraId="757EDF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自然燃点：482~632℃</w:t>
                  </w:r>
                </w:p>
              </w:tc>
              <w:tc>
                <w:tcPr>
                  <w:tcW w:w="1376" w:type="dxa"/>
                  <w:vAlign w:val="center"/>
                </w:tcPr>
                <w:p w14:paraId="1F4E706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属于5.1类中易燃气体，在危险货物品名表中编号21007</w:t>
                  </w:r>
                </w:p>
              </w:tc>
            </w:tr>
            <w:tr w14:paraId="7BF6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3484AA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592" w:type="dxa"/>
                  <w:vAlign w:val="center"/>
                </w:tcPr>
                <w:p w14:paraId="607FA34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w:t>
                  </w:r>
                </w:p>
              </w:tc>
              <w:tc>
                <w:tcPr>
                  <w:tcW w:w="1350" w:type="dxa"/>
                  <w:vAlign w:val="center"/>
                </w:tcPr>
                <w:p w14:paraId="1BA6EA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复杂烃类（碳原子数约10～22）混合物</w:t>
                  </w:r>
                </w:p>
              </w:tc>
              <w:tc>
                <w:tcPr>
                  <w:tcW w:w="2430" w:type="dxa"/>
                  <w:vAlign w:val="center"/>
                </w:tcPr>
                <w:p w14:paraId="6D86B90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柴油的毒性类似于煤油，但由于添加剂（如硫化酯类）的影响，毒性可能比煤油略大。主要有麻醉和刺激作用。柴油的雾滴吸入后可致吸入性肺炎。皮肤接触柴油可致接触性皮炎。多见于两手、腕部与前臂</w:t>
                  </w:r>
                </w:p>
              </w:tc>
              <w:tc>
                <w:tcPr>
                  <w:tcW w:w="1912" w:type="dxa"/>
                  <w:vAlign w:val="center"/>
                </w:tcPr>
                <w:p w14:paraId="64763A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热值为3.3×10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J/L沸点范围有180~370℃和350~410℃两类闪点：38℃</w:t>
                  </w:r>
                </w:p>
              </w:tc>
              <w:tc>
                <w:tcPr>
                  <w:tcW w:w="1376" w:type="dxa"/>
                  <w:vAlign w:val="center"/>
                </w:tcPr>
                <w:p w14:paraId="26B8007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属于高闪点液体</w:t>
                  </w:r>
                </w:p>
              </w:tc>
            </w:tr>
            <w:tr w14:paraId="54CD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27FD7B54">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p>
              </w:tc>
              <w:tc>
                <w:tcPr>
                  <w:tcW w:w="592" w:type="dxa"/>
                  <w:vAlign w:val="center"/>
                </w:tcPr>
                <w:p w14:paraId="1DFF3B11">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甲醇</w:t>
                  </w:r>
                </w:p>
              </w:tc>
              <w:tc>
                <w:tcPr>
                  <w:tcW w:w="1350" w:type="dxa"/>
                  <w:vAlign w:val="center"/>
                </w:tcPr>
                <w:p w14:paraId="09F3E7DD">
                  <w:pPr>
                    <w:pStyle w:val="26"/>
                    <w:framePr w:hSpace="0" w:wrap="auto" w:vAnchor="margin" w:hAnchor="text" w:xAlign="left" w:yAlign="inline"/>
                    <w:rPr>
                      <w:color w:val="000000" w:themeColor="text1"/>
                      <w14:textFill>
                        <w14:solidFill>
                          <w14:schemeClr w14:val="tx1"/>
                        </w14:solidFill>
                      </w14:textFill>
                    </w:rPr>
                  </w:pPr>
                  <w:r>
                    <w:rPr>
                      <w:color w:val="000000" w:themeColor="text1"/>
                      <w:lang w:val="en-US" w:eastAsia="zh-CN"/>
                      <w14:textFill>
                        <w14:solidFill>
                          <w14:schemeClr w14:val="tx1"/>
                        </w14:solidFill>
                      </w14:textFill>
                    </w:rPr>
                    <w:t>单一有机化合物，分子式</w:t>
                  </w:r>
                  <w:r>
                    <w:rPr>
                      <w:rFonts w:hint="eastAsia"/>
                      <w:color w:val="000000" w:themeColor="text1"/>
                      <w:lang w:val="en-US" w:eastAsia="zh-CN"/>
                      <w14:textFill>
                        <w14:solidFill>
                          <w14:schemeClr w14:val="tx1"/>
                        </w14:solidFill>
                      </w14:textFill>
                    </w:rPr>
                    <w:t>CH</w:t>
                  </w:r>
                  <w:r>
                    <w:rPr>
                      <w:rFonts w:hint="eastAsia"/>
                      <w:color w:val="000000" w:themeColor="text1"/>
                      <w:vertAlign w:val="subscript"/>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OH</w:t>
                  </w:r>
                  <w:r>
                    <w:rPr>
                      <w:color w:val="000000" w:themeColor="text1"/>
                      <w:lang w:val="en-US" w:eastAsia="zh-CN"/>
                      <w14:textFill>
                        <w14:solidFill>
                          <w14:schemeClr w14:val="tx1"/>
                        </w14:solidFill>
                      </w14:textFill>
                    </w:rPr>
                    <w:t>，纯品无杂质，工业甲醇含微量水、杂醇</w:t>
                  </w:r>
                </w:p>
              </w:tc>
              <w:tc>
                <w:tcPr>
                  <w:tcW w:w="2430" w:type="dxa"/>
                  <w:vAlign w:val="center"/>
                </w:tcPr>
                <w:p w14:paraId="1CBD3A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中度危害毒物，可经呼吸道、消化道、皮肤侵入人体；对视神经、视网膜有特异性损伤，过量摄入可致失明、死亡；急性中毒表现头痛、眩晕、恶心、呼吸困难、酸中毒；皮肤长期接触引发皮炎，高浓度蒸气刺激呼吸道黏膜。</w:t>
                  </w:r>
                </w:p>
              </w:tc>
              <w:tc>
                <w:tcPr>
                  <w:tcW w:w="1912" w:type="dxa"/>
                  <w:vAlign w:val="center"/>
                </w:tcPr>
                <w:p w14:paraId="4C66F42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热值：726.51kJ/mol（约22700kJ/kg）</w:t>
                  </w:r>
                </w:p>
                <w:p w14:paraId="7D3742D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沸点：64.7℃</w:t>
                  </w:r>
                </w:p>
                <w:p w14:paraId="448E58A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闭杯闪点：8~11℃</w:t>
                  </w:r>
                </w:p>
                <w:p w14:paraId="73C037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爆炸极限（体积分数）：5.5%～44.0%</w:t>
                  </w:r>
                </w:p>
                <w:p w14:paraId="6E0CDE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自燃点：385℃</w:t>
                  </w:r>
                </w:p>
              </w:tc>
              <w:tc>
                <w:tcPr>
                  <w:tcW w:w="1376" w:type="dxa"/>
                  <w:vAlign w:val="center"/>
                </w:tcPr>
                <w:p w14:paraId="4B5B847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第3.2类中闪点易燃液体，危化品编号32058；兼具易燃、有毒双重危险性</w:t>
                  </w:r>
                </w:p>
              </w:tc>
            </w:tr>
          </w:tbl>
          <w:p w14:paraId="3863A1E8">
            <w:pPr>
              <w:pStyle w:val="46"/>
              <w:spacing w:line="360" w:lineRule="auto"/>
              <w:ind w:firstLine="480"/>
              <w:rPr>
                <w:rFonts w:ascii="Times New Roman" w:hAnsi="Times New Roman"/>
                <w:color w:val="000000" w:themeColor="text1"/>
                <w:kern w:val="2"/>
                <w14:textFill>
                  <w14:solidFill>
                    <w14:schemeClr w14:val="tx1"/>
                  </w14:solidFill>
                </w14:textFill>
              </w:rPr>
            </w:pPr>
            <w:r>
              <w:rPr>
                <w:rFonts w:ascii="Times New Roman" w:hAnsi="Times New Roman"/>
                <w:color w:val="000000" w:themeColor="text1"/>
                <w:kern w:val="2"/>
                <w14:textFill>
                  <w14:solidFill>
                    <w14:schemeClr w14:val="tx1"/>
                  </w14:solidFill>
                </w14:textFill>
              </w:rPr>
              <w:t>（2）生产设施风险识别</w:t>
            </w:r>
          </w:p>
          <w:p w14:paraId="61470C48">
            <w:pPr>
              <w:ind w:firstLine="480"/>
              <w:rPr>
                <w:color w:val="000000" w:themeColor="text1"/>
                <w14:textFill>
                  <w14:solidFill>
                    <w14:schemeClr w14:val="tx1"/>
                  </w14:solidFill>
                </w14:textFill>
              </w:rPr>
            </w:pPr>
            <w:r>
              <w:rPr>
                <w:color w:val="000000" w:themeColor="text1"/>
                <w14:textFill>
                  <w14:solidFill>
                    <w14:schemeClr w14:val="tx1"/>
                  </w14:solidFill>
                </w14:textFill>
              </w:rPr>
              <w:t>①井喷事故风险</w:t>
            </w:r>
          </w:p>
          <w:p w14:paraId="7DAF1F89">
            <w:pPr>
              <w:ind w:firstLine="480"/>
              <w:rPr>
                <w:color w:val="000000" w:themeColor="text1"/>
                <w14:textFill>
                  <w14:solidFill>
                    <w14:schemeClr w14:val="tx1"/>
                  </w14:solidFill>
                </w14:textFill>
              </w:rPr>
            </w:pPr>
            <w:r>
              <w:rPr>
                <w:color w:val="000000" w:themeColor="text1"/>
                <w14:textFill>
                  <w14:solidFill>
                    <w14:schemeClr w14:val="tx1"/>
                  </w14:solidFill>
                </w14:textFill>
              </w:rPr>
              <w:t>若井底压力小于地层压力，地层流体将进入井筒并推动钻井液外溢，即发生井喷。此时，如果对地下油、气压力平衡控制不当，不能及时控制溢流，会造成油、气、水或其他混合物迅速喷到地面，即发生井喷。井喷会引发油气泄漏及火灾爆炸，对大气环境、水环境、土壤环境及生态环境造成危害，致使人员伤亡、财产损失。</w:t>
            </w:r>
          </w:p>
          <w:p w14:paraId="4259D4DD">
            <w:pPr>
              <w:ind w:firstLine="480"/>
              <w:rPr>
                <w:color w:val="000000" w:themeColor="text1"/>
                <w14:textFill>
                  <w14:solidFill>
                    <w14:schemeClr w14:val="tx1"/>
                  </w14:solidFill>
                </w14:textFill>
              </w:rPr>
            </w:pPr>
            <w:r>
              <w:rPr>
                <w:color w:val="000000" w:themeColor="text1"/>
                <w14:textFill>
                  <w14:solidFill>
                    <w14:schemeClr w14:val="tx1"/>
                  </w14:solidFill>
                </w14:textFill>
              </w:rPr>
              <w:t>②储罐泄漏风险</w:t>
            </w:r>
          </w:p>
          <w:p w14:paraId="0B47F323">
            <w:pPr>
              <w:ind w:firstLine="480"/>
              <w:rPr>
                <w:color w:val="000000" w:themeColor="text1"/>
                <w14:textFill>
                  <w14:solidFill>
                    <w14:schemeClr w14:val="tx1"/>
                  </w14:solidFill>
                </w14:textFill>
              </w:rPr>
            </w:pPr>
            <w:r>
              <w:rPr>
                <w:color w:val="000000" w:themeColor="text1"/>
                <w14:textFill>
                  <w14:solidFill>
                    <w14:schemeClr w14:val="tx1"/>
                  </w14:solidFill>
                </w14:textFill>
              </w:rPr>
              <w:t>钻井及试油期井场设置柴油储罐</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甲醇储罐</w:t>
            </w:r>
            <w:r>
              <w:rPr>
                <w:color w:val="000000" w:themeColor="text1"/>
                <w14:textFill>
                  <w14:solidFill>
                    <w14:schemeClr w14:val="tx1"/>
                  </w14:solidFill>
                </w14:textFill>
              </w:rPr>
              <w:t>，试油期井场设置有试油废水储罐和原油储罐，若储罐因质量、操作运行和管理等方面存在缺陷和失误，可能会发生泄漏，对周围地下水、土壤、大气等环境造成污染。</w:t>
            </w:r>
          </w:p>
          <w:p w14:paraId="624738D0">
            <w:pPr>
              <w:ind w:firstLine="480"/>
              <w:rPr>
                <w:color w:val="000000" w:themeColor="text1"/>
                <w14:textFill>
                  <w14:solidFill>
                    <w14:schemeClr w14:val="tx1"/>
                  </w14:solidFill>
                </w14:textFill>
              </w:rPr>
            </w:pPr>
            <w:r>
              <w:rPr>
                <w:color w:val="000000" w:themeColor="text1"/>
                <w14:textFill>
                  <w14:solidFill>
                    <w14:schemeClr w14:val="tx1"/>
                  </w14:solidFill>
                </w14:textFill>
              </w:rPr>
              <w:t>③井漏事故风险</w:t>
            </w:r>
          </w:p>
          <w:p w14:paraId="615B7F1E">
            <w:pPr>
              <w:ind w:firstLine="480"/>
              <w:rPr>
                <w:color w:val="000000" w:themeColor="text1"/>
                <w14:textFill>
                  <w14:solidFill>
                    <w14:schemeClr w14:val="tx1"/>
                  </w14:solidFill>
                </w14:textFill>
              </w:rPr>
            </w:pPr>
            <w:r>
              <w:rPr>
                <w:color w:val="000000" w:themeColor="text1"/>
                <w14:textFill>
                  <w14:solidFill>
                    <w14:schemeClr w14:val="tx1"/>
                  </w14:solidFill>
                </w14:textFill>
              </w:rPr>
              <w:t>钻井施工表层套管下入深度不够或固井质量不好可能引发井漏事故。</w:t>
            </w:r>
          </w:p>
          <w:p w14:paraId="0E288FE6">
            <w:pPr>
              <w:ind w:firstLine="480"/>
              <w:rPr>
                <w:color w:val="000000" w:themeColor="text1"/>
                <w14:textFill>
                  <w14:solidFill>
                    <w14:schemeClr w14:val="tx1"/>
                  </w14:solidFill>
                </w14:textFill>
              </w:rPr>
            </w:pPr>
            <w:r>
              <w:rPr>
                <w:color w:val="000000" w:themeColor="text1"/>
                <w14:textFill>
                  <w14:solidFill>
                    <w14:schemeClr w14:val="tx1"/>
                  </w14:solidFill>
                </w14:textFill>
              </w:rPr>
              <w:t>④采出液、废水及柴油拉运过程中的环境风险</w:t>
            </w:r>
          </w:p>
          <w:p w14:paraId="4525108B">
            <w:pPr>
              <w:ind w:firstLine="480"/>
              <w:rPr>
                <w:color w:val="000000" w:themeColor="text1"/>
                <w14:textFill>
                  <w14:solidFill>
                    <w14:schemeClr w14:val="tx1"/>
                  </w14:solidFill>
                </w14:textFill>
              </w:rPr>
            </w:pPr>
            <w:r>
              <w:rPr>
                <w:color w:val="000000" w:themeColor="text1"/>
                <w14:textFill>
                  <w14:solidFill>
                    <w14:schemeClr w14:val="tx1"/>
                  </w14:solidFill>
                </w14:textFill>
              </w:rPr>
              <w:t>试油期采出液由罐车拉运至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处理，运输过程中若因车辆本身的设计、制造、操作、管理等各环节存在缺陷，则可能发生泄漏事故的风险。事故发生时罐车内液体溢出，对周围环境造成直接污染，泄漏的油气如遇到明火还可能发生火灾、爆炸事故。</w:t>
            </w:r>
          </w:p>
          <w:p w14:paraId="39F881DC">
            <w:pPr>
              <w:pStyle w:val="46"/>
              <w:spacing w:line="360" w:lineRule="auto"/>
              <w:ind w:firstLine="48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（3）环境风险类型</w:t>
            </w:r>
          </w:p>
          <w:p w14:paraId="0D9A94D7">
            <w:pPr>
              <w:pStyle w:val="46"/>
              <w:spacing w:line="360" w:lineRule="auto"/>
              <w:ind w:firstLine="480"/>
              <w:rPr>
                <w:rFonts w:ascii="Times New Roman" w:hAnsi="Times New Roman"/>
                <w:bCs/>
                <w:color w:val="000000" w:themeColor="text1"/>
                <w14:textFill>
                  <w14:solidFill>
                    <w14:schemeClr w14:val="tx1"/>
                  </w14:solidFill>
                </w14:textFill>
              </w:rPr>
            </w:pPr>
            <w:r>
              <w:rPr>
                <w:rFonts w:ascii="Times New Roman" w:hAnsi="Times New Roman"/>
                <w:bCs/>
                <w:color w:val="000000" w:themeColor="text1"/>
                <w14:textFill>
                  <w14:solidFill>
                    <w14:schemeClr w14:val="tx1"/>
                  </w14:solidFill>
                </w14:textFill>
              </w:rPr>
              <w:t>环境风险类型主要为泄漏、火灾、爆炸等引发的伴生/次生污染物排放。</w:t>
            </w:r>
          </w:p>
          <w:p w14:paraId="7E4CAD41">
            <w:pPr>
              <w:pStyle w:val="46"/>
              <w:spacing w:line="360" w:lineRule="auto"/>
              <w:ind w:firstLine="480"/>
              <w:rPr>
                <w:rFonts w:ascii="Times New Roman" w:hAnsi="Times New Roman"/>
                <w:bCs/>
                <w:color w:val="000000" w:themeColor="text1"/>
                <w14:textFill>
                  <w14:solidFill>
                    <w14:schemeClr w14:val="tx1"/>
                  </w14:solidFill>
                </w14:textFill>
              </w:rPr>
            </w:pPr>
            <w:r>
              <w:rPr>
                <w:rFonts w:ascii="Times New Roman" w:hAnsi="Times New Roman"/>
                <w:bCs/>
                <w:color w:val="000000" w:themeColor="text1"/>
                <w14:textFill>
                  <w14:solidFill>
                    <w14:schemeClr w14:val="tx1"/>
                  </w14:solidFill>
                </w14:textFill>
              </w:rPr>
              <w:t>（4）危险物质向环境转移的可能途径和影响方式</w:t>
            </w:r>
          </w:p>
          <w:p w14:paraId="5E9F9CCF">
            <w:pPr>
              <w:pStyle w:val="4"/>
              <w:ind w:firstLine="480"/>
              <w:rPr>
                <w:bCs/>
                <w:color w:val="000000" w:themeColor="text1"/>
                <w14:textFill>
                  <w14:solidFill>
                    <w14:schemeClr w14:val="tx1"/>
                  </w14:solidFill>
                </w14:textFill>
              </w:rPr>
            </w:pPr>
            <w:r>
              <w:rPr>
                <w:b w:val="0"/>
                <w:color w:val="000000" w:themeColor="text1"/>
                <w14:textFill>
                  <w14:solidFill>
                    <w14:schemeClr w14:val="tx1"/>
                  </w14:solidFill>
                </w14:textFill>
              </w:rPr>
              <w:t>柴油储罐、原油储罐、</w:t>
            </w:r>
            <w:r>
              <w:rPr>
                <w:rFonts w:hint="eastAsia"/>
                <w:b w:val="0"/>
                <w:color w:val="000000" w:themeColor="text1"/>
                <w:lang w:val="en-US" w:eastAsia="zh-CN"/>
                <w14:textFill>
                  <w14:solidFill>
                    <w14:schemeClr w14:val="tx1"/>
                  </w14:solidFill>
                </w14:textFill>
              </w:rPr>
              <w:t>甲醇储罐、</w:t>
            </w:r>
            <w:r>
              <w:rPr>
                <w:b w:val="0"/>
                <w:color w:val="000000" w:themeColor="text1"/>
                <w14:textFill>
                  <w14:solidFill>
                    <w14:schemeClr w14:val="tx1"/>
                  </w14:solidFill>
                </w14:textFill>
              </w:rPr>
              <w:t>废水储罐等发生破损造成柴油/原油</w:t>
            </w:r>
            <w:r>
              <w:rPr>
                <w:rFonts w:hint="eastAsia"/>
                <w:b w:val="0"/>
                <w:color w:val="000000" w:themeColor="text1"/>
                <w:lang w:val="en-US" w:eastAsia="zh-CN"/>
                <w14:textFill>
                  <w14:solidFill>
                    <w14:schemeClr w14:val="tx1"/>
                  </w14:solidFill>
                </w14:textFill>
              </w:rPr>
              <w:t>/甲醇</w:t>
            </w:r>
            <w:r>
              <w:rPr>
                <w:b w:val="0"/>
                <w:color w:val="000000" w:themeColor="text1"/>
                <w14:textFill>
                  <w14:solidFill>
                    <w14:schemeClr w14:val="tx1"/>
                  </w14:solidFill>
                </w14:textFill>
              </w:rPr>
              <w:t>/废水泄漏，柴油/原油</w:t>
            </w:r>
            <w:r>
              <w:rPr>
                <w:rFonts w:hint="eastAsia"/>
                <w:b w:val="0"/>
                <w:color w:val="000000" w:themeColor="text1"/>
                <w:lang w:val="en-US" w:eastAsia="zh-CN"/>
                <w14:textFill>
                  <w14:solidFill>
                    <w14:schemeClr w14:val="tx1"/>
                  </w14:solidFill>
                </w14:textFill>
              </w:rPr>
              <w:t>/甲醇</w:t>
            </w:r>
            <w:r>
              <w:rPr>
                <w:b w:val="0"/>
                <w:color w:val="000000" w:themeColor="text1"/>
                <w14:textFill>
                  <w14:solidFill>
                    <w14:schemeClr w14:val="tx1"/>
                  </w14:solidFill>
                </w14:textFill>
              </w:rPr>
              <w:t>/废水泄漏后污染土壤，污染物有可能通过包气带渗漏进入地下含水层，污染地下水；泄漏的柴油/原油</w:t>
            </w:r>
            <w:r>
              <w:rPr>
                <w:rFonts w:hint="eastAsia"/>
                <w:b w:val="0"/>
                <w:color w:val="000000" w:themeColor="text1"/>
                <w:lang w:val="en-US" w:eastAsia="zh-CN"/>
                <w14:textFill>
                  <w14:solidFill>
                    <w14:schemeClr w14:val="tx1"/>
                  </w14:solidFill>
                </w14:textFill>
              </w:rPr>
              <w:t>/甲醇</w:t>
            </w:r>
            <w:r>
              <w:rPr>
                <w:b w:val="0"/>
                <w:color w:val="000000" w:themeColor="text1"/>
                <w14:textFill>
                  <w14:solidFill>
                    <w14:schemeClr w14:val="tx1"/>
                  </w14:solidFill>
                </w14:textFill>
              </w:rPr>
              <w:t>若遇明火，发生火灾、爆炸，污染大气环境。若防渗膜破损，泄漏的含油物质对土壤环境和地下水环境可能产生一定的影响。</w:t>
            </w:r>
          </w:p>
          <w:p w14:paraId="2C4F9754">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7.4 环境风险分析</w:t>
            </w:r>
          </w:p>
          <w:p w14:paraId="046D3B19">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1</w:t>
            </w:r>
            <w:r>
              <w:rPr>
                <w:bCs/>
                <w:color w:val="000000" w:themeColor="text1"/>
                <w:szCs w:val="21"/>
                <w:lang w:val="zh-CN"/>
                <w14:textFill>
                  <w14:solidFill>
                    <w14:schemeClr w14:val="tx1"/>
                  </w14:solidFill>
                </w14:textFill>
              </w:rPr>
              <w:t>）井喷环境影响分析</w:t>
            </w:r>
          </w:p>
          <w:p w14:paraId="6D80EFCB">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井喷事故一旦发生，大量的油气喷出井口，散落于井场周围，据类比资料显示，井喷范围内土壤表层可见有蜡状的原油喷散物，井喷的影响范围及影响程度较大。但从事故井区土壤剖面分析，井喷事故后石油类污染物主要聚集在土壤剖面1m以内。</w:t>
            </w:r>
          </w:p>
          <w:p w14:paraId="067C240E">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①</w:t>
            </w:r>
            <w:r>
              <w:rPr>
                <w:bCs/>
                <w:color w:val="000000" w:themeColor="text1"/>
                <w:szCs w:val="21"/>
                <w:lang w:val="zh-CN"/>
                <w14:textFill>
                  <w14:solidFill>
                    <w14:schemeClr w14:val="tx1"/>
                  </w14:solidFill>
                </w14:textFill>
              </w:rPr>
              <w:t>对大气环境影响分析</w:t>
            </w:r>
          </w:p>
          <w:p w14:paraId="637FD060">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发生井喷失控事故后，伴生气挥发产生的非甲烷总烃进入环境空气，可能会对周围环境空气产生影响。若遇明火可能发生火灾、爆炸，随之产生的伴生、次生污染物会对环境空气产生一定的影响，并对环境和施工人员产生一定危害，主要危害包括：</w:t>
            </w:r>
            <w:r>
              <w:rPr>
                <w:rFonts w:hint="eastAsia"/>
                <w:bCs/>
                <w:color w:val="000000" w:themeColor="text1"/>
                <w:szCs w:val="21"/>
                <w14:textFill>
                  <w14:solidFill>
                    <w14:schemeClr w14:val="tx1"/>
                  </w14:solidFill>
                </w14:textFill>
              </w:rPr>
              <w:t>a、</w:t>
            </w:r>
            <w:r>
              <w:rPr>
                <w:bCs/>
                <w:color w:val="000000" w:themeColor="text1"/>
                <w:szCs w:val="21"/>
                <w:lang w:val="zh-CN"/>
                <w14:textFill>
                  <w14:solidFill>
                    <w14:schemeClr w14:val="tx1"/>
                  </w14:solidFill>
                </w14:textFill>
              </w:rPr>
              <w:t>遇明火可能发生火灾或爆炸事故，造成人员伤亡；※烃类气体以及火灾或爆炸事故次生污染物CO对人体的毒性危害，对周围的大气环境及施工人员造成影响。</w:t>
            </w:r>
            <w:r>
              <w:rPr>
                <w:rFonts w:hint="eastAsia"/>
                <w:bCs/>
                <w:color w:val="000000" w:themeColor="text1"/>
                <w:szCs w:val="21"/>
                <w14:textFill>
                  <w14:solidFill>
                    <w14:schemeClr w14:val="tx1"/>
                  </w14:solidFill>
                </w14:textFill>
              </w:rPr>
              <w:t>b、</w:t>
            </w:r>
            <w:r>
              <w:rPr>
                <w:bCs/>
                <w:color w:val="000000" w:themeColor="text1"/>
                <w:szCs w:val="21"/>
                <w:lang w:val="zh-CN"/>
                <w14:textFill>
                  <w14:solidFill>
                    <w14:schemeClr w14:val="tx1"/>
                  </w14:solidFill>
                </w14:textFill>
              </w:rPr>
              <w:t>伴生气中的甲烷和硫化氢进入大气后，可能会造成中毒事件。</w:t>
            </w:r>
          </w:p>
          <w:p w14:paraId="3969E1EB">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由于地域空旷，扩散条件较好，发生事故后，及时采取相应的措施，不会对周围环境空气产生明显影响。</w:t>
            </w:r>
          </w:p>
          <w:p w14:paraId="2E0CD58E">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②</w:t>
            </w:r>
            <w:r>
              <w:rPr>
                <w:bCs/>
                <w:color w:val="000000" w:themeColor="text1"/>
                <w:szCs w:val="21"/>
                <w:lang w:val="zh-CN"/>
                <w14:textFill>
                  <w14:solidFill>
                    <w14:schemeClr w14:val="tx1"/>
                  </w14:solidFill>
                </w14:textFill>
              </w:rPr>
              <w:t>对地下水环境影响分析</w:t>
            </w:r>
          </w:p>
          <w:p w14:paraId="3D69729E">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根据类比调查，从事故井区土壤剖面分析，井喷失控事故后石油类污染物主要被拦截在包气带土壤剖面1m以内，同时因为气候干旱少雨，不存在大量降水的淋滤作用，因此对地下水体的影响概率不大。及时清理井喷事故中落地原油，对可回收原油进行回收，落地油收集后交由具有相应危废处置资质的单位进行回收处置，及时采取上述有效措施治理污染后，井喷不会造成地下水污染。</w:t>
            </w:r>
          </w:p>
          <w:p w14:paraId="115EDC8F">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③</w:t>
            </w:r>
            <w:r>
              <w:rPr>
                <w:bCs/>
                <w:color w:val="000000" w:themeColor="text1"/>
                <w:szCs w:val="21"/>
                <w:lang w:val="zh-CN"/>
                <w14:textFill>
                  <w14:solidFill>
                    <w14:schemeClr w14:val="tx1"/>
                  </w14:solidFill>
                </w14:textFill>
              </w:rPr>
              <w:t>对土壤环境影响分析</w:t>
            </w:r>
          </w:p>
          <w:p w14:paraId="7F402686">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井喷失控事故使井喷影响范围内的土壤理化性质发生变化，破坏土壤结构，影响土壤的通透性、降低土壤质量，油污黏在植被根系上，形成一层黏膜，阻碍植被根系养分和水分的吸收，引起根系腐烂，影响野生植被的生长。事故发生后及时清理现场，对可回收原油进行回收，不能回收的原油和受污染的土壤形成落地油，落地油集中收集后由有相应危废处置资质的单位进行回收处置，将井喷事故对周边植被的影响降至最低。</w:t>
            </w:r>
          </w:p>
          <w:p w14:paraId="5B12D4F2">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④</w:t>
            </w:r>
            <w:r>
              <w:rPr>
                <w:bCs/>
                <w:color w:val="000000" w:themeColor="text1"/>
                <w:szCs w:val="21"/>
                <w:lang w:val="zh-CN"/>
                <w14:textFill>
                  <w14:solidFill>
                    <w14:schemeClr w14:val="tx1"/>
                  </w14:solidFill>
                </w14:textFill>
              </w:rPr>
              <w:t>对植被</w:t>
            </w:r>
            <w:r>
              <w:rPr>
                <w:rFonts w:hint="eastAsia"/>
                <w:bCs/>
                <w:color w:val="000000" w:themeColor="text1"/>
                <w:szCs w:val="21"/>
                <w:lang w:val="zh-CN"/>
                <w14:textFill>
                  <w14:solidFill>
                    <w14:schemeClr w14:val="tx1"/>
                  </w14:solidFill>
                </w14:textFill>
              </w:rPr>
              <w:t>、</w:t>
            </w:r>
            <w:r>
              <w:rPr>
                <w:rFonts w:hint="eastAsia"/>
                <w:bCs/>
                <w:color w:val="000000" w:themeColor="text1"/>
                <w:szCs w:val="21"/>
                <w14:textFill>
                  <w14:solidFill>
                    <w14:schemeClr w14:val="tx1"/>
                  </w14:solidFill>
                </w14:textFill>
              </w:rPr>
              <w:t>其他草地、农田</w:t>
            </w:r>
            <w:r>
              <w:rPr>
                <w:bCs/>
                <w:color w:val="000000" w:themeColor="text1"/>
                <w:szCs w:val="21"/>
                <w:lang w:val="zh-CN"/>
                <w14:textFill>
                  <w14:solidFill>
                    <w14:schemeClr w14:val="tx1"/>
                  </w14:solidFill>
                </w14:textFill>
              </w:rPr>
              <w:t>影响分析</w:t>
            </w:r>
          </w:p>
          <w:p w14:paraId="7C8021E6">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井喷事故发生后，喷出的油类物质可能对周围自然植被产生一定的影响，井场周围半径200m范围内的自然植被将全部由于石油类污染而使其呼吸受阻，不能进行正常光合作用而死亡；</w:t>
            </w:r>
            <w:r>
              <w:rPr>
                <w:rFonts w:hint="eastAsia"/>
                <w:bCs/>
                <w:color w:val="000000" w:themeColor="text1"/>
                <w:szCs w:val="21"/>
                <w14:textFill>
                  <w14:solidFill>
                    <w14:schemeClr w14:val="tx1"/>
                  </w14:solidFill>
                </w14:textFill>
              </w:rPr>
              <w:t>本项目南侧</w:t>
            </w:r>
            <w:r>
              <w:rPr>
                <w:rFonts w:hint="eastAsia"/>
                <w:bCs/>
                <w:color w:val="000000" w:themeColor="text1"/>
                <w:szCs w:val="21"/>
                <w:lang w:val="zh-CN"/>
                <w14:textFill>
                  <w14:solidFill>
                    <w14:schemeClr w14:val="tx1"/>
                  </w14:solidFill>
                </w14:textFill>
              </w:rPr>
              <w:t>最近距离本项目井场55m</w:t>
            </w:r>
            <w:r>
              <w:rPr>
                <w:rFonts w:hint="eastAsia"/>
                <w:bCs/>
                <w:color w:val="000000" w:themeColor="text1"/>
                <w:szCs w:val="21"/>
                <w14:textFill>
                  <w14:solidFill>
                    <w14:schemeClr w14:val="tx1"/>
                  </w14:solidFill>
                </w14:textFill>
              </w:rPr>
              <w:t>处有农田</w:t>
            </w:r>
            <w:r>
              <w:rPr>
                <w:rFonts w:hint="eastAsia"/>
                <w:bCs/>
                <w:color w:val="000000" w:themeColor="text1"/>
                <w:szCs w:val="21"/>
                <w:lang w:val="zh-CN"/>
                <w14:textFill>
                  <w14:solidFill>
                    <w14:schemeClr w14:val="tx1"/>
                  </w14:solidFill>
                </w14:textFill>
              </w:rPr>
              <w:t>，</w:t>
            </w:r>
            <w:r>
              <w:rPr>
                <w:bCs/>
                <w:color w:val="000000" w:themeColor="text1"/>
                <w:szCs w:val="21"/>
                <w:lang w:val="zh-CN"/>
                <w14:textFill>
                  <w14:solidFill>
                    <w14:schemeClr w14:val="tx1"/>
                  </w14:solidFill>
                </w14:textFill>
              </w:rPr>
              <w:t>原油进入土壤后与土壤结合，渗入土壤孔隙，使土壤透气性和呼吸作用减弱，改变了土壤质地和结构，影响到土壤的生物功能，进而造成生长其上的植物和土壤动物的死亡，这种影响会导致污染地段多年无法生长植物或长势减弱，甚至使这一区域变为裸地。由于这一影响使土壤结构受石油类污染而发生变化，因此，被污染区域的植被不易恢复。若井喷时发生火灾，结果将使燃烧范围内的植被全部死亡。必须采取严格有效的风险防范措施，防止、降低井喷事故风险发生。事故发生后应及时清理现场，及时清理沾染油污的植被，对落地油进行回收</w:t>
            </w:r>
            <w:r>
              <w:rPr>
                <w:rFonts w:hint="eastAsia"/>
                <w:bCs/>
                <w:color w:val="000000" w:themeColor="text1"/>
                <w:szCs w:val="21"/>
                <w:lang w:val="zh-CN"/>
                <w14:textFill>
                  <w14:solidFill>
                    <w14:schemeClr w14:val="tx1"/>
                  </w14:solidFill>
                </w14:textFill>
              </w:rPr>
              <w:t>，将</w:t>
            </w:r>
            <w:r>
              <w:rPr>
                <w:bCs/>
                <w:color w:val="000000" w:themeColor="text1"/>
                <w:szCs w:val="21"/>
                <w:lang w:val="zh-CN"/>
                <w14:textFill>
                  <w14:solidFill>
                    <w14:schemeClr w14:val="tx1"/>
                  </w14:solidFill>
                </w14:textFill>
              </w:rPr>
              <w:t>受污染的土壤集中收集后由有相应危废处置资质的单位进行回收处置，将井喷事故对周边植被的影响降至最低。</w:t>
            </w:r>
          </w:p>
          <w:p w14:paraId="5AA17A86">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2</w:t>
            </w:r>
            <w:r>
              <w:rPr>
                <w:bCs/>
                <w:color w:val="000000" w:themeColor="text1"/>
                <w:szCs w:val="21"/>
                <w:lang w:val="zh-CN"/>
                <w14:textFill>
                  <w14:solidFill>
                    <w14:schemeClr w14:val="tx1"/>
                  </w14:solidFill>
                </w14:textFill>
              </w:rPr>
              <w:t>）泄漏环境影响分析</w:t>
            </w:r>
          </w:p>
          <w:p w14:paraId="7FE65E30">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本项目在钻井和试油过程中会在井场布置柴油储罐、</w:t>
            </w:r>
            <w:r>
              <w:rPr>
                <w:rFonts w:hint="eastAsia"/>
                <w:bCs/>
                <w:color w:val="000000" w:themeColor="text1"/>
                <w:szCs w:val="21"/>
                <w:lang w:val="en-US" w:eastAsia="zh-CN"/>
                <w14:textFill>
                  <w14:solidFill>
                    <w14:schemeClr w14:val="tx1"/>
                  </w14:solidFill>
                </w14:textFill>
              </w:rPr>
              <w:t>甲醇储罐、</w:t>
            </w:r>
            <w:r>
              <w:rPr>
                <w:bCs/>
                <w:color w:val="000000" w:themeColor="text1"/>
                <w:szCs w:val="21"/>
                <w:lang w:val="zh-CN"/>
                <w14:textFill>
                  <w14:solidFill>
                    <w14:schemeClr w14:val="tx1"/>
                  </w14:solidFill>
                </w14:textFill>
              </w:rPr>
              <w:t>试油采出液储罐等，一旦储罐发生泄漏，会对周围环境空气、水体、土壤和</w:t>
            </w:r>
            <w:r>
              <w:rPr>
                <w:rFonts w:hint="eastAsia"/>
                <w:bCs/>
                <w:color w:val="000000" w:themeColor="text1"/>
                <w:szCs w:val="21"/>
                <w:lang w:val="zh-CN"/>
                <w14:textFill>
                  <w14:solidFill>
                    <w14:schemeClr w14:val="tx1"/>
                  </w14:solidFill>
                </w14:textFill>
              </w:rPr>
              <w:t>植被</w:t>
            </w:r>
            <w:r>
              <w:rPr>
                <w:bCs/>
                <w:color w:val="000000" w:themeColor="text1"/>
                <w:szCs w:val="21"/>
                <w:lang w:val="zh-CN"/>
                <w14:textFill>
                  <w14:solidFill>
                    <w14:schemeClr w14:val="tx1"/>
                  </w14:solidFill>
                </w14:textFill>
              </w:rPr>
              <w:t>造成一定的不利影响。</w:t>
            </w:r>
          </w:p>
          <w:p w14:paraId="43B84CC6">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①</w:t>
            </w:r>
            <w:r>
              <w:rPr>
                <w:bCs/>
                <w:color w:val="000000" w:themeColor="text1"/>
                <w:szCs w:val="21"/>
                <w:lang w:val="zh-CN"/>
                <w14:textFill>
                  <w14:solidFill>
                    <w14:schemeClr w14:val="tx1"/>
                  </w14:solidFill>
                </w14:textFill>
              </w:rPr>
              <w:t>对大气环境的影响</w:t>
            </w:r>
          </w:p>
          <w:p w14:paraId="10663328">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对大气环境的影响，主要考虑柴油储罐</w:t>
            </w:r>
            <w:r>
              <w:rPr>
                <w:rFonts w:hint="eastAsia"/>
                <w:bCs/>
                <w:color w:val="000000" w:themeColor="text1"/>
                <w:szCs w:val="21"/>
                <w:lang w:val="zh-CN"/>
                <w14:textFill>
                  <w14:solidFill>
                    <w14:schemeClr w14:val="tx1"/>
                  </w14:solidFill>
                </w14:textFill>
              </w:rPr>
              <w:t>、</w:t>
            </w:r>
            <w:r>
              <w:rPr>
                <w:rFonts w:hint="eastAsia"/>
                <w:bCs/>
                <w:color w:val="000000" w:themeColor="text1"/>
                <w:szCs w:val="21"/>
                <w:lang w:val="en-US" w:eastAsia="zh-CN"/>
                <w14:textFill>
                  <w14:solidFill>
                    <w14:schemeClr w14:val="tx1"/>
                  </w14:solidFill>
                </w14:textFill>
              </w:rPr>
              <w:t>甲醇储罐</w:t>
            </w:r>
            <w:r>
              <w:rPr>
                <w:bCs/>
                <w:color w:val="000000" w:themeColor="text1"/>
                <w:szCs w:val="21"/>
                <w:lang w:val="zh-CN"/>
                <w14:textFill>
                  <w14:solidFill>
                    <w14:schemeClr w14:val="tx1"/>
                  </w14:solidFill>
                </w14:textFill>
              </w:rPr>
              <w:t>及采出液储罐泄漏的影响，本项目评价范围内无自然保护区、风景名胜区、水源保护区、学校、医院、集中居住区等环境敏感点，即使发生泄漏造成周围居民点发生急性中毒和慢性中毒的危险性较小，因吸入中毒引起生命危险的可能性就更小。</w:t>
            </w:r>
          </w:p>
          <w:p w14:paraId="3BC5363C">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②</w:t>
            </w:r>
            <w:r>
              <w:rPr>
                <w:bCs/>
                <w:color w:val="000000" w:themeColor="text1"/>
                <w:szCs w:val="21"/>
                <w:lang w:val="zh-CN"/>
                <w14:textFill>
                  <w14:solidFill>
                    <w14:schemeClr w14:val="tx1"/>
                  </w14:solidFill>
                </w14:textFill>
              </w:rPr>
              <w:t>对土壤的影响</w:t>
            </w:r>
          </w:p>
          <w:p w14:paraId="17BE7830">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泄漏的油类物质可使土壤透气性下降、土壤理化性状发生变化。泄漏情况发生时，油类物质渗入土壤孔隙，使土壤透气性和呼吸作用减弱，影响土壤中的微生物生存，破坏土壤结构，增加土壤中石油类污染物，造成土地肥力下降，改变土壤的理化性质，影响土壤正常的结构和功能，从而造成植物生物的死亡。</w:t>
            </w:r>
          </w:p>
          <w:p w14:paraId="01157B7E">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③</w:t>
            </w:r>
            <w:r>
              <w:rPr>
                <w:bCs/>
                <w:color w:val="000000" w:themeColor="text1"/>
                <w:szCs w:val="21"/>
                <w:lang w:val="zh-CN"/>
                <w14:textFill>
                  <w14:solidFill>
                    <w14:schemeClr w14:val="tx1"/>
                  </w14:solidFill>
                </w14:textFill>
              </w:rPr>
              <w:t>对地下水的影响</w:t>
            </w:r>
          </w:p>
          <w:p w14:paraId="302F5123">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尽管液体在土壤渗漏过程中土壤层吸附会延缓液体的下渗进入地下水，但在长期的作用下，发生渗漏的液体仍可能对地下水造成污染。</w:t>
            </w:r>
          </w:p>
          <w:p w14:paraId="224886AE">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本项目勘探周期较短，各类储罐均采取钢制储罐，发生泄漏的概率极小，同时一旦发生泄漏会在较短时间内发现并采取堵漏措施，出现长期连续性泄漏的可能性很低，发生渗漏污染地下水风险事故概率较低。</w:t>
            </w:r>
          </w:p>
          <w:p w14:paraId="536393D2">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④</w:t>
            </w:r>
            <w:r>
              <w:rPr>
                <w:bCs/>
                <w:color w:val="000000" w:themeColor="text1"/>
                <w:szCs w:val="21"/>
                <w:lang w:val="zh-CN"/>
                <w14:textFill>
                  <w14:solidFill>
                    <w14:schemeClr w14:val="tx1"/>
                  </w14:solidFill>
                </w14:textFill>
              </w:rPr>
              <w:t>对植物影响分析</w:t>
            </w:r>
          </w:p>
          <w:p w14:paraId="2E2AAFE0">
            <w:pPr>
              <w:ind w:firstLine="480"/>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柴油、采出液等泄漏对植被的影响主要分为三种途径，一是泄漏物直接粘附于植物体阻断植物的光合作用，使植物枯萎、死亡；二是油类物质污染土壤造成的土壤理性化性状变化间接影响植物生长，严重时会导致植物死亡；三是泄漏的油类物质中的轻组分挥发，在对空气环境产生影响的同时，也对周围植物产生影响。发生事故后，及时采取救援措施，不会对周围植被产生明显影响。</w:t>
            </w:r>
          </w:p>
          <w:p w14:paraId="36A9F898">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7.5 环境风险评价结论</w:t>
            </w:r>
          </w:p>
          <w:p w14:paraId="31B2BF5A">
            <w:pPr>
              <w:ind w:firstLine="48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本项目设计中严格执行各种安全标准、规范，采取完善的安全措施，可有效地防止火灾、爆炸、泄漏、井喷等事故的发生。</w:t>
            </w:r>
          </w:p>
          <w:p w14:paraId="3163BB42">
            <w:pPr>
              <w:ind w:firstLine="48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本项目的环境风险在可接受范围之内。</w:t>
            </w:r>
          </w:p>
        </w:tc>
      </w:tr>
      <w:tr w14:paraId="78784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79" w:type="dxa"/>
            <w:tcMar>
              <w:left w:w="28" w:type="dxa"/>
              <w:right w:w="28" w:type="dxa"/>
            </w:tcMar>
            <w:vAlign w:val="center"/>
          </w:tcPr>
          <w:p w14:paraId="3FA5E1ED">
            <w:pPr>
              <w:pStyle w:val="14"/>
              <w:spacing w:before="0" w:beforeAutospacing="0" w:after="0" w:afterAutospacing="0" w:line="240" w:lineRule="auto"/>
              <w:ind w:firstLine="0" w:firstLineChars="0"/>
              <w:jc w:val="center"/>
              <w:rPr>
                <w:rFonts w:ascii="Times New Roman" w:hAnsi="Times New Roman"/>
                <w:bCs/>
                <w:color w:val="000000" w:themeColor="text1"/>
                <w:kern w:val="2"/>
                <w14:textFill>
                  <w14:solidFill>
                    <w14:schemeClr w14:val="tx1"/>
                  </w14:solidFill>
                </w14:textFill>
              </w:rPr>
            </w:pPr>
            <w:r>
              <w:rPr>
                <w:rFonts w:ascii="Times New Roman" w:hAnsi="Times New Roman"/>
                <w:bCs/>
                <w:color w:val="000000" w:themeColor="text1"/>
                <w:spacing w:val="10"/>
                <w:kern w:val="2"/>
                <w14:textFill>
                  <w14:solidFill>
                    <w14:schemeClr w14:val="tx1"/>
                  </w14:solidFill>
                </w14:textFill>
              </w:rPr>
              <w:t>运营期生态环境影响分析</w:t>
            </w:r>
          </w:p>
        </w:tc>
        <w:tc>
          <w:tcPr>
            <w:tcW w:w="8363" w:type="dxa"/>
          </w:tcPr>
          <w:p w14:paraId="59D917F0">
            <w:pPr>
              <w:pStyle w:val="32"/>
              <w:rPr>
                <w:rFonts w:ascii="Times New Roman" w:hAnsi="Times New Roman"/>
                <w:bCs/>
                <w:color w:val="000000" w:themeColor="text1"/>
                <w:szCs w:val="21"/>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无营运期，试油结束后视试油结果决定是否转为生产井，若可转为生产井，则应当在产能开发建设前开展环境影响评价工作。如发现该井不具开发价值或目的层不含油，则进行封井，拆除井口装置，截去地下1m内管头，最后清理场地，清除各种固体废弃物，恢复至相对自然的地貌。封井后，人员撤离，区域内没有了人为的扰动，井场范围内的自然植被会逐渐得以恢复，有助于区域生态环境的改善。</w:t>
            </w:r>
          </w:p>
        </w:tc>
      </w:tr>
      <w:tr w14:paraId="372DA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1" w:hRule="atLeast"/>
          <w:jc w:val="center"/>
        </w:trPr>
        <w:tc>
          <w:tcPr>
            <w:tcW w:w="879" w:type="dxa"/>
            <w:vAlign w:val="center"/>
          </w:tcPr>
          <w:p w14:paraId="383D57B0">
            <w:pPr>
              <w:pStyle w:val="14"/>
              <w:spacing w:before="0" w:beforeAutospacing="0" w:after="0" w:afterAutospacing="0" w:line="240" w:lineRule="auto"/>
              <w:ind w:firstLine="0" w:firstLineChars="0"/>
              <w:jc w:val="center"/>
              <w:rPr>
                <w:rFonts w:ascii="Times New Roman" w:hAnsi="Times New Roman"/>
                <w:bCs/>
                <w:color w:val="000000" w:themeColor="text1"/>
                <w:kern w:val="2"/>
                <w14:textFill>
                  <w14:solidFill>
                    <w14:schemeClr w14:val="tx1"/>
                  </w14:solidFill>
                </w14:textFill>
              </w:rPr>
            </w:pPr>
            <w:r>
              <w:rPr>
                <w:rFonts w:ascii="Times New Roman" w:hAnsi="Times New Roman"/>
                <w:bCs/>
                <w:color w:val="000000" w:themeColor="text1"/>
                <w:kern w:val="2"/>
                <w14:textFill>
                  <w14:solidFill>
                    <w14:schemeClr w14:val="tx1"/>
                  </w14:solidFill>
                </w14:textFill>
              </w:rPr>
              <w:t>选址选线环境合理性分析</w:t>
            </w:r>
          </w:p>
        </w:tc>
        <w:tc>
          <w:tcPr>
            <w:tcW w:w="8363" w:type="dxa"/>
            <w:vAlign w:val="center"/>
          </w:tcPr>
          <w:p w14:paraId="2459BA41">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根据《钻前工程及井场布置技术要求》（SY/T 5466-2013）中5.1井场布置技术要求“一般油、气井口距民房100m以外”。根据《石油天然气钻井井控技术</w:t>
            </w:r>
            <w:r>
              <w:rPr>
                <w:rFonts w:hint="eastAsia" w:ascii="Times New Roman" w:hAnsi="Times New Roman"/>
                <w:color w:val="000000" w:themeColor="text1"/>
                <w:sz w:val="24"/>
                <w:szCs w:val="24"/>
                <w14:textFill>
                  <w14:solidFill>
                    <w14:schemeClr w14:val="tx1"/>
                  </w14:solidFill>
                </w14:textFill>
              </w:rPr>
              <w:t>要求</w:t>
            </w:r>
            <w:r>
              <w:rPr>
                <w:rFonts w:ascii="Times New Roman" w:hAnsi="Times New Roman"/>
                <w:color w:val="000000" w:themeColor="text1"/>
                <w:sz w:val="24"/>
                <w:szCs w:val="24"/>
                <w14:textFill>
                  <w14:solidFill>
                    <w14:schemeClr w14:val="tx1"/>
                  </w14:solidFill>
                </w14:textFill>
              </w:rPr>
              <w:t>》（GB/T31033-20</w:t>
            </w:r>
            <w:r>
              <w:rPr>
                <w:rFonts w:hint="eastAsia" w:ascii="Times New Roman" w:hAnsi="Times New Roman"/>
                <w:color w:val="000000" w:themeColor="text1"/>
                <w:sz w:val="24"/>
                <w:szCs w:val="24"/>
                <w14:textFill>
                  <w14:solidFill>
                    <w14:schemeClr w14:val="tx1"/>
                  </w14:solidFill>
                </w14:textFill>
              </w:rPr>
              <w:t>25</w:t>
            </w:r>
            <w:r>
              <w:rPr>
                <w:rFonts w:ascii="Times New Roman" w:hAnsi="Times New Roman"/>
                <w:color w:val="000000" w:themeColor="text1"/>
                <w:sz w:val="24"/>
                <w:szCs w:val="24"/>
                <w14:textFill>
                  <w14:solidFill>
                    <w14:schemeClr w14:val="tx1"/>
                  </w14:solidFill>
                </w14:textFill>
              </w:rPr>
              <w:t>）中井控设计要求“油气井井口距高压线及其他永久性设施不小于75m；距居宅不小于100m；距铁路及高速公路不小于200m；距学校、医院、油库、人口密集及高危场所等不小于500m”。本项目各井口均不在铁路、高速公路、国道、省道等重要交通干线两侧200m范围以内，不在重要工业区、大型水利工程设施、城镇市政工程设施所在区域，军事管理区、机场、国防工程设施圈定的区域；也符合《新疆维吾尔自治区重点行业环境准入条件（2024年）》（新环环评发〔2024〕93号）要求。</w:t>
            </w:r>
          </w:p>
          <w:p w14:paraId="214B15C0">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本项目不在自然保护区、风景名胜区、饮用水水源保护区等特殊敏感区域和重要生态敏感区域内，符合区域经济发展规划、环保规划，无重大环境制约因素。本工程土地利用类型为</w:t>
            </w:r>
            <w:r>
              <w:rPr>
                <w:rFonts w:hint="eastAsia" w:ascii="Times New Roman" w:hAnsi="Times New Roman"/>
                <w:color w:val="000000" w:themeColor="text1"/>
                <w:sz w:val="24"/>
                <w:szCs w:val="24"/>
                <w14:textFill>
                  <w14:solidFill>
                    <w14:schemeClr w14:val="tx1"/>
                  </w14:solidFill>
                </w14:textFill>
              </w:rPr>
              <w:t>其他草地</w:t>
            </w:r>
            <w:r>
              <w:rPr>
                <w:rFonts w:ascii="Times New Roman" w:hAnsi="Times New Roman"/>
                <w:color w:val="000000" w:themeColor="text1"/>
                <w:sz w:val="24"/>
                <w:szCs w:val="24"/>
                <w14:textFill>
                  <w14:solidFill>
                    <w14:schemeClr w14:val="tx1"/>
                  </w14:solidFill>
                </w14:textFill>
              </w:rPr>
              <w:t>，不占用基本农田，不占用公益林</w:t>
            </w:r>
            <w:r>
              <w:rPr>
                <w:rFonts w:hint="eastAsia" w:ascii="Times New Roman" w:hAnsi="Times New Roman"/>
                <w:color w:val="000000" w:themeColor="text1"/>
                <w:sz w:val="24"/>
                <w:szCs w:val="24"/>
                <w14:textFill>
                  <w14:solidFill>
                    <w14:schemeClr w14:val="tx1"/>
                  </w14:solidFill>
                </w14:textFill>
              </w:rPr>
              <w:t>，植被覆盖度10</w:t>
            </w:r>
            <w:r>
              <w:rPr>
                <w:rFonts w:hint="eastAsia" w:ascii="Times New Roman" w:hAnsi="Times New Roman"/>
                <w:color w:val="000000" w:themeColor="text1"/>
                <w:sz w:val="24"/>
                <w:szCs w:val="24"/>
                <w:lang w:val="en-US" w:eastAsia="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左右，本项目临时占地面积29072m</w:t>
            </w:r>
            <w:r>
              <w:rPr>
                <w:rFonts w:hint="eastAsia" w:ascii="Times New Roman" w:hAnsi="Times New Roman"/>
                <w:color w:val="000000" w:themeColor="text1"/>
                <w:sz w:val="24"/>
                <w:szCs w:val="24"/>
                <w:vertAlign w:val="superscript"/>
                <w14:textFill>
                  <w14:solidFill>
                    <w14:schemeClr w14:val="tx1"/>
                  </w14:solidFill>
                </w14:textFill>
              </w:rPr>
              <w:t>2</w:t>
            </w:r>
            <w:r>
              <w:rPr>
                <w:rFonts w:hint="eastAsia" w:ascii="Times New Roman" w:hAnsi="Times New Roman"/>
                <w:color w:val="000000" w:themeColor="text1"/>
                <w:sz w:val="24"/>
                <w:szCs w:val="24"/>
                <w14:textFill>
                  <w14:solidFill>
                    <w14:schemeClr w14:val="tx1"/>
                  </w14:solidFill>
                </w14:textFill>
              </w:rPr>
              <w:t>，本项目</w:t>
            </w:r>
            <w:r>
              <w:rPr>
                <w:rFonts w:ascii="Times New Roman" w:hAnsi="Times New Roman"/>
                <w:color w:val="000000" w:themeColor="text1"/>
                <w:kern w:val="0"/>
                <w:sz w:val="24"/>
                <w:szCs w:val="24"/>
                <w:lang w:bidi="ar"/>
                <w14:textFill>
                  <w14:solidFill>
                    <w14:schemeClr w14:val="tx1"/>
                  </w14:solidFill>
                </w14:textFill>
              </w:rPr>
              <w:t>征地手续还在办理中</w:t>
            </w:r>
            <w:r>
              <w:rPr>
                <w:rFonts w:hint="eastAsia" w:ascii="Times New Roman" w:hAnsi="Times New Roman"/>
                <w:color w:val="000000" w:themeColor="text1"/>
                <w:kern w:val="0"/>
                <w:sz w:val="24"/>
                <w:szCs w:val="24"/>
                <w:lang w:bidi="ar"/>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土壤扰动面积控制在临时占地面积范围内，项目周边已有建成道路，本项目临时道路建设路段较短，</w:t>
            </w:r>
            <w:r>
              <w:rPr>
                <w:rFonts w:ascii="Times New Roman" w:hAnsi="Times New Roman"/>
                <w:color w:val="000000" w:themeColor="text1"/>
                <w:sz w:val="24"/>
                <w:szCs w:val="24"/>
                <w14:textFill>
                  <w14:solidFill>
                    <w14:schemeClr w14:val="tx1"/>
                  </w14:solidFill>
                </w14:textFill>
              </w:rPr>
              <w:t>对项目区的生态影响呈点状分布，仅影响井场占地范围内土壤、植被等。本工程钻井结束后对临时占地进行地貌恢复，工程造成的生物量损失较小。</w:t>
            </w:r>
          </w:p>
          <w:p w14:paraId="588E1AD3">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综上，本项目选址选线是合理的。</w:t>
            </w:r>
          </w:p>
          <w:p w14:paraId="5EA7F3B5">
            <w:pPr>
              <w:pStyle w:val="32"/>
              <w:jc w:val="both"/>
              <w:rPr>
                <w:rFonts w:ascii="Times New Roman" w:hAnsi="Times New Roman"/>
                <w:color w:val="000000" w:themeColor="text1"/>
                <w:sz w:val="24"/>
                <w:szCs w:val="24"/>
                <w14:textFill>
                  <w14:solidFill>
                    <w14:schemeClr w14:val="tx1"/>
                  </w14:solidFill>
                </w14:textFill>
              </w:rPr>
            </w:pPr>
          </w:p>
          <w:p w14:paraId="6C3D4589">
            <w:pPr>
              <w:pStyle w:val="32"/>
              <w:jc w:val="both"/>
              <w:rPr>
                <w:rFonts w:ascii="Times New Roman" w:hAnsi="Times New Roman"/>
                <w:color w:val="000000" w:themeColor="text1"/>
                <w:sz w:val="24"/>
                <w:szCs w:val="24"/>
                <w14:textFill>
                  <w14:solidFill>
                    <w14:schemeClr w14:val="tx1"/>
                  </w14:solidFill>
                </w14:textFill>
              </w:rPr>
            </w:pPr>
          </w:p>
          <w:p w14:paraId="05A1905C">
            <w:pPr>
              <w:pStyle w:val="32"/>
              <w:jc w:val="both"/>
              <w:rPr>
                <w:rFonts w:ascii="Times New Roman" w:hAnsi="Times New Roman"/>
                <w:color w:val="000000" w:themeColor="text1"/>
                <w:sz w:val="24"/>
                <w:szCs w:val="24"/>
                <w14:textFill>
                  <w14:solidFill>
                    <w14:schemeClr w14:val="tx1"/>
                  </w14:solidFill>
                </w14:textFill>
              </w:rPr>
            </w:pPr>
          </w:p>
          <w:p w14:paraId="222BC901">
            <w:pPr>
              <w:pStyle w:val="32"/>
              <w:jc w:val="both"/>
              <w:rPr>
                <w:rFonts w:ascii="Times New Roman" w:hAnsi="Times New Roman"/>
                <w:color w:val="000000" w:themeColor="text1"/>
                <w:sz w:val="24"/>
                <w:szCs w:val="24"/>
                <w14:textFill>
                  <w14:solidFill>
                    <w14:schemeClr w14:val="tx1"/>
                  </w14:solidFill>
                </w14:textFill>
              </w:rPr>
            </w:pPr>
          </w:p>
          <w:p w14:paraId="04CAEBF5">
            <w:pPr>
              <w:pStyle w:val="32"/>
              <w:jc w:val="both"/>
              <w:rPr>
                <w:rFonts w:ascii="Times New Roman" w:hAnsi="Times New Roman"/>
                <w:color w:val="000000" w:themeColor="text1"/>
                <w:sz w:val="24"/>
                <w:szCs w:val="24"/>
                <w14:textFill>
                  <w14:solidFill>
                    <w14:schemeClr w14:val="tx1"/>
                  </w14:solidFill>
                </w14:textFill>
              </w:rPr>
            </w:pPr>
          </w:p>
          <w:p w14:paraId="77CAB924">
            <w:pPr>
              <w:pStyle w:val="32"/>
              <w:ind w:firstLine="560"/>
              <w:jc w:val="both"/>
              <w:rPr>
                <w:rFonts w:ascii="Times New Roman" w:hAnsi="Times New Roman"/>
                <w:bCs/>
                <w:color w:val="000000" w:themeColor="text1"/>
                <w:szCs w:val="21"/>
                <w14:textFill>
                  <w14:solidFill>
                    <w14:schemeClr w14:val="tx1"/>
                  </w14:solidFill>
                </w14:textFill>
              </w:rPr>
            </w:pPr>
          </w:p>
        </w:tc>
      </w:tr>
    </w:tbl>
    <w:p w14:paraId="6C9B6148">
      <w:pPr>
        <w:pStyle w:val="14"/>
        <w:jc w:val="center"/>
        <w:rPr>
          <w:rFonts w:ascii="Times New Roman" w:hAnsi="Times New Roman" w:eastAsia="黑体"/>
          <w:snapToGrid w:val="0"/>
          <w:color w:val="000000" w:themeColor="text1"/>
          <w:sz w:val="36"/>
          <w:szCs w:val="36"/>
          <w14:textFill>
            <w14:solidFill>
              <w14:schemeClr w14:val="tx1"/>
            </w14:solidFill>
          </w14:textFill>
        </w:rPr>
        <w:sectPr>
          <w:pgSz w:w="11906" w:h="16838"/>
          <w:pgMar w:top="1701" w:right="1531" w:bottom="1701" w:left="1531" w:header="851" w:footer="1077" w:gutter="0"/>
          <w:cols w:space="720" w:num="1"/>
          <w:docGrid w:linePitch="312" w:charSpace="0"/>
        </w:sectPr>
      </w:pPr>
    </w:p>
    <w:p w14:paraId="1FEFF6CD">
      <w:pPr>
        <w:pStyle w:val="14"/>
        <w:spacing w:before="0" w:beforeAutospacing="0" w:after="0" w:afterAutospacing="0" w:line="14" w:lineRule="auto"/>
        <w:ind w:firstLine="600"/>
        <w:jc w:val="center"/>
        <w:rPr>
          <w:rFonts w:ascii="Times New Roman" w:hAnsi="Times New Roman" w:eastAsia="黑体"/>
          <w:snapToGrid w:val="0"/>
          <w:color w:val="000000" w:themeColor="text1"/>
          <w:sz w:val="30"/>
          <w:szCs w:val="30"/>
          <w14:textFill>
            <w14:solidFill>
              <w14:schemeClr w14:val="tx1"/>
            </w14:solidFill>
          </w14:textFill>
        </w:rPr>
      </w:pPr>
    </w:p>
    <w:p w14:paraId="53DBE2D3">
      <w:pPr>
        <w:pStyle w:val="14"/>
        <w:keepLines/>
        <w:ind w:firstLine="600"/>
        <w:jc w:val="center"/>
        <w:outlineLvl w:val="0"/>
        <w:rPr>
          <w:rFonts w:ascii="Times New Roman" w:hAnsi="Times New Roman" w:eastAsia="黑体"/>
          <w:snapToGrid w:val="0"/>
          <w:color w:val="000000" w:themeColor="text1"/>
          <w:sz w:val="30"/>
          <w:szCs w:val="30"/>
          <w14:textFill>
            <w14:solidFill>
              <w14:schemeClr w14:val="tx1"/>
            </w14:solidFill>
          </w14:textFill>
        </w:rPr>
      </w:pPr>
      <w:r>
        <w:rPr>
          <w:rFonts w:ascii="Times New Roman" w:hAnsi="Times New Roman" w:eastAsia="黑体"/>
          <w:snapToGrid w:val="0"/>
          <w:color w:val="000000" w:themeColor="text1"/>
          <w:sz w:val="30"/>
          <w:szCs w:val="30"/>
          <w14:textFill>
            <w14:solidFill>
              <w14:schemeClr w14:val="tx1"/>
            </w14:solidFill>
          </w14:textFill>
        </w:rPr>
        <w:t>五、主要生态环境保护措施</w:t>
      </w:r>
    </w:p>
    <w:tbl>
      <w:tblPr>
        <w:tblStyle w:val="16"/>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457"/>
      </w:tblGrid>
      <w:tr w14:paraId="4FB50F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53" w:type="dxa"/>
            <w:tcMar>
              <w:left w:w="28" w:type="dxa"/>
              <w:right w:w="28" w:type="dxa"/>
            </w:tcMar>
            <w:vAlign w:val="center"/>
          </w:tcPr>
          <w:p w14:paraId="35999604">
            <w:pPr>
              <w:spacing w:line="240" w:lineRule="auto"/>
              <w:ind w:firstLine="0" w:firstLineChars="0"/>
              <w:jc w:val="center"/>
              <w:rPr>
                <w:bCs/>
                <w:color w:val="000000" w:themeColor="text1"/>
                <w:spacing w:val="10"/>
                <w:szCs w:val="21"/>
                <w14:textFill>
                  <w14:solidFill>
                    <w14:schemeClr w14:val="tx1"/>
                  </w14:solidFill>
                </w14:textFill>
              </w:rPr>
            </w:pPr>
            <w:r>
              <w:rPr>
                <w:bCs/>
                <w:color w:val="000000" w:themeColor="text1"/>
                <w:spacing w:val="10"/>
                <w:szCs w:val="21"/>
                <w14:textFill>
                  <w14:solidFill>
                    <w14:schemeClr w14:val="tx1"/>
                  </w14:solidFill>
                </w14:textFill>
              </w:rPr>
              <w:t>施工期生态环境保护措施</w:t>
            </w:r>
          </w:p>
        </w:tc>
        <w:tc>
          <w:tcPr>
            <w:tcW w:w="8457" w:type="dxa"/>
          </w:tcPr>
          <w:p w14:paraId="601CD75E">
            <w:pPr>
              <w:keepNext/>
              <w:keepLines/>
              <w:ind w:firstLine="0" w:firstLineChars="0"/>
              <w:jc w:val="left"/>
              <w:outlineLvl w:val="2"/>
              <w:rPr>
                <w:b/>
                <w:bCs/>
                <w:color w:val="000000" w:themeColor="text1"/>
                <w:sz w:val="28"/>
                <w:szCs w:val="28"/>
                <w14:textFill>
                  <w14:solidFill>
                    <w14:schemeClr w14:val="tx1"/>
                  </w14:solidFill>
                </w14:textFill>
              </w:rPr>
            </w:pPr>
            <w:bookmarkStart w:id="30" w:name="_Hlk26201142"/>
            <w:r>
              <w:rPr>
                <w:b/>
                <w:bCs/>
                <w:color w:val="000000" w:themeColor="text1"/>
                <w:sz w:val="28"/>
                <w:szCs w:val="28"/>
                <w14:textFill>
                  <w14:solidFill>
                    <w14:schemeClr w14:val="tx1"/>
                  </w14:solidFill>
                </w14:textFill>
              </w:rPr>
              <w:t>1 生态环境保护措施</w:t>
            </w:r>
          </w:p>
          <w:p w14:paraId="4D7F08AA">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1.1 生态保护措施</w:t>
            </w:r>
          </w:p>
          <w:p w14:paraId="1D7C4198">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建设单位及施工单位应严格执行本次评价提出的生态环境保护措施，并确保各项保护措施与钻试工程同时设计、同时施工、同时使用。</w:t>
            </w:r>
          </w:p>
          <w:p w14:paraId="42ED23E8">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（1）工程避让措施</w:t>
            </w:r>
          </w:p>
          <w:p w14:paraId="1E876442">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建设单位在设计阶段应严格控制临时占地面积。尽量减少占地，并尽量避开植被密集的区域，避免破坏荒漠植物，最大限度避免破坏野生动物的活动场所和生存环境。</w:t>
            </w:r>
          </w:p>
          <w:p w14:paraId="4B1DFDCF">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（2）井场、道路、施工营地临时占地保护措施要求</w:t>
            </w:r>
          </w:p>
          <w:p w14:paraId="589ED320">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color w:val="000000" w:themeColor="text1"/>
                <w14:textFill>
                  <w14:solidFill>
                    <w14:schemeClr w14:val="tx1"/>
                  </w14:solidFill>
                </w14:textFill>
              </w:rPr>
              <w:t>临时性占地进行合理规划，严格控制占地面积，尽量选择在植被稀少的区域。</w:t>
            </w:r>
          </w:p>
          <w:p w14:paraId="6016662A">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color w:val="000000" w:themeColor="text1"/>
                <w14:textFill>
                  <w14:solidFill>
                    <w14:schemeClr w14:val="tx1"/>
                  </w14:solidFill>
                </w14:textFill>
              </w:rPr>
              <w:t>本项目临时占地期满后，占地单位需对临时占地进行清理，拆除临时建筑物，清除废弃材料，结合地形恢复场地并平整土地，做到工完料净场地清。</w:t>
            </w:r>
          </w:p>
          <w:p w14:paraId="565A368B">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（3）对</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的生态保护措施要求</w:t>
            </w:r>
          </w:p>
          <w:p w14:paraId="5DEB51CE">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①避让：设计选线过程中，避开植被较丰富的区域，避免破坏荒漠植物。</w:t>
            </w:r>
          </w:p>
          <w:p w14:paraId="27AE277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②减缓：严格遵守油田环境保护规章制度，严格划定车辆行驶路线及临时道路开拓路线，运输车辆应结合植被的分布情况，在限定的路线范围内行驶，禁止乱碾乱轧；严格规定各类工作人员的活动范围，使之限于在各工区范围内活动。各固体废物均得到妥善处置，现场禁止遗留任何固体废物，场地清理平整，尽量利用井场及临时道路施工时产生的表层弃土对临时占地进行恢复覆盖，覆盖厚度根据植被恢复类型和场地用途决定。</w:t>
            </w:r>
          </w:p>
          <w:p w14:paraId="5F2D2C6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③补偿：本项目施工前，应向当地相关主管部门办理征地手续，按照相关法律法规进行补偿。</w:t>
            </w:r>
            <w:r>
              <w:rPr>
                <w:rFonts w:hint="eastAsia" w:ascii="Times New Roman" w:hAnsi="Times New Roman"/>
                <w:color w:val="000000" w:themeColor="text1"/>
                <w:sz w:val="24"/>
                <w:szCs w:val="24"/>
                <w14:textFill>
                  <w14:solidFill>
                    <w14:schemeClr w14:val="tx1"/>
                  </w14:solidFill>
                </w14:textFill>
              </w:rPr>
              <w:t>本项目</w:t>
            </w:r>
            <w:r>
              <w:rPr>
                <w:rFonts w:ascii="Times New Roman" w:hAnsi="Times New Roman"/>
                <w:color w:val="000000" w:themeColor="text1"/>
                <w:sz w:val="24"/>
                <w:szCs w:val="24"/>
                <w14:textFill>
                  <w14:solidFill>
                    <w14:schemeClr w14:val="tx1"/>
                  </w14:solidFill>
                </w14:textFill>
              </w:rPr>
              <w:t>在办理征地手续，补偿方式为费用补偿。</w:t>
            </w:r>
          </w:p>
          <w:p w14:paraId="630DC814">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④强化风险意识：确保各环保设施正常运行，污水进罐、落地油回收、固体废物收集，避免各种污染物对土壤环境的影响从而进一步影响其上部生长的沙生植被。加强对施工人员和职工的教育，强化保护野生植物的观念，不得随意踩踏野生植物。制定切实可行的风险防范与应急预案，最大限度降低风险概率，避免可能发生的泄漏事故对荒漠野生植物生存环境造成威胁。</w:t>
            </w:r>
          </w:p>
          <w:p w14:paraId="22C1A4D9">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（4）对野生动物的生态环保措施</w:t>
            </w:r>
          </w:p>
          <w:p w14:paraId="79DDDCCA">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本工程设计选线过程中，最大限度避免破坏野生动物的活动场所和生存环境。为了更好的保护野生动物，建设单位在项目实施过程中要严格规定工作人员的活动范围，使之限于在施工作业带范围内活动，尽量不侵扰野生动物的栖息地。对施工人员开展保护野生动物宣传教育工作，强化保护野生动物的观念，禁止施工人员随意惊吓、捕猎、宰杀野生动物。避免在保护动物的繁殖期、迁徙期、育幼期等关键时期进行大规模高噪音、高干扰的施工活动。定期宣讲国家和自治区有关环境保护的法律、法规、条例、政策，如《中华人民共和国野生动物保护法》等，宣传野生动物保护知识等。设置“保护野生动植物”等警示牌。加强管理，确保各生产设施的正常运行，避免强噪声环境的出现，避免对野生动物的惊扰。</w:t>
            </w:r>
          </w:p>
          <w:p w14:paraId="4F6C27EB">
            <w:pPr>
              <w:ind w:firstLine="0" w:firstLineChars="0"/>
              <w:jc w:val="left"/>
              <w:outlineLvl w:val="2"/>
              <w:rPr>
                <w:b/>
                <w:bCs/>
                <w:color w:val="000000" w:themeColor="text1"/>
                <w:szCs w:val="32"/>
                <w14:textFill>
                  <w14:solidFill>
                    <w14:schemeClr w14:val="tx1"/>
                  </w14:solidFill>
                </w14:textFill>
              </w:rPr>
            </w:pPr>
            <w:r>
              <w:rPr>
                <w:b/>
                <w:bCs/>
                <w:color w:val="000000" w:themeColor="text1"/>
                <w:szCs w:val="32"/>
                <w14:textFill>
                  <w14:solidFill>
                    <w14:schemeClr w14:val="tx1"/>
                  </w14:solidFill>
                </w14:textFill>
              </w:rPr>
              <w:t>1.2 生态恢复方案</w:t>
            </w:r>
          </w:p>
          <w:p w14:paraId="03444A0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根据《矿山生态环境保护与恢复治理技术规范（试行）》（HJ651-2013）、《废弃井封井回填技术指南（试行）》和《陆上石油天然气开采业绿色矿山建设规范》（DZ/T0317-2018）中的要求，所有施工范围需进行生态环境保护与恢复治理，因此提出如下生态恢复措施。</w:t>
            </w:r>
          </w:p>
          <w:p w14:paraId="6DD79D7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（1）井场生态恢复措施</w:t>
            </w:r>
          </w:p>
          <w:p w14:paraId="03C1CD29">
            <w:pPr>
              <w:ind w:firstLine="480"/>
              <w:rPr>
                <w:color w:val="000000" w:themeColor="text1"/>
                <w14:textFill>
                  <w14:solidFill>
                    <w14:schemeClr w14:val="tx1"/>
                  </w14:solidFill>
                </w14:textFill>
              </w:rPr>
            </w:pPr>
            <w:r>
              <w:rPr>
                <w:color w:val="000000" w:themeColor="text1"/>
                <w14:textFill>
                  <w14:solidFill>
                    <w14:schemeClr w14:val="tx1"/>
                  </w14:solidFill>
                </w14:textFill>
              </w:rPr>
              <w:t>①钻试结束后施工现场禁止遗弃废物，固体废物全部回收，平整井场。</w:t>
            </w:r>
          </w:p>
          <w:p w14:paraId="3CE854F8">
            <w:pPr>
              <w:ind w:firstLine="480"/>
              <w:rPr>
                <w:color w:val="000000" w:themeColor="text1"/>
                <w14:textFill>
                  <w14:solidFill>
                    <w14:schemeClr w14:val="tx1"/>
                  </w14:solidFill>
                </w14:textFill>
              </w:rPr>
            </w:pPr>
            <w:r>
              <w:rPr>
                <w:color w:val="000000" w:themeColor="text1"/>
                <w14:textFill>
                  <w14:solidFill>
                    <w14:schemeClr w14:val="tx1"/>
                  </w14:solidFill>
                </w14:textFill>
              </w:rPr>
              <w:t>②在工程施工过程中和施工结束后，及时对施工场地进行平整，尽量利用井场及临时道路施工时产生的表层土对临时占地进行覆盖。</w:t>
            </w:r>
          </w:p>
          <w:p w14:paraId="381074FA">
            <w:pPr>
              <w:ind w:firstLine="480"/>
              <w:rPr>
                <w:color w:val="000000" w:themeColor="text1"/>
                <w14:textFill>
                  <w14:solidFill>
                    <w14:schemeClr w14:val="tx1"/>
                  </w14:solidFill>
                </w14:textFill>
              </w:rPr>
            </w:pPr>
            <w:r>
              <w:rPr>
                <w:color w:val="000000" w:themeColor="text1"/>
                <w14:textFill>
                  <w14:solidFill>
                    <w14:schemeClr w14:val="tx1"/>
                  </w14:solidFill>
                </w14:textFill>
              </w:rPr>
              <w:t>③勘探井试油结束后，若试油报废，则该井需封井，并进行地表及恢复工作。根据《废弃井封井回填技术指南（试行）》《矿山生态环境保护与恢复治理技术规范（试行）（HJ 651-2013）》《陆上石油天然气开采业绿色矿山建设规范（DZ/T0317-2018）》《废弃井及长停井处置指南》（SY/T6646-2017）中相关要求，采取的生态恢复措施及要求如下：</w:t>
            </w:r>
          </w:p>
          <w:p w14:paraId="6A646E37">
            <w:pPr>
              <w:ind w:firstLine="480"/>
              <w:rPr>
                <w:color w:val="000000" w:themeColor="text1"/>
                <w14:textFill>
                  <w14:solidFill>
                    <w14:schemeClr w14:val="tx1"/>
                  </w14:solidFill>
                </w14:textFill>
              </w:rPr>
            </w:pPr>
            <w:r>
              <w:rPr>
                <w:color w:val="000000" w:themeColor="text1"/>
                <w14:textFill>
                  <w14:solidFill>
                    <w14:schemeClr w14:val="tx1"/>
                  </w14:solidFill>
                </w14:textFill>
              </w:rPr>
              <w:t>——闭井后要拆除井架、井台，并对井场土地进行平整，清除地面上残留的污染物等。</w:t>
            </w:r>
          </w:p>
          <w:p w14:paraId="29E51431">
            <w:pPr>
              <w:ind w:firstLine="480"/>
              <w:rPr>
                <w:color w:val="000000" w:themeColor="text1"/>
                <w14:textFill>
                  <w14:solidFill>
                    <w14:schemeClr w14:val="tx1"/>
                  </w14:solidFill>
                </w14:textFill>
              </w:rPr>
            </w:pPr>
            <w:r>
              <w:rPr>
                <w:color w:val="000000" w:themeColor="text1"/>
                <w14:textFill>
                  <w14:solidFill>
                    <w14:schemeClr w14:val="tx1"/>
                  </w14:solidFill>
                </w14:textFill>
              </w:rPr>
              <w:t>——不要求留存井口的钻井应在封填后按相关规定恢复地貌，并视情况设置标识。要求留存井口的钻井在封填后保留井口套管头，并设置相应的保护装置。保证对钻井采取的固井、封井措施有效可行，防止其发生油水层窜层，产生二次污染。</w:t>
            </w:r>
          </w:p>
          <w:p w14:paraId="544457F8">
            <w:pPr>
              <w:ind w:firstLine="480"/>
              <w:rPr>
                <w:color w:val="000000" w:themeColor="text1"/>
                <w14:textFill>
                  <w14:solidFill>
                    <w14:schemeClr w14:val="tx1"/>
                  </w14:solidFill>
                </w14:textFill>
              </w:rPr>
            </w:pPr>
            <w:r>
              <w:rPr>
                <w:color w:val="000000" w:themeColor="text1"/>
                <w14:textFill>
                  <w14:solidFill>
                    <w14:schemeClr w14:val="tx1"/>
                  </w14:solidFill>
                </w14:textFill>
              </w:rPr>
              <w:t>——采用正确的封堵方式，能够保证封堵效果，从而将永久性地阻止流体在井内运移。</w:t>
            </w:r>
          </w:p>
          <w:p w14:paraId="5CEF9976">
            <w:pPr>
              <w:ind w:firstLine="480"/>
              <w:rPr>
                <w:color w:val="000000" w:themeColor="text1"/>
                <w14:textFill>
                  <w14:solidFill>
                    <w14:schemeClr w14:val="tx1"/>
                  </w14:solidFill>
                </w14:textFill>
              </w:rPr>
            </w:pPr>
            <w:r>
              <w:rPr>
                <w:color w:val="000000" w:themeColor="text1"/>
                <w14:textFill>
                  <w14:solidFill>
                    <w14:schemeClr w14:val="tx1"/>
                  </w14:solidFill>
                </w14:textFill>
              </w:rPr>
              <w:t>——做好封堵施工作业记录，按照管理机构要求的格式以永久性文件存档，保存在永久性的井史文件中。</w:t>
            </w:r>
          </w:p>
          <w:p w14:paraId="6EDF31EF">
            <w:pPr>
              <w:ind w:firstLine="480"/>
              <w:rPr>
                <w:color w:val="000000" w:themeColor="text1"/>
                <w14:textFill>
                  <w14:solidFill>
                    <w14:schemeClr w14:val="tx1"/>
                  </w14:solidFill>
                </w14:textFill>
              </w:rPr>
            </w:pPr>
            <w:r>
              <w:rPr>
                <w:color w:val="000000" w:themeColor="text1"/>
                <w14:textFill>
                  <w14:solidFill>
                    <w14:schemeClr w14:val="tx1"/>
                  </w14:solidFill>
                </w14:textFill>
              </w:rPr>
              <w:t>④建立环境管理机构，配备专职或兼职环保管理人员；制定相关环境管理规定；加强环境检查，发现问题及时解决、纠正，加强宣传教育。</w:t>
            </w:r>
          </w:p>
          <w:p w14:paraId="038B9783">
            <w:pPr>
              <w:adjustRightInd/>
              <w:snapToGrid/>
              <w:ind w:firstLine="480"/>
              <w:rPr>
                <w:color w:val="000000" w:themeColor="text1"/>
                <w:szCs w:val="22"/>
                <w14:textFill>
                  <w14:solidFill>
                    <w14:schemeClr w14:val="tx1"/>
                  </w14:solidFill>
                </w14:textFill>
              </w:rPr>
            </w:pPr>
            <w:r>
              <w:rPr>
                <w:color w:val="000000" w:themeColor="text1"/>
                <w:szCs w:val="22"/>
                <w14:textFill>
                  <w14:solidFill>
                    <w14:schemeClr w14:val="tx1"/>
                  </w14:solidFill>
                </w14:textFill>
              </w:rPr>
              <w:t>（2）生活营地生态恢复措施</w:t>
            </w:r>
          </w:p>
          <w:p w14:paraId="1D402F78">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本项目工程结束后，</w:t>
            </w:r>
            <w:r>
              <w:rPr>
                <w:color w:val="000000" w:themeColor="text1"/>
                <w:szCs w:val="21"/>
                <w14:textFill>
                  <w14:solidFill>
                    <w14:schemeClr w14:val="tx1"/>
                  </w14:solidFill>
                </w14:textFill>
              </w:rPr>
              <w:t>若转为生产井</w:t>
            </w:r>
            <w:r>
              <w:rPr>
                <w:rFonts w:hint="eastAsia"/>
                <w:color w:val="000000" w:themeColor="text1"/>
                <w:szCs w:val="21"/>
                <w14:textFill>
                  <w14:solidFill>
                    <w14:schemeClr w14:val="tx1"/>
                  </w14:solidFill>
                </w14:textFill>
              </w:rPr>
              <w:t>，对</w:t>
            </w:r>
            <w:r>
              <w:rPr>
                <w:color w:val="000000" w:themeColor="text1"/>
                <w14:textFill>
                  <w14:solidFill>
                    <w14:schemeClr w14:val="tx1"/>
                  </w14:solidFill>
                </w14:textFill>
              </w:rPr>
              <w:t>生活营地占地进行清理平整，恢复原有地貌</w:t>
            </w:r>
            <w:r>
              <w:rPr>
                <w:color w:val="000000" w:themeColor="text1"/>
                <w:szCs w:val="21"/>
                <w14:textFill>
                  <w14:solidFill>
                    <w14:schemeClr w14:val="tx1"/>
                  </w14:solidFill>
                </w14:textFill>
              </w:rPr>
              <w:t>；若不具开发价值，</w:t>
            </w:r>
            <w:r>
              <w:rPr>
                <w:color w:val="000000" w:themeColor="text1"/>
                <w14:textFill>
                  <w14:solidFill>
                    <w14:schemeClr w14:val="tx1"/>
                  </w14:solidFill>
                </w14:textFill>
              </w:rPr>
              <w:t>对生活营地占地进行清理平整，恢复原有地貌</w:t>
            </w:r>
            <w:r>
              <w:rPr>
                <w:color w:val="000000" w:themeColor="text1"/>
                <w:kern w:val="0"/>
                <w14:textFill>
                  <w14:solidFill>
                    <w14:schemeClr w14:val="tx1"/>
                  </w14:solidFill>
                </w14:textFill>
              </w:rPr>
              <w:t>。</w:t>
            </w:r>
          </w:p>
          <w:p w14:paraId="4269CEE2">
            <w:pPr>
              <w:ind w:firstLine="480"/>
              <w:rPr>
                <w:color w:val="000000" w:themeColor="text1"/>
                <w14:textFill>
                  <w14:solidFill>
                    <w14:schemeClr w14:val="tx1"/>
                  </w14:solidFill>
                </w14:textFill>
              </w:rPr>
            </w:pPr>
            <w:r>
              <w:rPr>
                <w:color w:val="000000" w:themeColor="text1"/>
                <w14:textFill>
                  <w14:solidFill>
                    <w14:schemeClr w14:val="tx1"/>
                  </w14:solidFill>
                </w14:textFill>
              </w:rPr>
              <w:t>（3）井口及临时道路生态恢复措施</w:t>
            </w:r>
          </w:p>
          <w:p w14:paraId="70328818">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试油结束后视试油结果决定是否转为生产井，若转为生产井，则应当在产能开发建设前开展环境影响评价工作，井口安装采油树，临时道路保留；若不具开发价值，井口进行封井，临时道路进行平整，自然恢复。</w:t>
            </w:r>
          </w:p>
          <w:p w14:paraId="5D9BF24F">
            <w:pPr>
              <w:pStyle w:val="27"/>
              <w:spacing w:line="360" w:lineRule="auto"/>
              <w:ind w:firstLine="480" w:firstLineChars="200"/>
              <w:jc w:val="left"/>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（4）</w:t>
            </w:r>
            <w:r>
              <w:rPr>
                <w:rFonts w:hint="eastAsia" w:ascii="Times New Roman" w:cs="Times New Roman"/>
                <w:b w:val="0"/>
                <w:bCs/>
                <w:color w:val="000000" w:themeColor="text1"/>
                <w14:textFill>
                  <w14:solidFill>
                    <w14:schemeClr w14:val="tx1"/>
                  </w14:solidFill>
                </w14:textFill>
              </w:rPr>
              <w:t>草地</w:t>
            </w:r>
            <w:r>
              <w:rPr>
                <w:rFonts w:ascii="Times New Roman" w:cs="Times New Roman"/>
                <w:b w:val="0"/>
                <w:bCs/>
                <w:color w:val="000000" w:themeColor="text1"/>
                <w14:textFill>
                  <w14:solidFill>
                    <w14:schemeClr w14:val="tx1"/>
                  </w14:solidFill>
                </w14:textFill>
              </w:rPr>
              <w:t>恢复措施</w:t>
            </w:r>
          </w:p>
          <w:p w14:paraId="42ABA8A0">
            <w:pPr>
              <w:pStyle w:val="27"/>
              <w:spacing w:line="360" w:lineRule="auto"/>
              <w:ind w:firstLine="480" w:firstLineChars="200"/>
              <w:jc w:val="left"/>
              <w:rPr>
                <w:rFonts w:ascii="Times New Roman" w:cs="Times New Roman"/>
                <w:color w:val="000000" w:themeColor="text1"/>
                <w14:textFill>
                  <w14:solidFill>
                    <w14:schemeClr w14:val="tx1"/>
                  </w14:solidFill>
                </w14:textFill>
              </w:rPr>
            </w:pPr>
            <w:r>
              <w:rPr>
                <w:rFonts w:ascii="Times New Roman" w:cs="Times New Roman"/>
                <w:b w:val="0"/>
                <w:bCs/>
                <w:color w:val="000000" w:themeColor="text1"/>
                <w:lang w:val="zh-CN"/>
                <w14:textFill>
                  <w14:solidFill>
                    <w14:schemeClr w14:val="tx1"/>
                  </w14:solidFill>
                </w14:textFill>
              </w:rPr>
              <w:t>工程施工结束后，按照林草部门要求</w:t>
            </w:r>
            <w:r>
              <w:rPr>
                <w:rFonts w:hint="eastAsia" w:ascii="Times New Roman" w:cs="Times New Roman"/>
                <w:b w:val="0"/>
                <w:bCs/>
                <w:color w:val="000000" w:themeColor="text1"/>
                <w14:textFill>
                  <w14:solidFill>
                    <w14:schemeClr w14:val="tx1"/>
                  </w14:solidFill>
                </w14:textFill>
              </w:rPr>
              <w:t>的在一年内恢复被临时使用草地的植被和草业生产条件</w:t>
            </w:r>
            <w:r>
              <w:rPr>
                <w:rFonts w:ascii="Times New Roman" w:cs="Times New Roman"/>
                <w:b w:val="0"/>
                <w:bCs/>
                <w:color w:val="000000" w:themeColor="text1"/>
                <w:lang w:val="zh-CN"/>
                <w14:textFill>
                  <w14:solidFill>
                    <w14:schemeClr w14:val="tx1"/>
                  </w14:solidFill>
                </w14:textFill>
              </w:rPr>
              <w:t>，井场恢复后的植被覆盖率不应低于区域范围内同类型土地植被覆盖率，植被类型应与原有类型相似，并与周边自然景观协调，不得使用外来有害物种进行井场、站场植被恢复。</w:t>
            </w:r>
          </w:p>
          <w:p w14:paraId="4E70D97E">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1.3 水土流失防治措施</w:t>
            </w:r>
          </w:p>
          <w:p w14:paraId="5A5488AB">
            <w:pPr>
              <w:ind w:firstLine="480"/>
              <w:rPr>
                <w:color w:val="000000" w:themeColor="text1"/>
                <w:lang w:val="zh-CN"/>
                <w14:textFill>
                  <w14:solidFill>
                    <w14:schemeClr w14:val="tx1"/>
                  </w14:solidFill>
                </w14:textFill>
              </w:rPr>
            </w:pPr>
            <w:r>
              <w:rPr>
                <w:color w:val="000000" w:themeColor="text1"/>
                <w:lang w:val="zh-CN"/>
                <w14:textFill>
                  <w14:solidFill>
                    <w14:schemeClr w14:val="tx1"/>
                  </w14:solidFill>
                </w14:textFill>
              </w:rPr>
              <w:t>针对项目建设施工活动引发水土流失的特点和危害程度，将水土保持工程措施和植物措施有机结合在一起，合理确定水土保持措施的总体布局。对主体工程中具有水土保持功能工程，</w:t>
            </w:r>
            <w:r>
              <w:rPr>
                <w:rFonts w:hint="eastAsia"/>
                <w:color w:val="000000" w:themeColor="text1"/>
                <w:lang w:val="zh-CN"/>
                <w14:textFill>
                  <w14:solidFill>
                    <w14:schemeClr w14:val="tx1"/>
                  </w14:solidFill>
                </w14:textFill>
              </w:rPr>
              <w:t>纳入</w:t>
            </w:r>
            <w:r>
              <w:rPr>
                <w:color w:val="000000" w:themeColor="text1"/>
                <w:lang w:val="zh-CN"/>
                <w14:textFill>
                  <w14:solidFill>
                    <w14:schemeClr w14:val="tx1"/>
                  </w14:solidFill>
                </w14:textFill>
              </w:rPr>
              <w:t>方案的水土保持措施体系当中，使之与方案新增水土保持措施一起，形成一个完整、严密、科学的水土流失防治措施体系。</w:t>
            </w:r>
          </w:p>
          <w:p w14:paraId="780BF66A">
            <w:pPr>
              <w:ind w:firstLine="480"/>
              <w:rPr>
                <w:color w:val="000000" w:themeColor="text1"/>
                <w14:textFill>
                  <w14:solidFill>
                    <w14:schemeClr w14:val="tx1"/>
                  </w14:solidFill>
                </w14:textFill>
              </w:rPr>
            </w:pPr>
            <w:r>
              <w:rPr>
                <w:color w:val="000000" w:themeColor="text1"/>
                <w14:textFill>
                  <w14:solidFill>
                    <w14:schemeClr w14:val="tx1"/>
                  </w14:solidFill>
                </w14:textFill>
              </w:rPr>
              <w:t>①本项目施工时，首先要特别注意保护地表与植被，划定施工活动范围，严格控制和管理车辆及重型机械的行驶范围，所有车辆采用“一”字形作业法，避免并行开辟新路，以减少风蚀沙化活动的范围。</w:t>
            </w:r>
          </w:p>
          <w:p w14:paraId="7DF928BB">
            <w:pPr>
              <w:ind w:firstLine="480"/>
              <w:rPr>
                <w:color w:val="000000" w:themeColor="text1"/>
                <w14:textFill>
                  <w14:solidFill>
                    <w14:schemeClr w14:val="tx1"/>
                  </w14:solidFill>
                </w14:textFill>
              </w:rPr>
            </w:pPr>
            <w:r>
              <w:rPr>
                <w:color w:val="000000" w:themeColor="text1"/>
                <w14:textFill>
                  <w14:solidFill>
                    <w14:schemeClr w14:val="tx1"/>
                  </w14:solidFill>
                </w14:textFill>
              </w:rPr>
              <w:t>②施工中严格按照施工占地要求，划定适宜的堆料场。路基修筑开挖等作业避免在大风天施工；严格按规划的施工范围进行施工作业，不得随意开辟施工便道。施工车辆不得随意驶离便道。</w:t>
            </w:r>
          </w:p>
          <w:p w14:paraId="5A9C813F">
            <w:pPr>
              <w:ind w:firstLine="480"/>
              <w:rPr>
                <w:color w:val="000000" w:themeColor="text1"/>
                <w14:textFill>
                  <w14:solidFill>
                    <w14:schemeClr w14:val="tx1"/>
                  </w14:solidFill>
                </w14:textFill>
              </w:rPr>
            </w:pPr>
            <w:r>
              <w:rPr>
                <w:color w:val="000000" w:themeColor="text1"/>
                <w14:textFill>
                  <w14:solidFill>
                    <w14:schemeClr w14:val="tx1"/>
                  </w14:solidFill>
                </w14:textFill>
              </w:rPr>
              <w:t>③施工后期，及时做好施工后期的迹地恢复工作，包括土地平整，创造局部小环境以利于植被的恢复等。</w:t>
            </w:r>
          </w:p>
          <w:p w14:paraId="41173CB5">
            <w:pPr>
              <w:ind w:firstLine="480"/>
              <w:rPr>
                <w:color w:val="000000" w:themeColor="text1"/>
                <w14:textFill>
                  <w14:solidFill>
                    <w14:schemeClr w14:val="tx1"/>
                  </w14:solidFill>
                </w14:textFill>
              </w:rPr>
            </w:pPr>
            <w:r>
              <w:rPr>
                <w:color w:val="000000" w:themeColor="text1"/>
                <w14:textFill>
                  <w14:solidFill>
                    <w14:schemeClr w14:val="tx1"/>
                  </w14:solidFill>
                </w14:textFill>
              </w:rPr>
              <w:t>④</w:t>
            </w:r>
            <w:r>
              <w:rPr>
                <w:color w:val="000000" w:themeColor="text1"/>
                <w:kern w:val="0"/>
                <w:lang w:bidi="ar"/>
                <w14:textFill>
                  <w14:solidFill>
                    <w14:schemeClr w14:val="tx1"/>
                  </w14:solidFill>
                </w14:textFill>
              </w:rPr>
              <w:t>施工期应首先制订严格的施工管理运行条例，运用管理措施减少地表的扰动面积；合理安排施工，优化施工时段，避免大风大雨天气施工，施工期间车辆运输土石方，运输车辆的车厢应采取苫布遮盖，减少风蚀。</w:t>
            </w:r>
          </w:p>
          <w:p w14:paraId="3380B808">
            <w:pPr>
              <w:ind w:firstLine="480"/>
              <w:rPr>
                <w:color w:val="000000" w:themeColor="text1"/>
                <w14:textFill>
                  <w14:solidFill>
                    <w14:schemeClr w14:val="tx1"/>
                  </w14:solidFill>
                </w14:textFill>
              </w:rPr>
            </w:pPr>
            <w:r>
              <w:rPr>
                <w:color w:val="000000" w:themeColor="text1"/>
                <w:kern w:val="0"/>
                <w:lang w:bidi="ar"/>
                <w14:textFill>
                  <w14:solidFill>
                    <w14:schemeClr w14:val="tx1"/>
                  </w14:solidFill>
                </w14:textFill>
              </w:rPr>
              <w:t>在工程建设中，必须坚持“预防为主，防治结合”的水土保持工作方针，把预防保护放在水土保持工作的首位，尽可能地减少工程建设造成的水土流失。具体预防保护措施为：加强对施工单位和施工人员的水土保持宣传教育，增强其</w:t>
            </w:r>
            <w:r>
              <w:rPr>
                <w:rFonts w:hint="eastAsia"/>
                <w:color w:val="000000" w:themeColor="text1"/>
                <w:kern w:val="0"/>
                <w:lang w:bidi="ar"/>
                <w14:textFill>
                  <w14:solidFill>
                    <w14:schemeClr w14:val="tx1"/>
                  </w14:solidFill>
                </w14:textFill>
              </w:rPr>
              <w:t>法治观念</w:t>
            </w:r>
            <w:r>
              <w:rPr>
                <w:color w:val="000000" w:themeColor="text1"/>
                <w:kern w:val="0"/>
                <w:lang w:bidi="ar"/>
                <w14:textFill>
                  <w14:solidFill>
                    <w14:schemeClr w14:val="tx1"/>
                  </w14:solidFill>
                </w14:textFill>
              </w:rPr>
              <w:t>，提高其水土保持意识。按水土保持方案实施的水土保持工程制定管护制度，加强工程管护。</w:t>
            </w:r>
          </w:p>
          <w:p w14:paraId="6C20E14C">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1.4 防沙治沙措施</w:t>
            </w:r>
          </w:p>
          <w:p w14:paraId="44700B02">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本环评要求建设单位及施工人员严格按照《新疆维吾尔自治区实施&lt;中华人民共和国防沙治沙法&gt;办法》及《关于加强沙区建设项目环境影响评价工作的通知》（新环环评发〔2020〕138号）中有关规定执行防沙治沙措施：</w:t>
            </w:r>
          </w:p>
          <w:p w14:paraId="196322DF">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①严格控制井场、道路、放喷管线等工程的临时占地，按施工方案严格控制扰动范围，不得随意碾压固沙植被。</w:t>
            </w:r>
          </w:p>
          <w:p w14:paraId="0B3D8202">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②严格划定车辆行驶路线及临时道路开拓路线，严格控制和管理车辆及重型机械的运行范围，所有车辆采用“一”字型作业法，临探道路应选取最短路径与油田现有公路相连接，不开辟新路，以减少风蚀沙化活动的范围。</w:t>
            </w:r>
          </w:p>
          <w:p w14:paraId="51B134A8">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③优化施工组织，尽量缩短施工时间，避免在大风天气进行产生扬尘的作业，以免造成土壤风蚀影响。</w:t>
            </w:r>
          </w:p>
          <w:p w14:paraId="163DF823">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④应在施工场地外围迎风面一侧设置移动式围挡，最大限度减少因风力作用加重局部区域沙化。施工过程粉状材料及临时土方等在井场堆放应采取覆盖防尘布，逸散性材料运输采用苫布遮盖，减少施工扬尘产生量和起沙量。</w:t>
            </w:r>
          </w:p>
          <w:p w14:paraId="626507CB">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⑤施工结束时，应拆除并移走全部施工设备，清理所有施工固废及生活垃圾，将井场、道路等临时占地范围进行平整，并覆土压实覆盖一层砾石，防止风蚀现象发生。</w:t>
            </w:r>
          </w:p>
          <w:p w14:paraId="58E8CF9C">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⑥为减少因施工破坏植被造成局部区域的沙化，本环评要求建设单位和施工人员须征得当地林业管理部门的批准后方可开展施工作业。建议尽可能完整保存拟建选址区域的原生植被，在施工期结束后恢复原有植被或栽种同类沙地植物，最大限度减少沙化的可能性。</w:t>
            </w:r>
          </w:p>
          <w:p w14:paraId="76717DD8">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⑦对于无植被生长的纯沙地区域，在施工结束时建议对遭受扰动的临时占地区域设置草方格进行固沙，阻止沙化进一步发展。</w:t>
            </w:r>
          </w:p>
          <w:p w14:paraId="7AF5B011">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⑧大力宣传《中华人民共和国防沙治沙法》，使施工人员知法、懂法、守法，自觉保护林草植被，自觉履行防治义务。禁止在沙土地上砍挖灌木、药材及其他固沙植物。</w:t>
            </w:r>
          </w:p>
          <w:p w14:paraId="3E706BE5">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⑨施工过程中及施工期结束土壤环境恢复过程中发现临时占用土地出现沙化或者沙化程度加重的，应当及时报告当地生态环境保护部门和人民政府，并根据专业意见开展防沙治沙措施。</w:t>
            </w:r>
          </w:p>
          <w:p w14:paraId="79E8036F">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⑩建设项目主管部门应该积极主动，加强水土保持管理，对施工人员进行培训和教育，自觉保持水土，保护植被。严禁施工材料乱堆乱放，不随意乱采乱挖沿线植被。加强施工期管理，加速建设进度，减少施工期水土流失的产生；同时在施工期间，应提前制定严密的交通管理措施。</w:t>
            </w:r>
          </w:p>
          <w:p w14:paraId="54D8B1F5">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通过采取上述措施，可将项目建设对所在区域土壤环境造成的水土流失和沙化影响降至可接受水平。</w:t>
            </w:r>
          </w:p>
          <w:p w14:paraId="182FEEEE">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1.5 闭井期生态修复措施</w:t>
            </w:r>
          </w:p>
          <w:p w14:paraId="01EDDBA9">
            <w:pPr>
              <w:ind w:firstLine="480"/>
              <w:rPr>
                <w:color w:val="000000" w:themeColor="text1"/>
                <w14:textFill>
                  <w14:solidFill>
                    <w14:schemeClr w14:val="tx1"/>
                  </w14:solidFill>
                </w14:textFill>
              </w:rPr>
            </w:pPr>
            <w:r>
              <w:rPr>
                <w:bCs/>
                <w:color w:val="000000" w:themeColor="text1"/>
                <w:kern w:val="0"/>
                <w14:textFill>
                  <w14:solidFill>
                    <w14:schemeClr w14:val="tx1"/>
                  </w14:solidFill>
                </w14:textFill>
              </w:rPr>
              <w:t>根据《矿山生态环境保护与恢复治理技术规范（试行）》</w:t>
            </w:r>
            <w:r>
              <w:rPr>
                <w:rFonts w:hint="eastAsia"/>
                <w:bCs/>
                <w:color w:val="000000" w:themeColor="text1"/>
                <w:kern w:val="0"/>
                <w14:textFill>
                  <w14:solidFill>
                    <w14:schemeClr w14:val="tx1"/>
                  </w14:solidFill>
                </w14:textFill>
              </w:rPr>
              <w:t>（</w:t>
            </w:r>
            <w:r>
              <w:rPr>
                <w:bCs/>
                <w:color w:val="000000" w:themeColor="text1"/>
                <w:kern w:val="0"/>
                <w14:textFill>
                  <w14:solidFill>
                    <w14:schemeClr w14:val="tx1"/>
                  </w14:solidFill>
                </w14:textFill>
              </w:rPr>
              <w:t>HJ651-2013</w:t>
            </w:r>
            <w:r>
              <w:rPr>
                <w:rFonts w:hint="eastAsia"/>
                <w:bCs/>
                <w:color w:val="000000" w:themeColor="text1"/>
                <w:kern w:val="0"/>
                <w14:textFill>
                  <w14:solidFill>
                    <w14:schemeClr w14:val="tx1"/>
                  </w14:solidFill>
                </w14:textFill>
              </w:rPr>
              <w:t>）</w:t>
            </w:r>
            <w:r>
              <w:rPr>
                <w:snapToGrid w:val="0"/>
                <w:color w:val="000000" w:themeColor="text1"/>
                <w14:textFill>
                  <w14:solidFill>
                    <w14:schemeClr w14:val="tx1"/>
                  </w14:solidFill>
                </w14:textFill>
              </w:rPr>
              <w:t>《陆上石油天然气开采业绿色矿山建设规范》（DZ/T0317-2018）和《废弃井封井回填技术指南（试行）》中的相关</w:t>
            </w:r>
            <w:r>
              <w:rPr>
                <w:bCs/>
                <w:color w:val="000000" w:themeColor="text1"/>
                <w:kern w:val="0"/>
                <w14:textFill>
                  <w14:solidFill>
                    <w14:schemeClr w14:val="tx1"/>
                  </w14:solidFill>
                </w14:textFill>
              </w:rPr>
              <w:t>要求，勘探活动结束后，应根据景观相似原则，对勘探活动造成的土壤、植被和地表景观破坏进行恢复。对水文地质条件及道路安全有影响或重要建筑物附近的钻孔或坑井应予回填封闭，并恢复其原有生态功能。井场道路用地应严格控制占地面积和范围。道路建设及取弃土工程，均应根据道路施工进度有计划地进行表土剥离并保存，必要时应设置截排水沟、挡土墙等相应保护措施。井场道路取弃土工程结束后，弃土场应及时回填、整平、压实，并利用堆存的表土进行植被和景观恢复。道路建设施工结束后，临时占地应及时恢复，与原有地貌和景观协调。对项目区域不再使用的各项临时建（构）筑物和基础设施应全部拆除，并进行景观和植被恢复。转为其他用途的，应开展污染场地调查、风险评估与修复治理。试油期伴生气燃烧放空应远离农田、植被等。勘探后的封闭井应将井口封堵完整，采取遮挡和防护措施，并设立警示牌。建设单位将作为生态修复实施的主体。</w:t>
            </w:r>
          </w:p>
          <w:p w14:paraId="1D10828B">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大气污染防治措施</w:t>
            </w:r>
          </w:p>
          <w:bookmarkEnd w:id="30"/>
          <w:p w14:paraId="1D6CBF0E">
            <w:pPr>
              <w:ind w:firstLine="480"/>
              <w:rPr>
                <w:color w:val="000000" w:themeColor="text1"/>
                <w14:textFill>
                  <w14:solidFill>
                    <w14:schemeClr w14:val="tx1"/>
                  </w14:solidFill>
                </w14:textFill>
              </w:rPr>
            </w:pPr>
            <w:r>
              <w:rPr>
                <w:color w:val="000000" w:themeColor="text1"/>
                <w14:textFill>
                  <w14:solidFill>
                    <w14:schemeClr w14:val="tx1"/>
                  </w14:solidFill>
                </w14:textFill>
              </w:rPr>
              <w:t>（1）应合理规划、选择最短的工区道路运输路线，尽量利用油田现有公路网络；其次是对使用频繁的道路路面进行洒水处理；运输车辆进入施工区域，应以中、低速行驶（速度＜40km/h）。</w:t>
            </w:r>
          </w:p>
          <w:p w14:paraId="6FEA3B2C">
            <w:pPr>
              <w:ind w:firstLine="480"/>
              <w:rPr>
                <w:color w:val="000000" w:themeColor="text1"/>
                <w14:textFill>
                  <w14:solidFill>
                    <w14:schemeClr w14:val="tx1"/>
                  </w14:solidFill>
                </w14:textFill>
              </w:rPr>
            </w:pPr>
            <w:r>
              <w:rPr>
                <w:color w:val="000000" w:themeColor="text1"/>
                <w14:textFill>
                  <w14:solidFill>
                    <w14:schemeClr w14:val="tx1"/>
                  </w14:solidFill>
                </w14:textFill>
              </w:rPr>
              <w:t>（2）井场设备的放置进行合理优化，尽可能少占土地，对工作区域外的场地严禁车辆和人员进入、占用，避免破坏植被和造成土地松动；作业场地保持一定湿度，进出车辆严格限速，装卸器材文明作业。</w:t>
            </w:r>
          </w:p>
          <w:p w14:paraId="07ED04F1">
            <w:pPr>
              <w:ind w:firstLine="480"/>
              <w:rPr>
                <w:color w:val="000000" w:themeColor="text1"/>
                <w14:textFill>
                  <w14:solidFill>
                    <w14:schemeClr w14:val="tx1"/>
                  </w14:solidFill>
                </w14:textFill>
              </w:rPr>
            </w:pPr>
            <w:r>
              <w:rPr>
                <w:color w:val="000000" w:themeColor="text1"/>
                <w14:textFill>
                  <w14:solidFill>
                    <w14:schemeClr w14:val="tx1"/>
                  </w14:solidFill>
                </w14:textFill>
              </w:rPr>
              <w:t>（3）定期对钻机、柴油发电机</w:t>
            </w:r>
            <w:r>
              <w:rPr>
                <w:rFonts w:hint="eastAsia"/>
                <w:color w:val="000000" w:themeColor="text1"/>
                <w14:textFill>
                  <w14:solidFill>
                    <w14:schemeClr w14:val="tx1"/>
                  </w14:solidFill>
                </w14:textFill>
              </w:rPr>
              <w:t>、固井搅拌机</w:t>
            </w:r>
            <w:r>
              <w:rPr>
                <w:color w:val="000000" w:themeColor="text1"/>
                <w14:textFill>
                  <w14:solidFill>
                    <w14:schemeClr w14:val="tx1"/>
                  </w14:solidFill>
                </w14:textFill>
              </w:rPr>
              <w:t>等设备进行维护，定期对柴油发电机进行污染物排放检测，确保其污染物排放达到《非道路移动机械用柴油机排气污染物排放限值及测量方法（中国第三、四阶段）》（GB20891-2014）中的标准要求。</w:t>
            </w:r>
          </w:p>
          <w:p w14:paraId="2AE35211">
            <w:pPr>
              <w:ind w:firstLine="480"/>
              <w:rPr>
                <w:color w:val="000000" w:themeColor="text1"/>
                <w14:textFill>
                  <w14:solidFill>
                    <w14:schemeClr w14:val="tx1"/>
                  </w14:solidFill>
                </w14:textFill>
              </w:rPr>
            </w:pPr>
            <w:r>
              <w:rPr>
                <w:color w:val="000000" w:themeColor="text1"/>
                <w14:textFill>
                  <w14:solidFill>
                    <w14:schemeClr w14:val="tx1"/>
                  </w14:solidFill>
                </w14:textFill>
              </w:rPr>
              <w:t>（4）禁止焚烧原油、废油品及各类废弃物。</w:t>
            </w:r>
          </w:p>
          <w:p w14:paraId="6DD018B6">
            <w:pPr>
              <w:ind w:firstLine="480"/>
              <w:rPr>
                <w:color w:val="000000" w:themeColor="text1"/>
                <w14:textFill>
                  <w14:solidFill>
                    <w14:schemeClr w14:val="tx1"/>
                  </w14:solidFill>
                </w14:textFill>
              </w:rPr>
            </w:pPr>
            <w:r>
              <w:rPr>
                <w:color w:val="000000" w:themeColor="text1"/>
                <w14:textFill>
                  <w14:solidFill>
                    <w14:schemeClr w14:val="tx1"/>
                  </w14:solidFill>
                </w14:textFill>
              </w:rPr>
              <w:t>（5）钻井材料集中堆放，下垫上盖。</w:t>
            </w:r>
          </w:p>
          <w:p w14:paraId="6350E358">
            <w:pPr>
              <w:ind w:firstLine="480"/>
              <w:rPr>
                <w:color w:val="000000" w:themeColor="text1"/>
                <w14:textFill>
                  <w14:solidFill>
                    <w14:schemeClr w14:val="tx1"/>
                  </w14:solidFill>
                </w14:textFill>
              </w:rPr>
            </w:pPr>
            <w:r>
              <w:rPr>
                <w:color w:val="000000" w:themeColor="text1"/>
                <w14:textFill>
                  <w14:solidFill>
                    <w14:schemeClr w14:val="tx1"/>
                  </w14:solidFill>
                </w14:textFill>
              </w:rPr>
              <w:t>（6）试油期对各井场的设备、阀门等进行定期的检查、检修，以减少跑、冒、滴、漏的发生，消除事故隐患，防止油气泄漏进入大气环境。一旦发生泄漏事故，紧急切断油、气源，从而最大限度地减少烃类及油的排放量。</w:t>
            </w:r>
          </w:p>
          <w:p w14:paraId="312E9018">
            <w:pPr>
              <w:ind w:firstLine="480"/>
              <w:rPr>
                <w:color w:val="000000" w:themeColor="text1"/>
                <w14:textFill>
                  <w14:solidFill>
                    <w14:schemeClr w14:val="tx1"/>
                  </w14:solidFill>
                </w14:textFill>
              </w:rPr>
            </w:pPr>
            <w:r>
              <w:rPr>
                <w:color w:val="000000" w:themeColor="text1"/>
                <w14:textFill>
                  <w14:solidFill>
                    <w14:schemeClr w14:val="tx1"/>
                  </w14:solidFill>
                </w14:textFill>
              </w:rPr>
              <w:t>（7）试油期加强采出液储罐管理、装卸必须采取密闭装载方式，采出液装卸必须采取密闭底部装载、顶部浸没式装载等方式，装卸过程采取油气回收措施，使用具有油气回收接口的车辆。</w:t>
            </w:r>
          </w:p>
          <w:p w14:paraId="625ABC7D">
            <w:pPr>
              <w:ind w:firstLine="480"/>
              <w:rPr>
                <w:color w:val="000000" w:themeColor="text1"/>
                <w14:textFill>
                  <w14:solidFill>
                    <w14:schemeClr w14:val="tx1"/>
                  </w14:solidFill>
                </w14:textFill>
              </w:rPr>
            </w:pPr>
            <w:r>
              <w:rPr>
                <w:color w:val="000000" w:themeColor="text1"/>
                <w14:textFill>
                  <w14:solidFill>
                    <w14:schemeClr w14:val="tx1"/>
                  </w14:solidFill>
                </w14:textFill>
              </w:rPr>
              <w:t>（8）试油期产生的伴生气气量不稳定，不具备回收利用条件，经排气管线充分燃烧后排放。应定期检查伴生气燃烧设备，加强燃烧设备的运营维护，确保伴生气充分燃烧，以减轻燃烧废气对区域大气环境质量的不良影响。</w:t>
            </w:r>
          </w:p>
          <w:p w14:paraId="4DFDE419">
            <w:pPr>
              <w:ind w:firstLine="464"/>
              <w:rPr>
                <w:color w:val="000000" w:themeColor="text1"/>
                <w14:textFill>
                  <w14:solidFill>
                    <w14:schemeClr w14:val="tx1"/>
                  </w14:solidFill>
                </w14:textFill>
              </w:rPr>
            </w:pPr>
            <w:r>
              <w:rPr>
                <w:color w:val="000000" w:themeColor="text1"/>
                <w:spacing w:val="-4"/>
                <w14:textFill>
                  <w14:solidFill>
                    <w14:schemeClr w14:val="tx1"/>
                  </w14:solidFill>
                </w14:textFill>
              </w:rPr>
              <w:t>（9）柴油储罐采用固定顶罐，</w:t>
            </w:r>
            <w:r>
              <w:rPr>
                <w:color w:val="000000" w:themeColor="text1"/>
                <w:kern w:val="0"/>
                <w14:textFill>
                  <w14:solidFill>
                    <w14:schemeClr w14:val="tx1"/>
                  </w14:solidFill>
                </w14:textFill>
              </w:rPr>
              <w:t>钻井期井场设有柴油罐（20m</w:t>
            </w:r>
            <w:r>
              <w:rPr>
                <w:color w:val="000000" w:themeColor="text1"/>
                <w:kern w:val="0"/>
                <w:vertAlign w:val="superscript"/>
                <w14:textFill>
                  <w14:solidFill>
                    <w14:schemeClr w14:val="tx1"/>
                  </w14:solidFill>
                </w14:textFill>
              </w:rPr>
              <w:t>3</w:t>
            </w:r>
            <w:r>
              <w:rPr>
                <w:color w:val="000000" w:themeColor="text1"/>
                <w:kern w:val="0"/>
                <w14:textFill>
                  <w14:solidFill>
                    <w14:schemeClr w14:val="tx1"/>
                  </w14:solidFill>
                </w14:textFill>
              </w:rPr>
              <w:t>），试油期井场设</w:t>
            </w:r>
            <w:r>
              <w:rPr>
                <w:color w:val="000000" w:themeColor="text1"/>
                <w14:textFill>
                  <w14:solidFill>
                    <w14:schemeClr w14:val="tx1"/>
                  </w14:solidFill>
                </w14:textFill>
              </w:rPr>
              <w:t>1个5m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的柴油储罐</w:t>
            </w:r>
            <w:r>
              <w:rPr>
                <w:color w:val="000000" w:themeColor="text1"/>
                <w:spacing w:val="-4"/>
                <w14:textFill>
                  <w14:solidFill>
                    <w14:schemeClr w14:val="tx1"/>
                  </w14:solidFill>
                </w14:textFill>
              </w:rPr>
              <w:t>，小于75m</w:t>
            </w:r>
            <w:r>
              <w:rPr>
                <w:color w:val="000000" w:themeColor="text1"/>
                <w:spacing w:val="-4"/>
                <w:vertAlign w:val="superscript"/>
                <w14:textFill>
                  <w14:solidFill>
                    <w14:schemeClr w14:val="tx1"/>
                  </w14:solidFill>
                </w14:textFill>
              </w:rPr>
              <w:t>3</w:t>
            </w:r>
            <w:r>
              <w:rPr>
                <w:color w:val="000000" w:themeColor="text1"/>
                <w:spacing w:val="-4"/>
                <w14:textFill>
                  <w14:solidFill>
                    <w14:schemeClr w14:val="tx1"/>
                  </w14:solidFill>
                </w14:textFill>
              </w:rPr>
              <w:t>，且柴油真实蒸气压小于27.6kPa，按照《挥发性有机物无组织排放控制标准》（GB37822-2019）中要求可不采取油罐烃蒸气回收措施。施工期应加强储罐的检修和维护，固柴油储罐罐体应保持完好，不应有孔洞；储罐附件开口（孔），除采样、计量和例行检查、维护和其他正常活动外，应密闭；定期监测呼吸阀的定压是否符合设定要求。</w:t>
            </w:r>
          </w:p>
          <w:p w14:paraId="20246102">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地下水和土壤污染防治措施</w:t>
            </w:r>
          </w:p>
          <w:p w14:paraId="2EAA5FF8">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3.1废水处置</w:t>
            </w:r>
          </w:p>
          <w:p w14:paraId="5930898E">
            <w:pPr>
              <w:ind w:firstLine="480"/>
              <w:rPr>
                <w:color w:val="000000" w:themeColor="text1"/>
                <w14:textFill>
                  <w14:solidFill>
                    <w14:schemeClr w14:val="tx1"/>
                  </w14:solidFill>
                </w14:textFill>
              </w:rPr>
            </w:pPr>
            <w:r>
              <w:rPr>
                <w:color w:val="000000" w:themeColor="text1"/>
                <w14:textFill>
                  <w14:solidFill>
                    <w14:schemeClr w14:val="tx1"/>
                  </w14:solidFill>
                </w14:textFill>
              </w:rPr>
              <w:t>（1）采用“钻井泥浆不落地技术”，严格落实防渗措施，剩余钻井泥浆由专业服务公司回收后，用于后续钻井液</w:t>
            </w:r>
            <w:r>
              <w:rPr>
                <w:rFonts w:hint="eastAsia"/>
                <w:color w:val="000000" w:themeColor="text1"/>
                <w14:textFill>
                  <w14:solidFill>
                    <w14:schemeClr w14:val="tx1"/>
                  </w14:solidFill>
                </w14:textFill>
              </w:rPr>
              <w:t>配制</w:t>
            </w:r>
            <w:r>
              <w:rPr>
                <w:color w:val="000000" w:themeColor="text1"/>
                <w14:textFill>
                  <w14:solidFill>
                    <w14:schemeClr w14:val="tx1"/>
                  </w14:solidFill>
                </w14:textFill>
              </w:rPr>
              <w:t>。本项目钻井期间钻井废水循环利用，不直接向外环境排放，不与周边地表水体发生水力联系。</w:t>
            </w:r>
          </w:p>
          <w:p w14:paraId="3619EBF8">
            <w:pPr>
              <w:ind w:firstLine="480"/>
              <w:rPr>
                <w:color w:val="000000" w:themeColor="text1"/>
                <w14:textFill>
                  <w14:solidFill>
                    <w14:schemeClr w14:val="tx1"/>
                  </w14:solidFill>
                </w14:textFill>
              </w:rPr>
            </w:pPr>
            <w:r>
              <w:rPr>
                <w:color w:val="000000" w:themeColor="text1"/>
                <w14:textFill>
                  <w14:solidFill>
                    <w14:schemeClr w14:val="tx1"/>
                  </w14:solidFill>
                </w14:textFill>
              </w:rPr>
              <w:t>（2）洗井废水含有油类物质，须全部回收，采用专用废液收集罐收集后运至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的污水处理系统处理达标后回注油藏。</w:t>
            </w:r>
          </w:p>
          <w:p w14:paraId="1B7E6BB4">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（3）项目产生的压裂返排液进入罐车拉运至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采出水处理系统处理，达到《碎屑岩油藏注水水质指标技术要求及分析方法》（SY/T5329-2022）中</w:t>
            </w:r>
            <w:r>
              <w:rPr>
                <w:rFonts w:hint="default"/>
                <w:color w:val="000000" w:themeColor="text1"/>
                <w14:textFill>
                  <w14:solidFill>
                    <w14:schemeClr w14:val="tx1"/>
                  </w14:solidFill>
                </w14:textFill>
              </w:rPr>
              <w:t>Ⅱ</w:t>
            </w:r>
            <w:r>
              <w:rPr>
                <w:rFonts w:hint="default"/>
                <w:color w:val="000000" w:themeColor="text1"/>
                <w:lang w:val="en-US" w:eastAsia="zh-CN"/>
                <w14:textFill>
                  <w14:solidFill>
                    <w14:schemeClr w14:val="tx1"/>
                  </w14:solidFill>
                </w14:textFill>
              </w:rPr>
              <w:t>级</w:t>
            </w:r>
            <w:r>
              <w:rPr>
                <w:color w:val="000000" w:themeColor="text1"/>
                <w14:textFill>
                  <w14:solidFill>
                    <w14:schemeClr w14:val="tx1"/>
                  </w14:solidFill>
                </w14:textFill>
              </w:rPr>
              <w:t>标准后回注油藏。</w:t>
            </w:r>
          </w:p>
          <w:p w14:paraId="5BF68D5D">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（4）钻井队在生活营地均设置了生活污水防渗收集池，生活污水均排入收集池，定期拉运至</w:t>
            </w:r>
            <w:r>
              <w:rPr>
                <w:rFonts w:hint="eastAsia"/>
                <w:color w:val="000000" w:themeColor="text1"/>
                <w14:textFill>
                  <w14:solidFill>
                    <w14:schemeClr w14:val="tx1"/>
                  </w14:solidFill>
                </w14:textFill>
              </w:rPr>
              <w:t>吉木萨尔县污水处理厂</w:t>
            </w:r>
            <w:r>
              <w:rPr>
                <w:color w:val="000000" w:themeColor="text1"/>
                <w14:textFill>
                  <w14:solidFill>
                    <w14:schemeClr w14:val="tx1"/>
                  </w14:solidFill>
                </w14:textFill>
              </w:rPr>
              <w:t>处理。</w:t>
            </w:r>
          </w:p>
          <w:p w14:paraId="1C9A12BC">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工程钻井期间产生的废水均得到妥善处理，不外排，不会对地表水体造成污染。</w:t>
            </w:r>
          </w:p>
          <w:p w14:paraId="5DCD89FE">
            <w:pPr>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3.2 地下水和土壤污染防治措施</w:t>
            </w:r>
          </w:p>
          <w:p w14:paraId="3133AAFE">
            <w:pPr>
              <w:numPr>
                <w:ilvl w:val="0"/>
                <w:numId w:val="2"/>
              </w:numPr>
              <w:ind w:firstLine="480"/>
              <w:rPr>
                <w:color w:val="000000" w:themeColor="text1"/>
                <w14:textFill>
                  <w14:solidFill>
                    <w14:schemeClr w14:val="tx1"/>
                  </w14:solidFill>
                </w14:textFill>
              </w:rPr>
            </w:pPr>
            <w:r>
              <w:rPr>
                <w:color w:val="000000" w:themeColor="text1"/>
                <w14:textFill>
                  <w14:solidFill>
                    <w14:schemeClr w14:val="tx1"/>
                  </w14:solidFill>
                </w14:textFill>
              </w:rPr>
              <w:t>地下水和土壤保护措施</w:t>
            </w:r>
          </w:p>
          <w:p w14:paraId="2633A452">
            <w:pPr>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color w:val="000000" w:themeColor="text1"/>
                <w14:textFill>
                  <w14:solidFill>
                    <w14:schemeClr w14:val="tx1"/>
                  </w14:solidFill>
                </w14:textFill>
              </w:rPr>
              <w:t>作业平台铺设防渗膜，防渗膜防渗系数需小于等于1.0×10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w:t>
            </w:r>
          </w:p>
          <w:p w14:paraId="2633B3A9">
            <w:pPr>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color w:val="000000" w:themeColor="text1"/>
                <w14:textFill>
                  <w14:solidFill>
                    <w14:schemeClr w14:val="tx1"/>
                  </w14:solidFill>
                </w14:textFill>
              </w:rPr>
              <w:t>生活污水排入生活营地内防渗收集池（30m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），定期拉运至</w:t>
            </w:r>
            <w:r>
              <w:rPr>
                <w:rFonts w:hint="eastAsia"/>
                <w:color w:val="000000" w:themeColor="text1"/>
                <w14:textFill>
                  <w14:solidFill>
                    <w14:schemeClr w14:val="tx1"/>
                  </w14:solidFill>
                </w14:textFill>
              </w:rPr>
              <w:t>吉木萨尔县污水处理厂</w:t>
            </w:r>
            <w:r>
              <w:rPr>
                <w:color w:val="000000" w:themeColor="text1"/>
                <w14:textFill>
                  <w14:solidFill>
                    <w14:schemeClr w14:val="tx1"/>
                  </w14:solidFill>
                </w14:textFill>
              </w:rPr>
              <w:t>处理，严禁生活污水随意外排。</w:t>
            </w:r>
          </w:p>
          <w:p w14:paraId="28801404">
            <w:pPr>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color w:val="000000" w:themeColor="text1"/>
                <w14:textFill>
                  <w14:solidFill>
                    <w14:schemeClr w14:val="tx1"/>
                  </w14:solidFill>
                </w14:textFill>
              </w:rPr>
              <w:t>储罐区做基础的防渗，宜从上至下依次采用罐底板、沥青砂绝缘层、砂垫层、防水涂料层、钢筋混凝土承台、混凝土垫层的防渗方式。</w:t>
            </w:r>
          </w:p>
          <w:p w14:paraId="548CAB14">
            <w:pPr>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color w:val="000000" w:themeColor="text1"/>
                <w14:textFill>
                  <w14:solidFill>
                    <w14:schemeClr w14:val="tx1"/>
                  </w14:solidFill>
                </w14:textFill>
              </w:rPr>
              <w:t>放喷池为下陷式，底部及四周采用聚乙烯丙纶复合防水卷材铺贴放喷池内表面，防渗系数小于10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cm/s。根据以往经验和附近已钻油井经验，预留的放喷池可以容纳井喷时产生的原油。</w:t>
            </w:r>
          </w:p>
          <w:p w14:paraId="338BFF00">
            <w:pPr>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5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⑤</w:t>
            </w:r>
            <w:r>
              <w:rPr>
                <w:color w:val="000000" w:themeColor="text1"/>
                <w14:textFill>
                  <w14:solidFill>
                    <w14:schemeClr w14:val="tx1"/>
                  </w14:solidFill>
                </w14:textFill>
              </w:rPr>
              <w:fldChar w:fldCharType="end"/>
            </w:r>
            <w:r>
              <w:rPr>
                <w:color w:val="000000" w:themeColor="text1"/>
                <w14:textFill>
                  <w14:solidFill>
                    <w14:schemeClr w14:val="tx1"/>
                  </w14:solidFill>
                </w14:textFill>
              </w:rPr>
              <w:t>方罐和气液分离器：宜采用“混凝土+2mm高密度聚乙烯膜”防渗。</w:t>
            </w:r>
          </w:p>
          <w:p w14:paraId="1CC26996">
            <w:pPr>
              <w:pStyle w:val="8"/>
              <w:spacing w:after="0"/>
              <w:ind w:firstLine="480"/>
              <w:rPr>
                <w:color w:val="000000" w:themeColor="text1"/>
                <w14:textFill>
                  <w14:solidFill>
                    <w14:schemeClr w14:val="tx1"/>
                  </w14:solidFill>
                </w14:textFill>
              </w:rPr>
            </w:pPr>
            <w:r>
              <w:rPr>
                <w:color w:val="000000" w:themeColor="text1"/>
                <w14:textFill>
                  <w14:solidFill>
                    <w14:schemeClr w14:val="tx1"/>
                  </w14:solidFill>
                </w14:textFill>
              </w:rPr>
              <w:t>⑥钻井时采用套管与地层隔离开、并在套管与地层之间注入水泥进行固井，泥浆返至地面，封隔疏松地层和水层。</w:t>
            </w:r>
          </w:p>
          <w:p w14:paraId="69595703">
            <w:pPr>
              <w:pStyle w:val="8"/>
              <w:spacing w:after="0"/>
              <w:ind w:firstLine="480"/>
              <w:rPr>
                <w:color w:val="000000" w:themeColor="text1"/>
                <w14:textFill>
                  <w14:solidFill>
                    <w14:schemeClr w14:val="tx1"/>
                  </w14:solidFill>
                </w14:textFill>
              </w:rPr>
            </w:pPr>
            <w:r>
              <w:rPr>
                <w:color w:val="000000" w:themeColor="text1"/>
                <w14:textFill>
                  <w14:solidFill>
                    <w14:schemeClr w14:val="tx1"/>
                  </w14:solidFill>
                </w14:textFill>
              </w:rPr>
              <w:t>⑦钻井时严格落实套管下入深度合格和固井质量合格，对产生的洗井废水、压裂返排液、生活污水、钻井岩屑、废弃防渗膜、机械设备废油及生活垃圾严格管理，禁止乱排。</w:t>
            </w:r>
          </w:p>
          <w:p w14:paraId="236BFEC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（2）井喷地下水保护措施</w:t>
            </w:r>
          </w:p>
          <w:p w14:paraId="011A1FB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虽然本项目钻井期间发生井喷的可能性极小，但应切实做好防止井喷的落实工作。主要措施是安装防喷器和井控装置（简易封井器等），同时随时调整泥浆密度，修井采用清水循环压井等技术，以最大限度地防止井喷事故的发生。</w:t>
            </w:r>
          </w:p>
          <w:p w14:paraId="623E856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①制定具体井控措施及防止井喷预案。</w:t>
            </w:r>
          </w:p>
          <w:p w14:paraId="1390411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②开钻前由建设方地质监督或受委托的相关单位地质员，对相应的停注、泄压等措施进行检查（检查结果记录在井队井控专用本上）落实，直到相应层位套管固井后凝完为止。</w:t>
            </w:r>
          </w:p>
          <w:p w14:paraId="201E0D0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③钻井液密度及其他性能符合设计要求，并按设计要求储备压井液、加重剂、堵漏材料和其他处理剂，对储备加重钻井液定期循环处理，防止沉淀。</w:t>
            </w:r>
          </w:p>
          <w:p w14:paraId="3BE5F70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④送至井场的防喷器有试压曲线和试压合格证。安装防喷器前要检查闸板芯尺寸是否与使用钻杆尺寸相符，液控系统功能是否齐全、可靠，液控管线有无滴漏现象。</w:t>
            </w:r>
          </w:p>
          <w:p w14:paraId="004246DF">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⑤钻开油、气层后，每次起下钻（活动时间间隔超过5d）对闸板防喷器及手动锁紧装置开关活动一次，定期对井控装置进行试压。</w:t>
            </w:r>
          </w:p>
          <w:p w14:paraId="09A59A8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⑥测井、固井、完井等作业时，要严格执行安全操作规程和井控措施，避免发生井下复杂情况和井喷失控事故。</w:t>
            </w:r>
          </w:p>
          <w:p w14:paraId="3124F0E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⑦要严格控制提下钻速度，防止抽汲压力过大造成井涌、井喷，激动压力过大造成井漏。提钻按规定灌好钻井液，下钻过程中注意观察井口返出钻井液情况并安排中间洗井，起下钻过程中操作要连续，减少钻具静置时间。</w:t>
            </w:r>
          </w:p>
          <w:p w14:paraId="713A8BF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⑧要求做好固井前的通井、循环钻井液、调整钻井液性能等工作。控制下套管速度，以防蹩漏地层。</w:t>
            </w:r>
          </w:p>
          <w:p w14:paraId="6E17C32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⑨下套管要操作平稳，严禁猛刹、猛放，防止溜钻、顿钻，按规程下套管，双大钳紧扣，以保证套管连接强度。</w:t>
            </w:r>
          </w:p>
          <w:p w14:paraId="20A6978C">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⑩目的层钻进时预防井漏和井喷，并做好油气层保护工作。</w:t>
            </w:r>
          </w:p>
          <w:p w14:paraId="32108A63">
            <w:pPr>
              <w:ind w:firstLine="472"/>
              <w:jc w:val="left"/>
              <w:rPr>
                <w:color w:val="000000" w:themeColor="text1"/>
                <w14:textFill>
                  <w14:solidFill>
                    <w14:schemeClr w14:val="tx1"/>
                  </w14:solidFill>
                </w14:textFill>
              </w:rPr>
            </w:pPr>
            <w:r>
              <w:rPr>
                <w:color w:val="000000" w:themeColor="text1"/>
                <w:spacing w:val="-2"/>
                <w14:textFill>
                  <w14:solidFill>
                    <w14:schemeClr w14:val="tx1"/>
                  </w14:solidFill>
                </w14:textFill>
              </w:rPr>
              <w:t>废水均得以妥善处置，最终实现达标排放或回用，固体废物均得到妥善处置。地下水、土壤环境保护措施均为技术可行、经济合理、稳定可靠、便于实施的成熟措施，在钻井过程中得到广泛应用。采取上述措施后，钻试工程不会对地下水环境和土壤环境造成不利影响。</w:t>
            </w:r>
          </w:p>
          <w:p w14:paraId="3F99B81B">
            <w:pPr>
              <w:keepNext/>
              <w:keepLines/>
              <w:ind w:firstLine="0" w:firstLineChars="0"/>
              <w:jc w:val="left"/>
              <w:outlineLvl w:val="2"/>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4 噪声污染防治措施</w:t>
            </w:r>
          </w:p>
          <w:p w14:paraId="0738A9DF">
            <w:pPr>
              <w:ind w:firstLine="480"/>
              <w:jc w:val="left"/>
              <w:rPr>
                <w:color w:val="000000" w:themeColor="text1"/>
                <w:kern w:val="0"/>
                <w14:textFill>
                  <w14:solidFill>
                    <w14:schemeClr w14:val="tx1"/>
                  </w14:solidFill>
                </w14:textFill>
              </w:rPr>
            </w:pPr>
            <w:r>
              <w:rPr>
                <w:color w:val="000000" w:themeColor="text1"/>
                <w14:textFill>
                  <w14:solidFill>
                    <w14:schemeClr w14:val="tx1"/>
                  </w14:solidFill>
                </w14:textFill>
              </w:rPr>
              <w:t>（1）钻井期做好泥浆泵、发电机和柴油机等高噪声设备的基础减振和设置隔声罩减少噪声传播，合理安排施工时间，高噪声施工设备减少夜间使用或禁止使用；避免形成污染影响；在不能对声源采取有效措施情况下，对可能受噪声影响的油田工作人员发放噪声个人防护器材，消除噪声污染影响。</w:t>
            </w:r>
          </w:p>
          <w:p w14:paraId="23D97D1F">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（2）定期维护保养泥浆泵、钻机、柴油发电机、柴油动力机组、压裂车、搅拌机等高噪声设备；</w:t>
            </w:r>
          </w:p>
          <w:p w14:paraId="69A1CF1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（3）做好机械设备组织，尽量避免高噪声设备同时操作。</w:t>
            </w:r>
          </w:p>
          <w:p w14:paraId="7F91EA4F">
            <w:pPr>
              <w:keepNext/>
              <w:keepLines/>
              <w:ind w:firstLine="0" w:firstLineChars="0"/>
              <w:jc w:val="left"/>
              <w:outlineLvl w:val="2"/>
              <w:rPr>
                <w:b/>
                <w:bCs/>
                <w:color w:val="000000" w:themeColor="text1"/>
                <w:sz w:val="28"/>
                <w:szCs w:val="28"/>
                <w14:textFill>
                  <w14:solidFill>
                    <w14:schemeClr w14:val="tx1"/>
                  </w14:solidFill>
                </w14:textFill>
              </w:rPr>
            </w:pPr>
            <w:bookmarkStart w:id="31" w:name="_Hlk26201164"/>
            <w:r>
              <w:rPr>
                <w:b/>
                <w:bCs/>
                <w:color w:val="000000" w:themeColor="text1"/>
                <w:sz w:val="28"/>
                <w:szCs w:val="28"/>
                <w14:textFill>
                  <w14:solidFill>
                    <w14:schemeClr w14:val="tx1"/>
                  </w14:solidFill>
                </w14:textFill>
              </w:rPr>
              <w:t>5 固废污染防治措施</w:t>
            </w:r>
          </w:p>
          <w:bookmarkEnd w:id="31"/>
          <w:p w14:paraId="1BD6D3CF">
            <w:pPr>
              <w:ind w:firstLine="480"/>
              <w:jc w:val="left"/>
              <w:rPr>
                <w:color w:val="000000" w:themeColor="text1"/>
                <w14:textFill>
                  <w14:solidFill>
                    <w14:schemeClr w14:val="tx1"/>
                  </w14:solidFill>
                </w14:textFill>
              </w:rPr>
            </w:pPr>
            <w:bookmarkStart w:id="32" w:name="_Hlk26201155"/>
            <w:r>
              <w:rPr>
                <w:color w:val="000000" w:themeColor="text1"/>
                <w14:textFill>
                  <w14:solidFill>
                    <w14:schemeClr w14:val="tx1"/>
                  </w14:solidFill>
                </w14:textFill>
              </w:rPr>
              <w:t>（1）施工期钻井岩屑、泥浆经不落地系统处理实现固液分离，分离后的液相回用，水基岩屑交岩屑处置单位处置；油基岩屑</w:t>
            </w:r>
            <w:r>
              <w:rPr>
                <w:rFonts w:hint="eastAsia"/>
                <w:color w:val="000000" w:themeColor="text1"/>
                <w14:textFill>
                  <w14:solidFill>
                    <w14:schemeClr w14:val="tx1"/>
                  </w14:solidFill>
                </w14:textFill>
              </w:rPr>
              <w:t>交</w:t>
            </w:r>
            <w:r>
              <w:rPr>
                <w:color w:val="000000" w:themeColor="text1"/>
                <w14:textFill>
                  <w14:solidFill>
                    <w14:schemeClr w14:val="tx1"/>
                  </w14:solidFill>
                </w14:textFill>
              </w:rPr>
              <w:t>由新疆中建环能北庭环保科技有限公司</w:t>
            </w:r>
            <w:r>
              <w:rPr>
                <w:rFonts w:hint="eastAsia"/>
                <w:color w:val="000000" w:themeColor="text1"/>
                <w14:textFill>
                  <w14:solidFill>
                    <w14:schemeClr w14:val="tx1"/>
                  </w14:solidFill>
                </w14:textFill>
              </w:rPr>
              <w:t>处置</w:t>
            </w:r>
            <w:r>
              <w:rPr>
                <w:color w:val="000000" w:themeColor="text1"/>
                <w14:textFill>
                  <w14:solidFill>
                    <w14:schemeClr w14:val="tx1"/>
                  </w14:solidFill>
                </w14:textFill>
              </w:rPr>
              <w:t>。岩屑储罐应按照《危险废物识别标志设置技术规范》（HJ 1276-2022）相应要求设置标志牌，故本项目固废处置可行，处置方式合理。</w:t>
            </w:r>
          </w:p>
          <w:p w14:paraId="1B88707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（2）物料及废物不乱排乱放，严禁各种油料落地。</w:t>
            </w:r>
          </w:p>
          <w:p w14:paraId="5C4F248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（3）施工单位应及时回收落地油等废物，产生的少量落地油泥由钻井队用专罐收集后委托有资质的单位进行处置。</w:t>
            </w:r>
          </w:p>
          <w:p w14:paraId="633A0C3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（4）采用“绿色修井技术和配套设备”，以原油不出井筒为目标，达到“三不沾油”，即井场不沾油、设备不沾油、操作工人身上不沾油。</w:t>
            </w:r>
          </w:p>
          <w:p w14:paraId="44F36F6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（5）井场垃圾分类存储，上加遮盖防止风吹飘散，严禁现场抛洒、焚烧、掩埋。</w:t>
            </w:r>
          </w:p>
          <w:p w14:paraId="4A05789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（6）生活营地内设置垃圾箱，施工期含油抹布、手套等用品与生活垃圾一起统一收集，由施工单位清运至</w:t>
            </w:r>
            <w:r>
              <w:rPr>
                <w:rFonts w:hint="eastAsia"/>
                <w:color w:val="000000" w:themeColor="text1"/>
                <w14:textFill>
                  <w14:solidFill>
                    <w14:schemeClr w14:val="tx1"/>
                  </w14:solidFill>
                </w14:textFill>
              </w:rPr>
              <w:t>吉木萨尔县生活垃圾填埋场</w:t>
            </w:r>
            <w:r>
              <w:rPr>
                <w:color w:val="000000" w:themeColor="text1"/>
                <w14:textFill>
                  <w14:solidFill>
                    <w14:schemeClr w14:val="tx1"/>
                  </w14:solidFill>
                </w14:textFill>
              </w:rPr>
              <w:t>处置。</w:t>
            </w:r>
            <w:bookmarkEnd w:id="32"/>
          </w:p>
          <w:p w14:paraId="4EF01F3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（7）钻井井场设</w:t>
            </w:r>
            <w:r>
              <w:rPr>
                <w:rFonts w:hint="eastAsia"/>
                <w:color w:val="000000" w:themeColor="text1"/>
                <w14:textFill>
                  <w14:solidFill>
                    <w14:schemeClr w14:val="tx1"/>
                  </w14:solidFill>
                </w14:textFill>
              </w:rPr>
              <w:t>1座</w:t>
            </w:r>
            <w:r>
              <w:rPr>
                <w:color w:val="000000" w:themeColor="text1"/>
                <w14:textFill>
                  <w14:solidFill>
                    <w14:schemeClr w14:val="tx1"/>
                  </w14:solidFill>
                </w14:textFill>
              </w:rPr>
              <w:t>危险废物</w:t>
            </w:r>
            <w:r>
              <w:rPr>
                <w:rFonts w:hint="eastAsia"/>
                <w:color w:val="000000" w:themeColor="text1"/>
                <w14:textFill>
                  <w14:solidFill>
                    <w14:schemeClr w14:val="tx1"/>
                  </w14:solidFill>
                </w14:textFill>
              </w:rPr>
              <w:t>贮存点</w:t>
            </w:r>
            <w:r>
              <w:rPr>
                <w:color w:val="000000" w:themeColor="text1"/>
                <w14:textFill>
                  <w14:solidFill>
                    <w14:schemeClr w14:val="tx1"/>
                  </w14:solidFill>
                </w14:textFill>
              </w:rPr>
              <w:t>，油基岩屑</w:t>
            </w:r>
            <w:r>
              <w:rPr>
                <w:rFonts w:hint="eastAsia"/>
                <w:color w:val="000000" w:themeColor="text1"/>
                <w14:textFill>
                  <w14:solidFill>
                    <w14:schemeClr w14:val="tx1"/>
                  </w14:solidFill>
                </w14:textFill>
              </w:rPr>
              <w:t>贮存在井场</w:t>
            </w:r>
            <w:r>
              <w:rPr>
                <w:color w:val="000000" w:themeColor="text1"/>
                <w14:textFill>
                  <w14:solidFill>
                    <w14:schemeClr w14:val="tx1"/>
                  </w14:solidFill>
                </w14:textFill>
              </w:rPr>
              <w:t>密封储罐集中收集，随钻随拉，产生的机械设备废油</w:t>
            </w:r>
            <w:r>
              <w:rPr>
                <w:rFonts w:hint="eastAsia"/>
                <w:color w:val="000000" w:themeColor="text1"/>
                <w14:textFill>
                  <w14:solidFill>
                    <w14:schemeClr w14:val="tx1"/>
                  </w14:solidFill>
                </w14:textFill>
              </w:rPr>
              <w:t>（2.0t）</w:t>
            </w:r>
            <w:r>
              <w:rPr>
                <w:color w:val="000000" w:themeColor="text1"/>
                <w14:textFill>
                  <w14:solidFill>
                    <w14:schemeClr w14:val="tx1"/>
                  </w14:solidFill>
                </w14:textFill>
              </w:rPr>
              <w:t>、废弃防渗膜</w:t>
            </w:r>
            <w:r>
              <w:rPr>
                <w:rFonts w:hint="eastAsia"/>
                <w:color w:val="000000" w:themeColor="text1"/>
                <w14:textFill>
                  <w14:solidFill>
                    <w14:schemeClr w14:val="tx1"/>
                  </w14:solidFill>
                </w14:textFill>
              </w:rPr>
              <w:t>（少量）暂存于井场危废贮存点，危废贮存点面积15m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，足以保障本项目危废的贮存，定期</w:t>
            </w:r>
            <w:r>
              <w:rPr>
                <w:color w:val="000000" w:themeColor="text1"/>
                <w14:textFill>
                  <w14:solidFill>
                    <w14:schemeClr w14:val="tx1"/>
                  </w14:solidFill>
                </w14:textFill>
              </w:rPr>
              <w:t>交由有资质的单位</w:t>
            </w:r>
            <w:r>
              <w:rPr>
                <w:rFonts w:hint="eastAsia"/>
                <w:color w:val="000000" w:themeColor="text1"/>
                <w14:textFill>
                  <w14:solidFill>
                    <w14:schemeClr w14:val="tx1"/>
                  </w14:solidFill>
                </w14:textFill>
              </w:rPr>
              <w:t>进行清运处置</w:t>
            </w:r>
            <w:r>
              <w:rPr>
                <w:color w:val="000000" w:themeColor="text1"/>
                <w14:textFill>
                  <w14:solidFill>
                    <w14:schemeClr w14:val="tx1"/>
                  </w14:solidFill>
                </w14:textFill>
              </w:rPr>
              <w:t>。危险废物的收集过程中，应依据《危险废物收集 贮存 运输技术规范》（HJ 2025-2012）的要求进行管理，采用专用车辆到指定地点收集运输危险废物，运输过程中不准设置中转储存点，严禁偷排、洒落、泄漏和随意倾倒等。此外，要求钻井完工前完成危险废物转移工作。</w:t>
            </w:r>
          </w:p>
          <w:p w14:paraId="6CEA12BC">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建设单位应依据《危险废物收集 贮存 运输技术规范》（HJ2025-2012）、《危险废物管理计划和管理台账制定技术导则》（HJ 1259-2022）和《危险废物转移管理办法》</w:t>
            </w:r>
            <w:r>
              <w:rPr>
                <w:rFonts w:hint="eastAsia"/>
                <w:color w:val="000000" w:themeColor="text1"/>
                <w:lang w:eastAsia="zh-CN"/>
                <w14:textFill>
                  <w14:solidFill>
                    <w14:schemeClr w14:val="tx1"/>
                  </w14:solidFill>
                </w14:textFill>
              </w:rPr>
              <w:t>（交通运输部令</w:t>
            </w:r>
            <w:r>
              <w:rPr>
                <w:color w:val="000000" w:themeColor="text1"/>
                <w14:textFill>
                  <w14:solidFill>
                    <w14:schemeClr w14:val="tx1"/>
                  </w14:solidFill>
                </w14:textFill>
              </w:rPr>
              <w:t xml:space="preserve"> 第23号2022年1月1日起施行）要求中有关规定，项目应加强以下措施：</w:t>
            </w:r>
          </w:p>
          <w:p w14:paraId="6ADDB85F">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A、收集作业</w:t>
            </w:r>
          </w:p>
          <w:p w14:paraId="56F6FAF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①应根据收集设备、转运车辆以及现场人员等实际情况确定相应作业区域，同时要设置作业界限标志和警示牌。</w:t>
            </w:r>
          </w:p>
          <w:p w14:paraId="5C05AEB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②作业区域内应设置危险废物收集专用通道和人员避险通道。</w:t>
            </w:r>
          </w:p>
          <w:p w14:paraId="610C810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③收集时应配备必要的收集工具和包装物，以及必要的应急监测设备及应急装备。</w:t>
            </w:r>
          </w:p>
          <w:p w14:paraId="37BF3F5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④危险废物收集应填写记录表，并将记录表作为危险废物管理的重要档案妥善保存。</w:t>
            </w:r>
          </w:p>
          <w:p w14:paraId="3EECC25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⑤收集结束后应清理和恢复收集作业区域，确保作业区域环境整洁安全。</w:t>
            </w:r>
          </w:p>
          <w:p w14:paraId="1BE975F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⑥收集过危险废物的容器、设备、设施、场所及其他物品转作他用时，应消除污染，确保其使用安全。</w:t>
            </w:r>
          </w:p>
          <w:p w14:paraId="665FCBE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B、危险废物转移</w:t>
            </w:r>
          </w:p>
          <w:p w14:paraId="041DBC0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①转移危险废物的，应当执行危险废物转移联单制度，法律法规另有规定的除外。</w:t>
            </w:r>
          </w:p>
          <w:p w14:paraId="03C315F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②运输危险废物的，应当遵守国家有关危险货物运输管理的规定。未经公安机关批准，危险废物运输车辆不得进入危险货物运输车辆限制通行的区域。</w:t>
            </w:r>
          </w:p>
          <w:p w14:paraId="6E2F3C4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③在危险废物转移过程中应当采取防扬散、防流失、防渗漏或者其他防止污染环境的措施，不得擅自倾倒、堆放、丢弃、遗撒危险废物。</w:t>
            </w:r>
          </w:p>
          <w:p w14:paraId="2528B14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④制定危险废物管理计划，明确拟转移危险废物的种类、重量（数量）和流向等信息。</w:t>
            </w:r>
          </w:p>
          <w:p w14:paraId="25250AD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C、危险废物的运输</w:t>
            </w:r>
          </w:p>
          <w:p w14:paraId="191CC59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①危险废物运输应由持有危险废物经营许可证的单位按照其许可证的经营范围组织实施，承担危险废物运输的单位应获得交通运输部门颁发的危险货物运输资质。</w:t>
            </w:r>
          </w:p>
          <w:p w14:paraId="7FD557F8">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②废弃危险化学品的运输应执行《危险化学品安全管理条例》有关运输的规定。</w:t>
            </w:r>
          </w:p>
          <w:p w14:paraId="369CB9AF">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③运输单位承运危险废物时，应在危险废物包装上按照《危险废物贮存污染控制标准》（GB18597-2023）附录A设置标志。</w:t>
            </w:r>
          </w:p>
          <w:p w14:paraId="358C3A5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④危险废物公路运输时，运输车辆应按《道路危险货物运输管理规定》（交通部令〔2005年〕第9号）、JT/T 617-2018以及JT/T 617-2018执行。</w:t>
            </w:r>
          </w:p>
          <w:p w14:paraId="5FA6747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危险废物运输时的中转、装卸过程应遵守如下技术要求：</w:t>
            </w:r>
          </w:p>
          <w:p w14:paraId="0FCFE6A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①卸载区的工作人员应熟悉废物的危险特性，并配备适当的个人防护装备，装卸剧毒废物应配备特殊的防护装备。</w:t>
            </w:r>
          </w:p>
          <w:p w14:paraId="35D08F8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②卸载区应配备必要的消防设备和设施，并设置明显的指示标志。</w:t>
            </w:r>
          </w:p>
          <w:p w14:paraId="1D1FE9D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③危险废物装卸区应设置隔离设施，液态废物卸载区应设置收集槽和缓冲罐。</w:t>
            </w:r>
          </w:p>
          <w:p w14:paraId="6C5BB4B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D、危险废物管理</w:t>
            </w:r>
          </w:p>
          <w:p w14:paraId="15311D9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根据《危险废物环境管理指南 陆上石油天然气开采》（2021年12月22日）相关要求如下：</w:t>
            </w:r>
          </w:p>
          <w:p w14:paraId="1847D6A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①落实污染环境防治责任制度，建立健全危险废物产生、收集、贮存、运输、利用、处理全过程的污染环境防治责任制度。</w:t>
            </w:r>
          </w:p>
          <w:p w14:paraId="1701DCF8">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②落实危险废物识别标志制度，按照《环境保护图形标志 固体废物贮存（处置）场》（GB 15562.2-1995）等有关规定，对危险废物的容器和包装物以及收集、贮存、运输、利用、处理危险废物的设施、场所设置危险废物识别标志。</w:t>
            </w:r>
          </w:p>
          <w:p w14:paraId="3D86E0F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③落实危险废物管理计划制度，按照《危险废物产生单位管理计划制定指南》等有关要求制定危险废物管理计划，并报所在地生态环境主管部门备案</w:t>
            </w:r>
            <w:r>
              <w:rPr>
                <w:rFonts w:hint="eastAsia"/>
                <w:color w:val="000000" w:themeColor="text1"/>
                <w14:textFill>
                  <w14:solidFill>
                    <w14:schemeClr w14:val="tx1"/>
                  </w14:solidFill>
                </w14:textFill>
              </w:rPr>
              <w:t>，结合本项目的特点，需从台账管理、环境信息公开、执行报告三大核心维度构建全流程环境管理要求，同时覆盖源头减量、贮存转移等关键环节，确保合规可控</w:t>
            </w:r>
            <w:r>
              <w:rPr>
                <w:color w:val="000000" w:themeColor="text1"/>
                <w14:textFill>
                  <w14:solidFill>
                    <w14:schemeClr w14:val="tx1"/>
                  </w14:solidFill>
                </w14:textFill>
              </w:rPr>
              <w:t>。危险</w:t>
            </w:r>
            <w:r>
              <w:rPr>
                <w:rFonts w:hint="eastAsia"/>
                <w:color w:val="000000" w:themeColor="text1"/>
                <w14:textFill>
                  <w14:solidFill>
                    <w14:schemeClr w14:val="tx1"/>
                  </w14:solidFill>
                </w14:textFill>
              </w:rPr>
              <w:t>废物台账需装订成册，保存期限至少为5年，</w:t>
            </w:r>
            <w:r>
              <w:rPr>
                <w:color w:val="000000" w:themeColor="text1"/>
                <w14:textFill>
                  <w14:solidFill>
                    <w14:schemeClr w14:val="tx1"/>
                  </w14:solidFill>
                </w14:textFill>
              </w:rPr>
              <w:t>危险废物相关信</w:t>
            </w:r>
            <w:r>
              <w:rPr>
                <w:rFonts w:hint="eastAsia"/>
                <w:color w:val="000000" w:themeColor="text1"/>
                <w14:textFill>
                  <w14:solidFill>
                    <w14:schemeClr w14:val="tx1"/>
                  </w14:solidFill>
                </w14:textFill>
              </w:rPr>
              <w:t>息需向社会公开。</w:t>
            </w:r>
          </w:p>
          <w:p w14:paraId="7A708F5C">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④落实危险废物管理台账及申报制度，建立危险废物管理台账，如实记录有关信息，并通过国家危险废物信息管理系统向所在地生态环境主管部门申报危险废物的种类、产生量、流向、贮存、处理等有关资料</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危险</w:t>
            </w:r>
            <w:r>
              <w:rPr>
                <w:rFonts w:hint="eastAsia"/>
                <w:color w:val="000000" w:themeColor="text1"/>
                <w14:textFill>
                  <w14:solidFill>
                    <w14:schemeClr w14:val="tx1"/>
                  </w14:solidFill>
                </w14:textFill>
              </w:rPr>
              <w:t>废物台账需装订成册，保存期限至少为5年。</w:t>
            </w:r>
          </w:p>
          <w:p w14:paraId="4B38A86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落实《危险废物转移管理办法》，转移危险废物的，应当按照《危险废物转移管理办法》的有关规定填写、运行危险废物转移联单。运输危险废物，应当采取防止污染环境的措施，并遵守国家有关危险货物运输管理的规定。</w:t>
            </w:r>
          </w:p>
          <w:p w14:paraId="57A0FAC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⑥危险废物收集、贮存应当按照其特性分类进行；禁止将危险废物混入非危险废物中贮存。危险废物收集、贮存和运输过程的污染控制执行《危险废物贮存污染控制标准》（GB 18597-2023）、《危险废物收集贮存运输技术规范》（HJ 2025-2012）等有关规定。</w:t>
            </w:r>
          </w:p>
          <w:p w14:paraId="55C1F7E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本项目产生的危险废物委托有资质的单位转运及处理。转运过程严格按照相关要求进行操作转运，严禁由不具备相应资质的单位私自转运。完井后，井场废物全部进行清理、回收处理，做到“工完、料尽、场地清”。</w:t>
            </w:r>
          </w:p>
          <w:p w14:paraId="0D4FBDDF">
            <w:pPr>
              <w:keepNext/>
              <w:keepLines/>
              <w:ind w:firstLine="0" w:firstLineChars="0"/>
              <w:jc w:val="left"/>
              <w:outlineLvl w:val="2"/>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6 土壤污染防治措施</w:t>
            </w:r>
          </w:p>
          <w:p w14:paraId="4733D7E6">
            <w:pPr>
              <w:ind w:firstLine="480"/>
              <w:rPr>
                <w:color w:val="000000" w:themeColor="text1"/>
                <w14:textFill>
                  <w14:solidFill>
                    <w14:schemeClr w14:val="tx1"/>
                  </w14:solidFill>
                </w14:textFill>
              </w:rPr>
            </w:pPr>
            <w:r>
              <w:rPr>
                <w:color w:val="000000" w:themeColor="text1"/>
                <w14:textFill>
                  <w14:solidFill>
                    <w14:schemeClr w14:val="tx1"/>
                  </w14:solidFill>
                </w14:textFill>
              </w:rPr>
              <w:t>（1）应严格控制施工期临时占地面积，按设计及规划的施工范围进行施工作业，减少土壤扰动。</w:t>
            </w:r>
          </w:p>
          <w:p w14:paraId="2AEE5BC3">
            <w:pPr>
              <w:ind w:firstLine="480"/>
              <w:rPr>
                <w:color w:val="000000" w:themeColor="text1"/>
                <w14:textFill>
                  <w14:solidFill>
                    <w14:schemeClr w14:val="tx1"/>
                  </w14:solidFill>
                </w14:textFill>
              </w:rPr>
            </w:pPr>
            <w:r>
              <w:rPr>
                <w:color w:val="000000" w:themeColor="text1"/>
                <w14:textFill>
                  <w14:solidFill>
                    <w14:schemeClr w14:val="tx1"/>
                  </w14:solidFill>
                </w14:textFill>
              </w:rPr>
              <w:t>（2）施工机械及运输车辆应按规定的道路行驶，减少对土壤的碾压，减少碾压造成的土壤紧实度增加及养分流失。</w:t>
            </w:r>
          </w:p>
          <w:p w14:paraId="15430D14">
            <w:pPr>
              <w:ind w:firstLine="480"/>
              <w:rPr>
                <w:color w:val="000000" w:themeColor="text1"/>
                <w14:textFill>
                  <w14:solidFill>
                    <w14:schemeClr w14:val="tx1"/>
                  </w14:solidFill>
                </w14:textFill>
              </w:rPr>
            </w:pPr>
            <w:r>
              <w:rPr>
                <w:color w:val="000000" w:themeColor="text1"/>
                <w14:textFill>
                  <w14:solidFill>
                    <w14:schemeClr w14:val="tx1"/>
                  </w14:solidFill>
                </w14:textFill>
              </w:rPr>
              <w:t>（3）施工产生的建筑垃圾不得随意抛洒，应集中收集并及时清运，防止污染物进入土壤环境造成污染。</w:t>
            </w:r>
          </w:p>
          <w:p w14:paraId="48596572">
            <w:pPr>
              <w:ind w:firstLine="480"/>
              <w:rPr>
                <w:color w:val="000000" w:themeColor="text1"/>
                <w14:textFill>
                  <w14:solidFill>
                    <w14:schemeClr w14:val="tx1"/>
                  </w14:solidFill>
                </w14:textFill>
              </w:rPr>
            </w:pPr>
            <w:r>
              <w:rPr>
                <w:color w:val="000000" w:themeColor="text1"/>
                <w14:textFill>
                  <w14:solidFill>
                    <w14:schemeClr w14:val="tx1"/>
                  </w14:solidFill>
                </w14:textFill>
              </w:rPr>
              <w:t>综上所述，正常情况下，钻井及试油工程不会污染土壤环境，非正常情况下，采取有效措施后可减轻对土壤环境的影响。在做好源头控制、过程防控等措施的前提下，可避免工程实施对土壤环境产生污染影响。</w:t>
            </w:r>
          </w:p>
          <w:p w14:paraId="2895B48F">
            <w:pPr>
              <w:keepNext/>
              <w:keepLines/>
              <w:ind w:firstLine="0" w:firstLineChars="0"/>
              <w:jc w:val="left"/>
              <w:outlineLvl w:val="2"/>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7 环境风险防范措施</w:t>
            </w:r>
          </w:p>
          <w:p w14:paraId="123CAC3E">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7.1 环境风险防范措施</w:t>
            </w:r>
          </w:p>
          <w:p w14:paraId="3CA8754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本项目应在预防措施上切实做好防止井喷的各项措施，严格执行各类管理制度。主要措施是安装井控装置（防喷器、简易封井器等），同时采用随时调整泥浆密度，采用清水循环压井等技术，以最大限度地防止井喷事故的发生。</w:t>
            </w:r>
          </w:p>
          <w:p w14:paraId="25A80BD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（1）钻井作业事故防范措施</w:t>
            </w:r>
          </w:p>
          <w:p w14:paraId="3ADA47C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①安装防喷器前认真检查闸板心子尺寸是否与使用钻杆尺寸相符，液控系统功能是否齐全、可靠，液控管线有无刺漏现象。</w:t>
            </w:r>
          </w:p>
          <w:p w14:paraId="62FFE0D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②防喷器顶部安装防溢管时用螺栓连接，不用的螺孔用丝堵进行封堵。防溢管与防喷器的连接密封可用金属密封垫环或专用橡胶圈。防溢管处应装挡泥伞，保证防喷器组及四通各闸阀清洁、无钻井液。</w:t>
            </w:r>
          </w:p>
          <w:p w14:paraId="0D60E87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③远程控制台安装在面对井架大门左侧、距井口不少于25m的专用活动房内，距放喷管线或压井管线有2m以上距离，周围留有宽度不少于2m的人行通道，周围10m内不得堆放易燃、易爆、腐蚀物品。</w:t>
            </w:r>
          </w:p>
          <w:p w14:paraId="59C26FE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放喷管线接出井口15m以外，一般情况下管线应平直并向井场两侧或后场引出，转弯处应使用角度大于120°的铸（锻）钢弯头或具有缓冲垫的标准两通；若用钻杆，其公扣朝外；管线每隔9～11m、转弯处（前后基墩固定）、出口处用基墩或地锚固定牢靠；放喷管线出口处使用双基墩固定，距出口端不超过1.5m。辅助放喷管线执行主放喷管线标准。</w:t>
            </w:r>
          </w:p>
          <w:p w14:paraId="134BA88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⑤井控设备安装好后，按要求试压。</w:t>
            </w:r>
          </w:p>
          <w:p w14:paraId="588CA14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⑥作业班应按钻进、起下钻杆、起下钻铤和空井发生溢流四种工况，按“逢五逢十”进行防喷演习，防喷演习遵循“以司钻为中心，班自为战，从实战出发”的原则。</w:t>
            </w:r>
          </w:p>
          <w:p w14:paraId="2612F12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⑦钻进作业和空井状态应在2min、提下钻杆应在4min、提下钻铤（加重钻杆）应在5min内控制住井口。</w:t>
            </w:r>
          </w:p>
          <w:p w14:paraId="3FBA94B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⑧做好防硫、防喷演习讲评和记录。</w:t>
            </w:r>
          </w:p>
          <w:p w14:paraId="73E86D7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⑨全井坐岗。非油、气层每小时测量一次钻井液增、减量。进入油层前50m开始每15min测量一次；提下钻杆每3-5柱（＜15min）测量一次；提下钻铤每15min测量一次。</w:t>
            </w:r>
          </w:p>
          <w:p w14:paraId="36BBB25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⑩在井口安装防喷器和控制装置，杜绝井喷的发生。</w:t>
            </w:r>
          </w:p>
          <w:p w14:paraId="59B66EA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⑪井控操作实行持证上岗，各岗位的钻井人员有明确的分工，并且应经过井控专业培训。</w:t>
            </w:r>
          </w:p>
          <w:p w14:paraId="46C0DB5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⑫井场设置明显的禁止烟火标志；井场钻井设备及电气设备、照明灯具符合防火防爆的安全要求，井场安装探照灯，以备井喷时钻台照明。</w:t>
            </w:r>
          </w:p>
          <w:p w14:paraId="6FAB28B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⑬在井架、井场路口等处设风向标，发生事故时人员迅速向上风向疏散。</w:t>
            </w:r>
          </w:p>
          <w:p w14:paraId="1445D058">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⑭按消防规定配备灭火器、消防铁锹和其他消防器材。</w:t>
            </w:r>
          </w:p>
          <w:p w14:paraId="55568E1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⑮事故应急救援预案。</w:t>
            </w:r>
          </w:p>
          <w:p w14:paraId="7497000B">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根据项目的生产特点，制定了相应的应急预案，由项目主要负责人按照应急预案中的要求定期组织职工学习并进行演习。</w:t>
            </w:r>
          </w:p>
          <w:p w14:paraId="5FE99C7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（2）硫化氢防范措施</w:t>
            </w:r>
          </w:p>
          <w:p w14:paraId="2024151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应做好硫化氢监测和防范工作。施工井队应配备至少3套的便携式硫化氢监测仪，做好硫化氢检测工作，制定防硫化氢应急预案。在井场大门口、钻台、振动筛、坐岗房、防喷器液控房等五处设立风向标（风袋、风飘带、风旗或其他适用的装置），并在不同方向上划定两个紧急集合点，一旦发生紧急情况，作业人员可向上风方向疏散。当监测到硫化氢浓度大于15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（10ppm）时，立即按照含硫油气井作业规定配置硫化氢监测仪、正压式呼吸器等设施，按照《硫化氢环境钻井场所作业安全规范》（SY/T 5087-20</w:t>
            </w:r>
            <w:r>
              <w:rPr>
                <w:rFonts w:hint="eastAsia"/>
                <w:color w:val="000000" w:themeColor="text1"/>
                <w14:textFill>
                  <w14:solidFill>
                    <w14:schemeClr w14:val="tx1"/>
                  </w14:solidFill>
                </w14:textFill>
              </w:rPr>
              <w:t>24</w:t>
            </w:r>
            <w:r>
              <w:rPr>
                <w:color w:val="000000" w:themeColor="text1"/>
                <w14:textFill>
                  <w14:solidFill>
                    <w14:schemeClr w14:val="tx1"/>
                  </w14:solidFill>
                </w14:textFill>
              </w:rPr>
              <w:t>）标准规定执行。</w:t>
            </w:r>
          </w:p>
          <w:p w14:paraId="2349CC0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（3）钻井套管破损、泄漏事故风险防范措施</w:t>
            </w:r>
          </w:p>
          <w:p w14:paraId="6124022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①钻井、固井、完井等作业严格执行各项安全操作规程，确保施工质量，防漏、防窜。</w:t>
            </w:r>
          </w:p>
          <w:p w14:paraId="3D72759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压裂、酸化及调堵等施工作业前应将高低压管汇连接牢固，施工时应该严格控制不能超过设备额定压力；操作人员要密切注意设备运行状况，发现管件破裂刺漏等问题及时处理；作业现场应配备消防设备，以备应急救援。</w:t>
            </w:r>
          </w:p>
          <w:p w14:paraId="6B1523C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③气井压裂、酸化解堵及冲砂等作业应按照设计要求均匀加砂，严禁中途停泵；冲砂管柱下放速度不宜过快，排量不能太小；更换油管速度要快并要防止井中落物。</w:t>
            </w:r>
          </w:p>
          <w:p w14:paraId="2509620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④防腐蚀，做好地层水、天然气二氧化碳等的防腐工作。</w:t>
            </w:r>
          </w:p>
          <w:p w14:paraId="74037CB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⑤工程施工、监理单位须具备相应资质，加强对施工现场的安全组织管理和监督。</w:t>
            </w:r>
          </w:p>
          <w:p w14:paraId="44D54DB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⑥建立、健全各项安全管理制度以及配套的工艺、设备安全操作规程，并严格执行。</w:t>
            </w:r>
          </w:p>
          <w:p w14:paraId="4612D3B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（4）井喷预防措施</w:t>
            </w:r>
          </w:p>
          <w:p w14:paraId="5B51382C">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①在钻井泥浆循环时，如果泥浆液面快速上升，应立即停泵，在阻流管线打开的情况下立即关井，然后慢慢关闭阻流器。如发现泥浆罐液面在慢速上升，且在一次起下钻之后发生溢流时，应采用旋转头和橡胶阻流器继续钻进，防止井喷发生。</w:t>
            </w:r>
          </w:p>
          <w:p w14:paraId="55E4D343">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②井下作业之前，在井场周围划分高压区和低压区，高压泵、高压汇管、井口装置等高压设备均布置于高压区内，施工过程中，高压区无关人员全部撤离，并设置安全警戒岗。</w:t>
            </w:r>
          </w:p>
          <w:p w14:paraId="4689A507">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③起下钻时，当发现井内液体流出，而钻杆在井内时，应立即接上回压阀或管内防喷器并关井。若发现流体流出而钻铤正位于防喷器处时，立即接上回压阀或管内防喷器，用多效万能防喷器关井；在突然发生井内液体大量流出的情况下，应将井内钻具下过钻铤，在钻杆处关闭全密封闸板。如果不下过钻铤，则可用万能防喷器关井。当钻头从井眼中起出后发现井内液体流出时，要立即关闭全封闭闸板。</w:t>
            </w:r>
          </w:p>
          <w:p w14:paraId="298CE8C4">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④作业班应按钻进、起下钻杆、起下钻铤和空井发生溢流四种工况，按“逢五逢十”防喷演习制度进行防喷演习。作业班每月不少于一次不同工况的防喷演习。二开前应进行四种工况的防喷演习。换班人员应在第一次下钻作业中进行四种工况的防喷演习，演习不合格不得进行下步作业。</w:t>
            </w:r>
          </w:p>
          <w:p w14:paraId="1DCA7E46">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⑤每一次井下作业施工前，必须对高压汇管进行试压，试压压力大于施工压力，施工后必须探伤，更换不符合要求的汇管。</w:t>
            </w:r>
          </w:p>
          <w:p w14:paraId="7C5AF973">
            <w:pPr>
              <w:pStyle w:val="41"/>
              <w:rPr>
                <w:color w:val="000000" w:themeColor="text1"/>
                <w:kern w:val="21"/>
                <w:szCs w:val="24"/>
                <w14:textFill>
                  <w14:solidFill>
                    <w14:schemeClr w14:val="tx1"/>
                  </w14:solidFill>
                </w14:textFill>
              </w:rPr>
            </w:pPr>
            <w:r>
              <w:rPr>
                <w:color w:val="000000" w:themeColor="text1"/>
                <w:kern w:val="21"/>
                <w:szCs w:val="24"/>
                <w14:textFill>
                  <w14:solidFill>
                    <w14:schemeClr w14:val="tx1"/>
                  </w14:solidFill>
                </w14:textFill>
              </w:rPr>
              <w:t>⑥钻进中遇到钻速突然加快、放空、井漏、气测及油气水显示异常等情况，应立即停钻观察，如发生溢流要按规定及时发出报警信号，并按正确的关井程序及时关井，关井试压后迅速实施压井作业。</w:t>
            </w:r>
          </w:p>
          <w:p w14:paraId="4920AF8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（5）井漏防范措施</w:t>
            </w:r>
          </w:p>
          <w:p w14:paraId="05FBC15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①建立、健全各项安全管理制度以及配套的工艺、设备安全操作规程并严格执行，确保施工质量，防漏、防窜，做好防腐工作。</w:t>
            </w:r>
          </w:p>
          <w:p w14:paraId="2633F50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②操作人员应密切注意设备运行状况，发现管件破裂刺漏等问题及时处理；作业现场应配备消防设备以备应急救援。</w:t>
            </w:r>
          </w:p>
          <w:p w14:paraId="324BD4A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③严格要求套管下入深度、确保固井质量。</w:t>
            </w:r>
          </w:p>
          <w:p w14:paraId="2229CC9B">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④工程施工单位</w:t>
            </w:r>
            <w:r>
              <w:rPr>
                <w:rFonts w:hint="eastAsia"/>
                <w:color w:val="000000" w:themeColor="text1"/>
                <w14:textFill>
                  <w14:solidFill>
                    <w14:schemeClr w14:val="tx1"/>
                  </w14:solidFill>
                </w14:textFill>
              </w:rPr>
              <w:t>须具备</w:t>
            </w:r>
            <w:r>
              <w:rPr>
                <w:color w:val="000000" w:themeColor="text1"/>
                <w14:textFill>
                  <w14:solidFill>
                    <w14:schemeClr w14:val="tx1"/>
                  </w14:solidFill>
                </w14:textFill>
              </w:rPr>
              <w:t>相应资质，加强对施工现场的安全组织管理和监督。</w:t>
            </w:r>
          </w:p>
          <w:p w14:paraId="389B2A2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（6）储罐环境风险防范措施</w:t>
            </w:r>
          </w:p>
          <w:p w14:paraId="33ACFDD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柴油、</w:t>
            </w:r>
            <w:r>
              <w:rPr>
                <w:rFonts w:hint="eastAsia"/>
                <w:color w:val="000000" w:themeColor="text1"/>
                <w:lang w:val="en-US" w:eastAsia="zh-CN"/>
                <w14:textFill>
                  <w14:solidFill>
                    <w14:schemeClr w14:val="tx1"/>
                  </w14:solidFill>
                </w14:textFill>
              </w:rPr>
              <w:t>甲醇、</w:t>
            </w:r>
            <w:r>
              <w:rPr>
                <w:color w:val="000000" w:themeColor="text1"/>
                <w14:textFill>
                  <w14:solidFill>
                    <w14:schemeClr w14:val="tx1"/>
                  </w14:solidFill>
                </w14:textFill>
              </w:rPr>
              <w:t>原油罐区周边设置警示标识，严禁烟火和不相关人员靠近。日常加强油罐的管理及安全检查，防止发生泄漏等安全事故。为尽量避免管线破裂事故的发生，减轻泄漏事故对环境的影响，应该采取以下安全环保措施：</w:t>
            </w:r>
          </w:p>
          <w:p w14:paraId="0E92517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①选用质量、防腐措施合格的储罐。安装过程中焊接要经过100%的探伤，安装时应选择刚性不燃的坚固基础作为罐体基础。储罐在投用前，必须严格按照《压力容器安全技术监察规程》进行强度和气密性试验。</w:t>
            </w:r>
          </w:p>
          <w:p w14:paraId="1E4BCC2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②储罐区应严格用火管理，采用有效的避雷装置和接地装置等防止雷电的措施。</w:t>
            </w:r>
          </w:p>
          <w:p w14:paraId="5CE29A3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③加强储罐和管线接口的检查工作，防止腐蚀穿孔。定期进行壁厚检测，腐蚀余量低于规定的允许值时，要及时进行检修和更换。</w:t>
            </w:r>
          </w:p>
          <w:p w14:paraId="7C4287A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④井场各类储罐底部均应铺设符合要求的防渗材料，一旦发生泄漏须及时发现并采取有效的堵漏措施；加强储罐运输环节的管理，避免出现储罐泄漏风险事故发生。</w:t>
            </w:r>
          </w:p>
          <w:p w14:paraId="1F5B8F9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根据项目的特点，制定相应的应急预案，由项目主要负责人按照应急预案中的要求定期组织职工学习并进行演习。</w:t>
            </w:r>
          </w:p>
          <w:p w14:paraId="16A0D0C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（7）罐车运输过程风险防范措施</w:t>
            </w:r>
          </w:p>
          <w:p w14:paraId="32752C5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①罐车必须符合《压力容器安全技术监察规程》的安全管理规定，企业对压力容器管理执行国家有关锅炉压力容器的规定。</w:t>
            </w:r>
          </w:p>
          <w:p w14:paraId="5433EB1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②认真执行罐车巡检、回检以及维护、修理管理办法，保持罐车完整性。</w:t>
            </w:r>
          </w:p>
          <w:p w14:paraId="66CE9C2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③配备具有危险货物运输资质和经验的驾驶员和押运员，严格执行特车公司反“违章指挥、违章操作、违反劳动纪律的行为”管理规定，并使用GPS监控车辆动态。</w:t>
            </w:r>
          </w:p>
          <w:p w14:paraId="1F48A8D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④出车前必须对车辆的安全技术状况进行认真检查，杜绝跑、冒、滴、漏，故障未处置好不得承运。</w:t>
            </w:r>
          </w:p>
          <w:p w14:paraId="4181BD1C">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⑤采出液装卸参照《危险货物道路运输规则（系列）》（JT/T 617-2018）配装表中进行，车辆排气管应安装隔热和熄灭火星装置，并配装符合JT/T 230-2021规定的导静电橡胶拖地带装置。罐体装采出液时，应预留容积不得少于罐体总容量5%的膨胀余量。采出液中的石油类容易污染土地和水源。卸货时尤其要注意。</w:t>
            </w:r>
          </w:p>
          <w:p w14:paraId="2940AAD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⑥选择好运输路线，避让居民点、水渠等环境敏感目标，防止泄漏对环境造成不利影响。</w:t>
            </w:r>
          </w:p>
          <w:p w14:paraId="30E6175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⑦行车要遵守交通、消防、治安等法律法规。控制车速，保持与前车安全距离，严禁违法超车，行车途中要勤于检查，当行驶一定时间后要查看车厢底部四周有无泄漏液体，若有原油泄漏，应查找泄漏点，采取相应的应急措施，防止液体继续泄漏，将受到污染的土壤要全部回收，交由有资质的单位回收、处置。</w:t>
            </w:r>
          </w:p>
          <w:p w14:paraId="061AA21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⑧检查随车配备的消防器材的数量及有效性。运输过程中如发生事故时，驾驶员和押运员应立即向安全生产管理部门、环境保护部门、质检部门报告，并应看护好车辆，共同配合采取一切可能的警示、救援措施。</w:t>
            </w:r>
          </w:p>
          <w:p w14:paraId="46C98115">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7.2 环境风险处理措施</w:t>
            </w:r>
          </w:p>
          <w:p w14:paraId="3B69E0F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一旦发生井喷，绝大多数井都能通过防喷器关闭，然后采取压井措施控制井喷；最后还可用向事故井打定位斜井等方法处理井喷，并尽快采取措施回收原油。事故处理中要有专人负责，管好电源、火源，以免火灾发生。井喷、井漏时，需要对井喷、井漏的油泥等污染物进行收集处理，运送到专门的固体废物处理场进行处理。受污染的土壤交由有相应处置资质单位转运、处置。</w:t>
            </w:r>
          </w:p>
          <w:p w14:paraId="67E83181">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7.3 应急预案</w:t>
            </w:r>
          </w:p>
          <w:p w14:paraId="51C01088">
            <w:pPr>
              <w:ind w:firstLine="480"/>
              <w:rPr>
                <w:color w:val="000000" w:themeColor="text1"/>
                <w14:textFill>
                  <w14:solidFill>
                    <w14:schemeClr w14:val="tx1"/>
                  </w14:solidFill>
                </w14:textFill>
              </w:rPr>
            </w:pPr>
            <w:r>
              <w:rPr>
                <w:color w:val="000000" w:themeColor="text1"/>
                <w14:textFill>
                  <w14:solidFill>
                    <w14:schemeClr w14:val="tx1"/>
                  </w14:solidFill>
                </w14:textFill>
              </w:rPr>
              <w:t>（1）应急救援体系及指挥系统</w:t>
            </w:r>
          </w:p>
          <w:p w14:paraId="5047161C">
            <w:pPr>
              <w:ind w:firstLine="480"/>
              <w:rPr>
                <w:color w:val="000000" w:themeColor="text1"/>
                <w14:textFill>
                  <w14:solidFill>
                    <w14:schemeClr w14:val="tx1"/>
                  </w14:solidFill>
                </w14:textFill>
              </w:rPr>
            </w:pPr>
            <w:r>
              <w:rPr>
                <w:color w:val="000000" w:themeColor="text1"/>
                <w14:textFill>
                  <w14:solidFill>
                    <w14:schemeClr w14:val="tx1"/>
                  </w14:solidFill>
                </w14:textFill>
              </w:rPr>
              <w:t>为了提高突发事件的预警和应急处置能力，保障风险事故发生后，参与救援的人员都有具体分工，并能够迅速、准确、高效地开展抢险救援工作，最大限度地降低事故造成的人员伤亡、财产损失和社会影响，项目必须组建风险事故应急救援工作领导小组（简称“应急救援领导小组”），负责风险事故的应急救援组织工作。应急救援领导小组的组成如下：</w:t>
            </w:r>
          </w:p>
          <w:p w14:paraId="52280ECE">
            <w:pPr>
              <w:ind w:firstLine="480"/>
              <w:rPr>
                <w:color w:val="000000" w:themeColor="text1"/>
                <w14:textFill>
                  <w14:solidFill>
                    <w14:schemeClr w14:val="tx1"/>
                  </w14:solidFill>
                </w14:textFill>
              </w:rPr>
            </w:pPr>
            <w:r>
              <w:rPr>
                <w:color w:val="000000" w:themeColor="text1"/>
                <w14:textFill>
                  <w14:solidFill>
                    <w14:schemeClr w14:val="tx1"/>
                  </w14:solidFill>
                </w14:textFill>
              </w:rPr>
              <w:t>①组长：总经理</w:t>
            </w:r>
          </w:p>
          <w:p w14:paraId="65CCDE7C">
            <w:pPr>
              <w:ind w:firstLine="480"/>
              <w:rPr>
                <w:color w:val="000000" w:themeColor="text1"/>
                <w14:textFill>
                  <w14:solidFill>
                    <w14:schemeClr w14:val="tx1"/>
                  </w14:solidFill>
                </w14:textFill>
              </w:rPr>
            </w:pPr>
            <w:r>
              <w:rPr>
                <w:color w:val="000000" w:themeColor="text1"/>
                <w14:textFill>
                  <w14:solidFill>
                    <w14:schemeClr w14:val="tx1"/>
                  </w14:solidFill>
                </w14:textFill>
              </w:rPr>
              <w:t>②副组长：副总经理</w:t>
            </w:r>
          </w:p>
          <w:p w14:paraId="7F80193A">
            <w:pPr>
              <w:ind w:firstLine="480"/>
              <w:rPr>
                <w:color w:val="000000" w:themeColor="text1"/>
                <w14:textFill>
                  <w14:solidFill>
                    <w14:schemeClr w14:val="tx1"/>
                  </w14:solidFill>
                </w14:textFill>
              </w:rPr>
            </w:pPr>
            <w:r>
              <w:rPr>
                <w:color w:val="000000" w:themeColor="text1"/>
                <w14:textFill>
                  <w14:solidFill>
                    <w14:schemeClr w14:val="tx1"/>
                  </w14:solidFill>
                </w14:textFill>
              </w:rPr>
              <w:t>③成员：由建设单位根据实际情况指定（可包括后勤主管、生产主管、维修主管以及安全主任等）</w:t>
            </w:r>
          </w:p>
          <w:p w14:paraId="7054D2A2">
            <w:pPr>
              <w:ind w:firstLine="480"/>
              <w:rPr>
                <w:color w:val="000000" w:themeColor="text1"/>
                <w14:textFill>
                  <w14:solidFill>
                    <w14:schemeClr w14:val="tx1"/>
                  </w14:solidFill>
                </w14:textFill>
              </w:rPr>
            </w:pPr>
            <w:r>
              <w:rPr>
                <w:color w:val="000000" w:themeColor="text1"/>
                <w14:textFill>
                  <w14:solidFill>
                    <w14:schemeClr w14:val="tx1"/>
                  </w14:solidFill>
                </w14:textFill>
              </w:rPr>
              <w:t>（2）报警与响应流程</w:t>
            </w:r>
          </w:p>
          <w:p w14:paraId="012187C4">
            <w:pPr>
              <w:ind w:firstLine="480"/>
              <w:rPr>
                <w:color w:val="000000" w:themeColor="text1"/>
                <w14:textFill>
                  <w14:solidFill>
                    <w14:schemeClr w14:val="tx1"/>
                  </w14:solidFill>
                </w14:textFill>
              </w:rPr>
            </w:pPr>
            <w:r>
              <w:rPr>
                <w:color w:val="000000" w:themeColor="text1"/>
                <w14:textFill>
                  <w14:solidFill>
                    <w14:schemeClr w14:val="tx1"/>
                  </w14:solidFill>
                </w14:textFill>
              </w:rPr>
              <w:t>企业应建立可靠的通讯系统，满足紧急报警系统的需要。发生火灾时，根据火势大小，应立即请求外部援助。</w:t>
            </w:r>
          </w:p>
          <w:p w14:paraId="7E6227DE">
            <w:pPr>
              <w:ind w:firstLine="480"/>
              <w:rPr>
                <w:color w:val="000000" w:themeColor="text1"/>
                <w14:textFill>
                  <w14:solidFill>
                    <w14:schemeClr w14:val="tx1"/>
                  </w14:solidFill>
                </w14:textFill>
              </w:rPr>
            </w:pPr>
            <w:r>
              <w:rPr>
                <w:color w:val="000000" w:themeColor="text1"/>
                <w14:textFill>
                  <w14:solidFill>
                    <w14:schemeClr w14:val="tx1"/>
                  </w14:solidFill>
                </w14:textFill>
              </w:rPr>
              <w:t>（3）应急预案内容</w:t>
            </w:r>
          </w:p>
          <w:p w14:paraId="16A05C4C">
            <w:pPr>
              <w:ind w:firstLine="480"/>
              <w:rPr>
                <w:color w:val="000000" w:themeColor="text1"/>
                <w14:textFill>
                  <w14:solidFill>
                    <w14:schemeClr w14:val="tx1"/>
                  </w14:solidFill>
                </w14:textFill>
              </w:rPr>
            </w:pPr>
            <w:r>
              <w:rPr>
                <w:color w:val="000000" w:themeColor="text1"/>
                <w14:textFill>
                  <w14:solidFill>
                    <w14:schemeClr w14:val="tx1"/>
                  </w14:solidFill>
                </w14:textFill>
              </w:rPr>
              <w:t>建设方应根据具体生产情况，分别制定相应的应急预案，并在日后生产管理中贯彻实施，应急预案内容应根据下表详细编制，经修订完善后，由企业最高管理者批准发布实施。</w:t>
            </w:r>
          </w:p>
          <w:p w14:paraId="21019D2A">
            <w:pPr>
              <w:overflowPunct w:val="0"/>
              <w:ind w:firstLine="0" w:firstLineChars="0"/>
              <w:jc w:val="center"/>
              <w:rPr>
                <w:b/>
                <w:color w:val="000000" w:themeColor="text1"/>
                <w:sz w:val="21"/>
                <w14:textFill>
                  <w14:solidFill>
                    <w14:schemeClr w14:val="tx1"/>
                  </w14:solidFill>
                </w14:textFill>
              </w:rPr>
            </w:pPr>
            <w:r>
              <w:rPr>
                <w:b/>
                <w:color w:val="000000" w:themeColor="text1"/>
                <w:sz w:val="21"/>
                <w14:textFill>
                  <w14:solidFill>
                    <w14:schemeClr w14:val="tx1"/>
                  </w14:solidFill>
                </w14:textFill>
              </w:rPr>
              <w:t>表5-1  应急预案内容</w:t>
            </w:r>
          </w:p>
          <w:tbl>
            <w:tblPr>
              <w:tblStyle w:val="17"/>
              <w:tblW w:w="8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2109"/>
              <w:gridCol w:w="5251"/>
            </w:tblGrid>
            <w:tr w14:paraId="2EB2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55F707A8">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序号</w:t>
                  </w:r>
                </w:p>
              </w:tc>
              <w:tc>
                <w:tcPr>
                  <w:tcW w:w="2109" w:type="dxa"/>
                  <w:vAlign w:val="center"/>
                </w:tcPr>
                <w:p w14:paraId="00EDA91A">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项目</w:t>
                  </w:r>
                </w:p>
              </w:tc>
              <w:tc>
                <w:tcPr>
                  <w:tcW w:w="5251" w:type="dxa"/>
                  <w:vAlign w:val="center"/>
                </w:tcPr>
                <w:p w14:paraId="387D0198">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主要内容</w:t>
                  </w:r>
                </w:p>
              </w:tc>
            </w:tr>
            <w:tr w14:paraId="4A23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21FD774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w:t>
                  </w:r>
                </w:p>
              </w:tc>
              <w:tc>
                <w:tcPr>
                  <w:tcW w:w="2109" w:type="dxa"/>
                  <w:vAlign w:val="center"/>
                </w:tcPr>
                <w:p w14:paraId="13D5B75C">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应急计划区</w:t>
                  </w:r>
                </w:p>
              </w:tc>
              <w:tc>
                <w:tcPr>
                  <w:tcW w:w="5251" w:type="dxa"/>
                  <w:vAlign w:val="center"/>
                </w:tcPr>
                <w:p w14:paraId="08E812B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w:t>
                  </w:r>
                </w:p>
              </w:tc>
            </w:tr>
            <w:tr w14:paraId="197E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3F0D135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w:t>
                  </w:r>
                </w:p>
              </w:tc>
              <w:tc>
                <w:tcPr>
                  <w:tcW w:w="2109" w:type="dxa"/>
                  <w:vAlign w:val="center"/>
                </w:tcPr>
                <w:p w14:paraId="73AAEBAE">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应急组织结构</w:t>
                  </w:r>
                </w:p>
              </w:tc>
              <w:tc>
                <w:tcPr>
                  <w:tcW w:w="5251" w:type="dxa"/>
                  <w:vAlign w:val="center"/>
                </w:tcPr>
                <w:p w14:paraId="7F20699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设立环境风险管理机构，设置有应急办主任、副主任，为应急计划、协调第一人，应急人员必须为培训上岗熟练工；区域应急组织结构由当地政府、相关行业专家、卫生安全相关单位组成，并由当地政府进行统一调度。</w:t>
                  </w:r>
                </w:p>
              </w:tc>
            </w:tr>
            <w:tr w14:paraId="3B42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356AB4F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w:t>
                  </w:r>
                </w:p>
              </w:tc>
              <w:tc>
                <w:tcPr>
                  <w:tcW w:w="2109" w:type="dxa"/>
                  <w:vAlign w:val="center"/>
                </w:tcPr>
                <w:p w14:paraId="59AC998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预案分级响应条件</w:t>
                  </w:r>
                </w:p>
              </w:tc>
              <w:tc>
                <w:tcPr>
                  <w:tcW w:w="5251" w:type="dxa"/>
                  <w:vAlign w:val="center"/>
                </w:tcPr>
                <w:p w14:paraId="4D89D1C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根据事故的严重程度制定相应级别的应急预案，以及适合相应情况的处理措施。</w:t>
                  </w:r>
                </w:p>
              </w:tc>
            </w:tr>
            <w:tr w14:paraId="350F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6F7CDCA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4</w:t>
                  </w:r>
                </w:p>
              </w:tc>
              <w:tc>
                <w:tcPr>
                  <w:tcW w:w="2109" w:type="dxa"/>
                  <w:vAlign w:val="center"/>
                </w:tcPr>
                <w:p w14:paraId="2429943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应急救援保障</w:t>
                  </w:r>
                </w:p>
              </w:tc>
              <w:tc>
                <w:tcPr>
                  <w:tcW w:w="5251" w:type="dxa"/>
                  <w:vAlign w:val="center"/>
                </w:tcPr>
                <w:p w14:paraId="6A28AA0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应急设施、设备和器材等</w:t>
                  </w:r>
                </w:p>
              </w:tc>
            </w:tr>
            <w:tr w14:paraId="6FBB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2D0A81D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w:t>
                  </w:r>
                </w:p>
              </w:tc>
              <w:tc>
                <w:tcPr>
                  <w:tcW w:w="2109" w:type="dxa"/>
                  <w:vAlign w:val="center"/>
                </w:tcPr>
                <w:p w14:paraId="0724C4B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报警、通讯联络方式</w:t>
                  </w:r>
                </w:p>
              </w:tc>
              <w:tc>
                <w:tcPr>
                  <w:tcW w:w="5251" w:type="dxa"/>
                  <w:vAlign w:val="center"/>
                </w:tcPr>
                <w:p w14:paraId="289B7A9F">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逐一细化应急状态下各主要负责部门的报警通信方式、地点、电话号码以及相关配套的交通保障、管制、消防联络方法。</w:t>
                  </w:r>
                </w:p>
              </w:tc>
            </w:tr>
            <w:tr w14:paraId="28BB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177DC8D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6</w:t>
                  </w:r>
                </w:p>
              </w:tc>
              <w:tc>
                <w:tcPr>
                  <w:tcW w:w="2109" w:type="dxa"/>
                  <w:vAlign w:val="center"/>
                </w:tcPr>
                <w:p w14:paraId="4F8DF01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应急环境监测，抢救、救援控制措施</w:t>
                  </w:r>
                </w:p>
              </w:tc>
              <w:tc>
                <w:tcPr>
                  <w:tcW w:w="5251" w:type="dxa"/>
                  <w:vAlign w:val="center"/>
                </w:tcPr>
                <w:p w14:paraId="134066FE">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组织专业队伍负责对事故现场进行侦查检测，对事故性质、参数与后果先进评估，为指挥部门提供决策依据。严格规定事故多发区、事故现场、邻近区域、控制防火区域设置控制和清除污染措施及相应设备的数量、使用方法、使用人员。</w:t>
                  </w:r>
                </w:p>
              </w:tc>
            </w:tr>
            <w:tr w14:paraId="1E33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4A9DEB1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7</w:t>
                  </w:r>
                </w:p>
              </w:tc>
              <w:tc>
                <w:tcPr>
                  <w:tcW w:w="2109" w:type="dxa"/>
                  <w:vAlign w:val="center"/>
                </w:tcPr>
                <w:p w14:paraId="27500F3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应急防护措施、消除泄漏措施及需使用器材</w:t>
                  </w:r>
                </w:p>
              </w:tc>
              <w:tc>
                <w:tcPr>
                  <w:tcW w:w="5251" w:type="dxa"/>
                  <w:vAlign w:val="center"/>
                </w:tcPr>
                <w:p w14:paraId="4563BC1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控制事故、防止扩大、蔓延及连锁反应。清除现场泄漏物，降低危害，相应的设施器材配备。控制防火区域，控制和消除环境污染的措施及相应的设备配备。</w:t>
                  </w:r>
                </w:p>
              </w:tc>
            </w:tr>
            <w:tr w14:paraId="5803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40115D6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8</w:t>
                  </w:r>
                </w:p>
              </w:tc>
              <w:tc>
                <w:tcPr>
                  <w:tcW w:w="2109" w:type="dxa"/>
                  <w:vAlign w:val="center"/>
                </w:tcPr>
                <w:p w14:paraId="7539A24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人员紧急撤离、疏散计划，应急剂量控制、撤离组织计划</w:t>
                  </w:r>
                </w:p>
              </w:tc>
              <w:tc>
                <w:tcPr>
                  <w:tcW w:w="5251" w:type="dxa"/>
                  <w:vAlign w:val="center"/>
                </w:tcPr>
                <w:p w14:paraId="3F13071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事故现场邻近区域、受事故影响的区域人员，制定紧急撤离组织计划和救护，医疗救护与公众健康。</w:t>
                  </w:r>
                </w:p>
              </w:tc>
            </w:tr>
            <w:tr w14:paraId="2350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1DE64C9C">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9</w:t>
                  </w:r>
                </w:p>
              </w:tc>
              <w:tc>
                <w:tcPr>
                  <w:tcW w:w="2109" w:type="dxa"/>
                  <w:vAlign w:val="center"/>
                </w:tcPr>
                <w:p w14:paraId="2715B7C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事故应急救援关闭程序</w:t>
                  </w:r>
                </w:p>
              </w:tc>
              <w:tc>
                <w:tcPr>
                  <w:tcW w:w="5251" w:type="dxa"/>
                  <w:vAlign w:val="center"/>
                </w:tcPr>
                <w:p w14:paraId="0738A64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制定相关应急状态终止程序，事故现场，受影响范围内的善后处理、恢复措施，邻近区域解除事故警戒及善后恢复措施。</w:t>
                  </w:r>
                </w:p>
              </w:tc>
            </w:tr>
            <w:tr w14:paraId="7212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52F1510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9</w:t>
                  </w:r>
                </w:p>
              </w:tc>
              <w:tc>
                <w:tcPr>
                  <w:tcW w:w="2109" w:type="dxa"/>
                  <w:vAlign w:val="center"/>
                </w:tcPr>
                <w:p w14:paraId="0EBE375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应急状态终止与恢复措施</w:t>
                  </w:r>
                </w:p>
              </w:tc>
              <w:tc>
                <w:tcPr>
                  <w:tcW w:w="5251" w:type="dxa"/>
                  <w:vAlign w:val="center"/>
                </w:tcPr>
                <w:p w14:paraId="325E98A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规定应急状态终止程序：事故现场善后处理，恢复生产措施。解除事故警戒、公众返回和善后恢复措施</w:t>
                  </w:r>
                </w:p>
              </w:tc>
            </w:tr>
            <w:tr w14:paraId="364E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515240AE">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10</w:t>
                  </w:r>
                </w:p>
              </w:tc>
              <w:tc>
                <w:tcPr>
                  <w:tcW w:w="2109" w:type="dxa"/>
                  <w:vAlign w:val="center"/>
                </w:tcPr>
                <w:p w14:paraId="5B882BD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应急培训计划</w:t>
                  </w:r>
                </w:p>
              </w:tc>
              <w:tc>
                <w:tcPr>
                  <w:tcW w:w="5251" w:type="dxa"/>
                  <w:vAlign w:val="center"/>
                </w:tcPr>
                <w:p w14:paraId="12071F7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应急计划制定后，平时安排事故处理人员进行相关知识培训，并进行事故应急处理演习；对工人进行安全卫生教育</w:t>
                  </w:r>
                </w:p>
              </w:tc>
            </w:tr>
            <w:tr w14:paraId="532E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0BFA419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11</w:t>
                  </w:r>
                </w:p>
              </w:tc>
              <w:tc>
                <w:tcPr>
                  <w:tcW w:w="2109" w:type="dxa"/>
                  <w:vAlign w:val="center"/>
                </w:tcPr>
                <w:p w14:paraId="1AB3DB6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公众教育和信息</w:t>
                  </w:r>
                </w:p>
              </w:tc>
              <w:tc>
                <w:tcPr>
                  <w:tcW w:w="5251" w:type="dxa"/>
                  <w:vAlign w:val="center"/>
                </w:tcPr>
                <w:p w14:paraId="00F5078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对邻近地区公众开展环境风险事故预防措施、应急知识培训并定期发布相关信息</w:t>
                  </w:r>
                </w:p>
              </w:tc>
            </w:tr>
            <w:tr w14:paraId="29D8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4C8813B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12</w:t>
                  </w:r>
                </w:p>
              </w:tc>
              <w:tc>
                <w:tcPr>
                  <w:tcW w:w="2109" w:type="dxa"/>
                  <w:vAlign w:val="center"/>
                </w:tcPr>
                <w:p w14:paraId="1B68C04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应急联动机制</w:t>
                  </w:r>
                </w:p>
              </w:tc>
              <w:tc>
                <w:tcPr>
                  <w:tcW w:w="5251" w:type="dxa"/>
                  <w:vAlign w:val="center"/>
                </w:tcPr>
                <w:p w14:paraId="1CA610A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联动机制应由当地政府制定，在企业内部应急措施能力不足时，提供外部应急措施。当发生重大事故时，矿山公司立即向当地政府报告，由政府应急指挥部召开会议，确定响应级别，启动应急风险机制，落实救援任务和措施。</w:t>
                  </w:r>
                </w:p>
              </w:tc>
            </w:tr>
          </w:tbl>
          <w:p w14:paraId="7E7D572C">
            <w:pPr>
              <w:keepNext/>
              <w:keepLines/>
              <w:ind w:firstLine="0" w:firstLineChars="0"/>
              <w:jc w:val="left"/>
              <w:outlineLvl w:val="2"/>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8 环境管理</w:t>
            </w:r>
          </w:p>
          <w:p w14:paraId="29863AC2">
            <w:pPr>
              <w:ind w:firstLine="0" w:firstLineChars="0"/>
              <w:jc w:val="left"/>
              <w:outlineLvl w:val="2"/>
              <w:rPr>
                <w:b/>
                <w:bCs/>
                <w:color w:val="000000" w:themeColor="text1"/>
                <w:szCs w:val="32"/>
                <w14:textFill>
                  <w14:solidFill>
                    <w14:schemeClr w14:val="tx1"/>
                  </w14:solidFill>
                </w14:textFill>
              </w:rPr>
            </w:pPr>
            <w:r>
              <w:rPr>
                <w:b/>
                <w:bCs/>
                <w:color w:val="000000" w:themeColor="text1"/>
                <w:szCs w:val="32"/>
                <w14:textFill>
                  <w14:solidFill>
                    <w14:schemeClr w14:val="tx1"/>
                  </w14:solidFill>
                </w14:textFill>
              </w:rPr>
              <w:t>8.1 钻前准备环境管理要求</w:t>
            </w:r>
          </w:p>
          <w:p w14:paraId="1D88DD0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（1）在修建通往井场道路时，避免堵塞和填充任何自然排水通道，施工作业机具，不得在道路、井场以外的地方行驶和作业，禁止碾压和破坏植被，禁止乱扔废弃物。</w:t>
            </w:r>
          </w:p>
          <w:p w14:paraId="2694F48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（2）井场临时用地面积按设计规定，不得超过规定面积。</w:t>
            </w:r>
          </w:p>
          <w:p w14:paraId="3B75600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（3）安装泥浆泵冷却水循环系统和振动筛的污水循环系统，做好各种油、水管线的试运行工作，防止油、水跑、冒、滴、漏。</w:t>
            </w:r>
          </w:p>
          <w:p w14:paraId="20F16128">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（4）井场应有排水沟。钻机底座下、机泵房、循环罐区应有排水沟，排水沟必须硬化防渗、防塌，过车地段沟上要铺钢板桥。</w:t>
            </w:r>
          </w:p>
          <w:p w14:paraId="6728FDFE">
            <w:pPr>
              <w:ind w:firstLine="0" w:firstLineChars="0"/>
              <w:jc w:val="left"/>
              <w:outlineLvl w:val="2"/>
              <w:rPr>
                <w:b/>
                <w:bCs/>
                <w:color w:val="000000" w:themeColor="text1"/>
                <w:szCs w:val="32"/>
                <w14:textFill>
                  <w14:solidFill>
                    <w14:schemeClr w14:val="tx1"/>
                  </w14:solidFill>
                </w14:textFill>
              </w:rPr>
            </w:pPr>
            <w:r>
              <w:rPr>
                <w:b/>
                <w:bCs/>
                <w:color w:val="000000" w:themeColor="text1"/>
                <w:szCs w:val="32"/>
                <w14:textFill>
                  <w14:solidFill>
                    <w14:schemeClr w14:val="tx1"/>
                  </w14:solidFill>
                </w14:textFill>
              </w:rPr>
              <w:t>8.2 钻井作业期间环境管理要求</w:t>
            </w:r>
          </w:p>
          <w:p w14:paraId="2AA4D78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（1）采用泥浆不落地工艺的井，岩屑应堆放在岩屑储罐内。</w:t>
            </w:r>
          </w:p>
          <w:p w14:paraId="10ED699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（2）不落地岩屑应有含水率检验台账（日报）。</w:t>
            </w:r>
          </w:p>
          <w:p w14:paraId="7EF81F3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（3）现场岩屑分开存放，在同一堆场应有物理分割。</w:t>
            </w:r>
          </w:p>
          <w:p w14:paraId="0FD17F2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（4）发生井喷后地面处理措施及要求：调查因井喷事故造成的地面污染情况，积极组织清除地面环境污染，恢复地貌。</w:t>
            </w:r>
          </w:p>
          <w:p w14:paraId="7306F737">
            <w:pPr>
              <w:ind w:firstLine="0" w:firstLineChars="0"/>
              <w:jc w:val="left"/>
              <w:outlineLvl w:val="2"/>
              <w:rPr>
                <w:b/>
                <w:bCs/>
                <w:color w:val="000000" w:themeColor="text1"/>
                <w:szCs w:val="32"/>
                <w14:textFill>
                  <w14:solidFill>
                    <w14:schemeClr w14:val="tx1"/>
                  </w14:solidFill>
                </w14:textFill>
              </w:rPr>
            </w:pPr>
            <w:r>
              <w:rPr>
                <w:b/>
                <w:bCs/>
                <w:color w:val="000000" w:themeColor="text1"/>
                <w:szCs w:val="32"/>
                <w14:textFill>
                  <w14:solidFill>
                    <w14:schemeClr w14:val="tx1"/>
                  </w14:solidFill>
                </w14:textFill>
              </w:rPr>
              <w:t>8.3 建设单位及施工单位的环保责任</w:t>
            </w:r>
          </w:p>
          <w:p w14:paraId="6D46FE3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建设单位要求施工单位在施工前进行环保自查，建设单位安全环保部门对施工单位施工期间进行环保日常检查并做好记录；完工前，建设单位要求施工单位进行环保完工自查，安全环保主管部门现场验收合格后报请现场验收，合格后方可记录为完工，做到工完料净场地清，并做好记录。</w:t>
            </w:r>
          </w:p>
          <w:p w14:paraId="5792E93B">
            <w:pPr>
              <w:adjustRightInd/>
              <w:snapToGrid/>
              <w:ind w:firstLine="0" w:firstLineChars="0"/>
              <w:jc w:val="left"/>
              <w:outlineLvl w:val="2"/>
              <w:rPr>
                <w:b/>
                <w:bCs/>
                <w:color w:val="000000" w:themeColor="text1"/>
                <w:szCs w:val="32"/>
                <w14:textFill>
                  <w14:solidFill>
                    <w14:schemeClr w14:val="tx1"/>
                  </w14:solidFill>
                </w14:textFill>
              </w:rPr>
            </w:pPr>
            <w:r>
              <w:rPr>
                <w:b/>
                <w:bCs/>
                <w:color w:val="000000" w:themeColor="text1"/>
                <w:szCs w:val="32"/>
                <w14:textFill>
                  <w14:solidFill>
                    <w14:schemeClr w14:val="tx1"/>
                  </w14:solidFill>
                </w14:textFill>
              </w:rPr>
              <w:t>8.4 完井后环境管理要求</w:t>
            </w:r>
          </w:p>
          <w:p w14:paraId="3A0A5C44">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（1）妥善存放泥浆材料等化学品，不得失散在井场。废弃包装袋等应及时加以回收。</w:t>
            </w:r>
          </w:p>
          <w:p w14:paraId="3A8282C2">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（2）推平柴油、机油及水罐坡道，井场应平整。</w:t>
            </w:r>
          </w:p>
          <w:p w14:paraId="3BDF0F17">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（3）井场、基地不得随处丢弃垃圾，有利用价值的废料应回收，没有利用价值的废料应送至垃圾场填埋。</w:t>
            </w:r>
          </w:p>
          <w:p w14:paraId="7752AB30">
            <w:pPr>
              <w:ind w:firstLine="0" w:firstLineChars="0"/>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9 环保验收</w:t>
            </w:r>
          </w:p>
          <w:p w14:paraId="397E355E">
            <w:pPr>
              <w:ind w:firstLine="480"/>
              <w:rPr>
                <w:color w:val="000000" w:themeColor="text1"/>
                <w14:textFill>
                  <w14:solidFill>
                    <w14:schemeClr w14:val="tx1"/>
                  </w14:solidFill>
                </w14:textFill>
              </w:rPr>
            </w:pPr>
            <w:r>
              <w:rPr>
                <w:color w:val="000000" w:themeColor="text1"/>
                <w14:textFill>
                  <w14:solidFill>
                    <w14:schemeClr w14:val="tx1"/>
                  </w14:solidFill>
                </w14:textFill>
              </w:rPr>
              <w:t>完井后如获工业油流，井口装采油树进行试采；如未获工业油流，则打水泥塞封套管，恢复地貌。大多数探井是就地封固，恢复地貌，完井后对周围环境影响很小，甚至不产生影响。</w:t>
            </w:r>
          </w:p>
          <w:p w14:paraId="39D22466">
            <w:pPr>
              <w:ind w:firstLine="480"/>
              <w:jc w:val="left"/>
              <w:rPr>
                <w:color w:val="000000" w:themeColor="text1"/>
                <w14:textFill>
                  <w14:solidFill>
                    <w14:schemeClr w14:val="tx1"/>
                  </w14:solidFill>
                </w14:textFill>
              </w:rPr>
            </w:pPr>
            <w:r>
              <w:rPr>
                <w:color w:val="000000" w:themeColor="text1"/>
                <w:kern w:val="0"/>
                <w14:textFill>
                  <w14:solidFill>
                    <w14:schemeClr w14:val="tx1"/>
                  </w14:solidFill>
                </w14:textFill>
              </w:rPr>
              <w:t>建议按表5-2开展竣工环境保护验收。</w:t>
            </w:r>
          </w:p>
          <w:p w14:paraId="4DCB414F">
            <w:pPr>
              <w:overflowPunct w:val="0"/>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表5-2  “三同时”竣工验收调查建议清单</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675"/>
              <w:gridCol w:w="1019"/>
              <w:gridCol w:w="2430"/>
              <w:gridCol w:w="1296"/>
              <w:gridCol w:w="2159"/>
            </w:tblGrid>
            <w:tr w14:paraId="528F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96" w:type="pct"/>
                  <w:vAlign w:val="center"/>
                </w:tcPr>
                <w:p w14:paraId="09954EE4">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验收内容</w:t>
                  </w:r>
                </w:p>
              </w:tc>
              <w:tc>
                <w:tcPr>
                  <w:tcW w:w="410" w:type="pct"/>
                  <w:vAlign w:val="center"/>
                </w:tcPr>
                <w:p w14:paraId="4000367A">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位置</w:t>
                  </w:r>
                </w:p>
              </w:tc>
              <w:tc>
                <w:tcPr>
                  <w:tcW w:w="617" w:type="pct"/>
                  <w:vAlign w:val="center"/>
                </w:tcPr>
                <w:p w14:paraId="6336C241">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治理对象</w:t>
                  </w:r>
                </w:p>
              </w:tc>
              <w:tc>
                <w:tcPr>
                  <w:tcW w:w="1476" w:type="pct"/>
                  <w:vAlign w:val="center"/>
                </w:tcPr>
                <w:p w14:paraId="46C732F2">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防治措施</w:t>
                  </w:r>
                </w:p>
              </w:tc>
              <w:tc>
                <w:tcPr>
                  <w:tcW w:w="787" w:type="pct"/>
                  <w:vAlign w:val="center"/>
                </w:tcPr>
                <w:p w14:paraId="62FA4701">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工程量</w:t>
                  </w:r>
                </w:p>
              </w:tc>
              <w:tc>
                <w:tcPr>
                  <w:tcW w:w="1310" w:type="pct"/>
                  <w:vAlign w:val="center"/>
                </w:tcPr>
                <w:p w14:paraId="3682CA14">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验收标准</w:t>
                  </w:r>
                </w:p>
              </w:tc>
            </w:tr>
            <w:tr w14:paraId="1568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96" w:type="pct"/>
                  <w:vMerge w:val="restart"/>
                  <w:vAlign w:val="center"/>
                </w:tcPr>
                <w:p w14:paraId="5C374857">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废气</w:t>
                  </w:r>
                </w:p>
              </w:tc>
              <w:tc>
                <w:tcPr>
                  <w:tcW w:w="410" w:type="pct"/>
                  <w:vMerge w:val="restart"/>
                  <w:vAlign w:val="center"/>
                </w:tcPr>
                <w:p w14:paraId="4FDF209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w:t>
                  </w:r>
                </w:p>
              </w:tc>
              <w:tc>
                <w:tcPr>
                  <w:tcW w:w="617" w:type="pct"/>
                  <w:vAlign w:val="center"/>
                </w:tcPr>
                <w:p w14:paraId="3DF1819E">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柴油</w:t>
                  </w:r>
                  <w:r>
                    <w:rPr>
                      <w:rFonts w:hint="eastAsia"/>
                      <w:color w:val="000000" w:themeColor="text1"/>
                      <w:kern w:val="0"/>
                      <w:sz w:val="21"/>
                      <w:szCs w:val="21"/>
                      <w:lang w:eastAsia="zh-CN"/>
                      <w14:textFill>
                        <w14:solidFill>
                          <w14:schemeClr w14:val="tx1"/>
                        </w14:solidFill>
                      </w14:textFill>
                    </w:rPr>
                    <w:t>、</w:t>
                  </w:r>
                  <w:r>
                    <w:rPr>
                      <w:rFonts w:hint="eastAsia"/>
                      <w:color w:val="000000" w:themeColor="text1"/>
                      <w:kern w:val="0"/>
                      <w:sz w:val="21"/>
                      <w:szCs w:val="21"/>
                      <w:lang w:val="en-US" w:eastAsia="zh-CN"/>
                      <w14:textFill>
                        <w14:solidFill>
                          <w14:schemeClr w14:val="tx1"/>
                        </w14:solidFill>
                      </w14:textFill>
                    </w:rPr>
                    <w:t>甲醇</w:t>
                  </w:r>
                  <w:r>
                    <w:rPr>
                      <w:color w:val="000000" w:themeColor="text1"/>
                      <w:kern w:val="0"/>
                      <w:sz w:val="21"/>
                      <w:szCs w:val="21"/>
                      <w14:textFill>
                        <w14:solidFill>
                          <w14:schemeClr w14:val="tx1"/>
                        </w14:solidFill>
                      </w14:textFill>
                    </w:rPr>
                    <w:t>废气</w:t>
                  </w:r>
                </w:p>
              </w:tc>
              <w:tc>
                <w:tcPr>
                  <w:tcW w:w="1476" w:type="pct"/>
                  <w:vAlign w:val="center"/>
                </w:tcPr>
                <w:p w14:paraId="7506588C">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使用达标柴油</w:t>
                  </w:r>
                  <w:r>
                    <w:rPr>
                      <w:rFonts w:hint="eastAsia"/>
                      <w:color w:val="000000" w:themeColor="text1"/>
                      <w:kern w:val="0"/>
                      <w:sz w:val="21"/>
                      <w:szCs w:val="21"/>
                      <w:lang w:eastAsia="zh-CN"/>
                      <w14:textFill>
                        <w14:solidFill>
                          <w14:schemeClr w14:val="tx1"/>
                        </w14:solidFill>
                      </w14:textFill>
                    </w:rPr>
                    <w:t>、</w:t>
                  </w:r>
                  <w:r>
                    <w:rPr>
                      <w:rFonts w:hint="eastAsia"/>
                      <w:color w:val="000000" w:themeColor="text1"/>
                      <w:kern w:val="0"/>
                      <w:sz w:val="21"/>
                      <w:szCs w:val="21"/>
                      <w:lang w:val="en-US" w:eastAsia="zh-CN"/>
                      <w14:textFill>
                        <w14:solidFill>
                          <w14:schemeClr w14:val="tx1"/>
                        </w14:solidFill>
                      </w14:textFill>
                    </w:rPr>
                    <w:t>甲醇</w:t>
                  </w:r>
                  <w:r>
                    <w:rPr>
                      <w:color w:val="000000" w:themeColor="text1"/>
                      <w:kern w:val="0"/>
                      <w:sz w:val="21"/>
                      <w:szCs w:val="21"/>
                      <w14:textFill>
                        <w14:solidFill>
                          <w14:schemeClr w14:val="tx1"/>
                        </w14:solidFill>
                      </w14:textFill>
                    </w:rPr>
                    <w:t>，加强设备维护，无组织排放</w:t>
                  </w:r>
                </w:p>
              </w:tc>
              <w:tc>
                <w:tcPr>
                  <w:tcW w:w="787" w:type="pct"/>
                  <w:vAlign w:val="center"/>
                </w:tcPr>
                <w:p w14:paraId="0F7FDE0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c>
                <w:tcPr>
                  <w:tcW w:w="1310" w:type="pct"/>
                  <w:vMerge w:val="restart"/>
                  <w:vAlign w:val="center"/>
                </w:tcPr>
                <w:p w14:paraId="3774C2F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《大气污染物综合排放标准》（GB16297-1996）；《非道路移动机械用柴油机排气污染物排放限值及测量方法（中国第三、四阶段）》（GB20891-2014）</w:t>
                  </w:r>
                  <w:r>
                    <w:rPr>
                      <w:rFonts w:hint="eastAsia"/>
                      <w:color w:val="000000" w:themeColor="text1"/>
                      <w:kern w:val="0"/>
                      <w:sz w:val="21"/>
                      <w:szCs w:val="21"/>
                      <w14:textFill>
                        <w14:solidFill>
                          <w14:schemeClr w14:val="tx1"/>
                        </w14:solidFill>
                      </w14:textFill>
                    </w:rPr>
                    <w:t>；</w:t>
                  </w:r>
                  <w:r>
                    <w:rPr>
                      <w:color w:val="000000" w:themeColor="text1"/>
                      <w:kern w:val="0"/>
                      <w:sz w:val="21"/>
                      <w:szCs w:val="21"/>
                      <w14:textFill>
                        <w14:solidFill>
                          <w14:schemeClr w14:val="tx1"/>
                        </w14:solidFill>
                      </w14:textFill>
                    </w:rPr>
                    <w:t>《陆上石油天然气开采工业大气污染物排放标准》（GB39728-2020）</w:t>
                  </w:r>
                </w:p>
              </w:tc>
            </w:tr>
            <w:tr w14:paraId="5D5C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96" w:type="pct"/>
                  <w:vMerge w:val="continue"/>
                  <w:vAlign w:val="center"/>
                </w:tcPr>
                <w:p w14:paraId="6D8A45B7">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6CA1687A">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0731F8D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扬尘</w:t>
                  </w:r>
                </w:p>
              </w:tc>
              <w:tc>
                <w:tcPr>
                  <w:tcW w:w="1476" w:type="pct"/>
                  <w:vAlign w:val="center"/>
                </w:tcPr>
                <w:p w14:paraId="23245F4C">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对易起尘物料遮盖，加强车辆管理，水基钻井岩屑暂存于罐中，并及时清运</w:t>
                  </w:r>
                </w:p>
              </w:tc>
              <w:tc>
                <w:tcPr>
                  <w:tcW w:w="787" w:type="pct"/>
                  <w:vAlign w:val="center"/>
                </w:tcPr>
                <w:p w14:paraId="45689E8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c>
                <w:tcPr>
                  <w:tcW w:w="1310" w:type="pct"/>
                  <w:vMerge w:val="continue"/>
                  <w:vAlign w:val="center"/>
                </w:tcPr>
                <w:p w14:paraId="5995A808">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06C8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396" w:type="pct"/>
                  <w:vMerge w:val="continue"/>
                  <w:vAlign w:val="center"/>
                </w:tcPr>
                <w:p w14:paraId="3451E9FE">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458A976E">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70E02ED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伴生气</w:t>
                  </w:r>
                </w:p>
              </w:tc>
              <w:tc>
                <w:tcPr>
                  <w:tcW w:w="1476" w:type="pct"/>
                  <w:vAlign w:val="center"/>
                </w:tcPr>
                <w:p w14:paraId="63723D8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放散管燃放，无组织排放</w:t>
                  </w:r>
                </w:p>
              </w:tc>
              <w:tc>
                <w:tcPr>
                  <w:tcW w:w="787" w:type="pct"/>
                  <w:vAlign w:val="center"/>
                </w:tcPr>
                <w:p w14:paraId="30AE75A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c>
                <w:tcPr>
                  <w:tcW w:w="1310" w:type="pct"/>
                  <w:vMerge w:val="continue"/>
                  <w:vAlign w:val="center"/>
                </w:tcPr>
                <w:p w14:paraId="2FE53255">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1E7D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396" w:type="pct"/>
                  <w:vMerge w:val="continue"/>
                  <w:vAlign w:val="center"/>
                </w:tcPr>
                <w:p w14:paraId="5EB2E339">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0FC3D841">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674BE13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临时储罐</w:t>
                  </w:r>
                </w:p>
              </w:tc>
              <w:tc>
                <w:tcPr>
                  <w:tcW w:w="1476" w:type="pct"/>
                  <w:vAlign w:val="center"/>
                </w:tcPr>
                <w:p w14:paraId="650C169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无组织排放</w:t>
                  </w:r>
                </w:p>
              </w:tc>
              <w:tc>
                <w:tcPr>
                  <w:tcW w:w="787" w:type="pct"/>
                  <w:vAlign w:val="center"/>
                </w:tcPr>
                <w:p w14:paraId="1BCC1C6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1个60m</w:t>
                  </w:r>
                  <w:r>
                    <w:rPr>
                      <w:color w:val="000000" w:themeColor="text1"/>
                      <w:kern w:val="0"/>
                      <w:sz w:val="21"/>
                      <w:szCs w:val="21"/>
                      <w:vertAlign w:val="superscript"/>
                      <w14:textFill>
                        <w14:solidFill>
                          <w14:schemeClr w14:val="tx1"/>
                        </w14:solidFill>
                      </w14:textFill>
                    </w:rPr>
                    <w:t>3</w:t>
                  </w:r>
                  <w:r>
                    <w:rPr>
                      <w:color w:val="000000" w:themeColor="text1"/>
                      <w:kern w:val="0"/>
                      <w:sz w:val="21"/>
                      <w:szCs w:val="21"/>
                      <w14:textFill>
                        <w14:solidFill>
                          <w14:schemeClr w14:val="tx1"/>
                        </w14:solidFill>
                      </w14:textFill>
                    </w:rPr>
                    <w:t>采出液临时储罐</w:t>
                  </w:r>
                </w:p>
              </w:tc>
              <w:tc>
                <w:tcPr>
                  <w:tcW w:w="1310" w:type="pct"/>
                  <w:vMerge w:val="continue"/>
                  <w:vAlign w:val="center"/>
                </w:tcPr>
                <w:p w14:paraId="006ADBC3">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5C4C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396" w:type="pct"/>
                  <w:vMerge w:val="continue"/>
                  <w:vAlign w:val="center"/>
                </w:tcPr>
                <w:p w14:paraId="5080321F">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610FB6C6">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32E3B47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采出液装载废气</w:t>
                  </w:r>
                </w:p>
              </w:tc>
              <w:tc>
                <w:tcPr>
                  <w:tcW w:w="1476" w:type="pct"/>
                  <w:vAlign w:val="center"/>
                </w:tcPr>
                <w:p w14:paraId="648F916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无组织排放</w:t>
                  </w:r>
                </w:p>
              </w:tc>
              <w:tc>
                <w:tcPr>
                  <w:tcW w:w="787" w:type="pct"/>
                  <w:vAlign w:val="center"/>
                </w:tcPr>
                <w:p w14:paraId="72C9D12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c>
                <w:tcPr>
                  <w:tcW w:w="1310" w:type="pct"/>
                  <w:vMerge w:val="continue"/>
                  <w:vAlign w:val="center"/>
                </w:tcPr>
                <w:p w14:paraId="436A33AA">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1258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396" w:type="pct"/>
                  <w:vMerge w:val="continue"/>
                  <w:vAlign w:val="center"/>
                </w:tcPr>
                <w:p w14:paraId="0C5C6665">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4FD0E2D1">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1B9A59A0">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油基岩屑储罐</w:t>
                  </w:r>
                </w:p>
              </w:tc>
              <w:tc>
                <w:tcPr>
                  <w:tcW w:w="1476" w:type="pct"/>
                  <w:vAlign w:val="center"/>
                </w:tcPr>
                <w:p w14:paraId="0B6CFF9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无组织排放</w:t>
                  </w:r>
                </w:p>
              </w:tc>
              <w:tc>
                <w:tcPr>
                  <w:tcW w:w="787" w:type="pct"/>
                  <w:vAlign w:val="center"/>
                </w:tcPr>
                <w:p w14:paraId="6F96A4C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sz w:val="21"/>
                      <w:szCs w:val="21"/>
                      <w14:textFill>
                        <w14:solidFill>
                          <w14:schemeClr w14:val="tx1"/>
                        </w14:solidFill>
                      </w14:textFill>
                    </w:rPr>
                    <w:t>每口井2个罐，每个罐50m</w:t>
                  </w:r>
                  <w:r>
                    <w:rPr>
                      <w:color w:val="000000" w:themeColor="text1"/>
                      <w:sz w:val="21"/>
                      <w:szCs w:val="21"/>
                      <w:vertAlign w:val="superscript"/>
                      <w14:textFill>
                        <w14:solidFill>
                          <w14:schemeClr w14:val="tx1"/>
                        </w14:solidFill>
                      </w14:textFill>
                    </w:rPr>
                    <w:t>3</w:t>
                  </w:r>
                </w:p>
              </w:tc>
              <w:tc>
                <w:tcPr>
                  <w:tcW w:w="1310" w:type="pct"/>
                  <w:vMerge w:val="continue"/>
                  <w:vAlign w:val="center"/>
                </w:tcPr>
                <w:p w14:paraId="013CBE2A">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4585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396" w:type="pct"/>
                  <w:vMerge w:val="restart"/>
                  <w:vAlign w:val="center"/>
                </w:tcPr>
                <w:p w14:paraId="57809D8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废水</w:t>
                  </w:r>
                </w:p>
              </w:tc>
              <w:tc>
                <w:tcPr>
                  <w:tcW w:w="410" w:type="pct"/>
                  <w:vMerge w:val="restart"/>
                  <w:vAlign w:val="center"/>
                </w:tcPr>
                <w:p w14:paraId="7C2876B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w:t>
                  </w:r>
                </w:p>
              </w:tc>
              <w:tc>
                <w:tcPr>
                  <w:tcW w:w="617" w:type="pct"/>
                  <w:vAlign w:val="center"/>
                </w:tcPr>
                <w:p w14:paraId="375EEF7F">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洗井废水</w:t>
                  </w:r>
                </w:p>
              </w:tc>
              <w:tc>
                <w:tcPr>
                  <w:tcW w:w="1476" w:type="pct"/>
                  <w:vAlign w:val="center"/>
                </w:tcPr>
                <w:p w14:paraId="5016AAC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本项目钻井废水循环利用，试油期洗井废水全部回收，采用专用废液收集罐收集后运至</w:t>
                  </w:r>
                  <w:r>
                    <w:rPr>
                      <w:rFonts w:hint="eastAsia"/>
                      <w:color w:val="000000" w:themeColor="text1"/>
                      <w:kern w:val="0"/>
                      <w:sz w:val="21"/>
                      <w:szCs w:val="21"/>
                      <w14:textFill>
                        <w14:solidFill>
                          <w14:schemeClr w14:val="tx1"/>
                        </w14:solidFill>
                      </w14:textFill>
                    </w:rPr>
                    <w:t>吉康脱水站</w:t>
                  </w:r>
                  <w:r>
                    <w:rPr>
                      <w:color w:val="000000" w:themeColor="text1"/>
                      <w:kern w:val="0"/>
                      <w:sz w:val="21"/>
                      <w:szCs w:val="21"/>
                      <w14:textFill>
                        <w14:solidFill>
                          <w14:schemeClr w14:val="tx1"/>
                        </w14:solidFill>
                      </w14:textFill>
                    </w:rPr>
                    <w:t>的污水处理系统处理达标后回注油藏</w:t>
                  </w:r>
                </w:p>
              </w:tc>
              <w:tc>
                <w:tcPr>
                  <w:tcW w:w="787" w:type="pct"/>
                  <w:vAlign w:val="center"/>
                </w:tcPr>
                <w:p w14:paraId="10A2BE1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每个施工井场配备方罐，规格为4×21m</w:t>
                  </w:r>
                  <w:r>
                    <w:rPr>
                      <w:color w:val="000000" w:themeColor="text1"/>
                      <w:kern w:val="0"/>
                      <w:sz w:val="21"/>
                      <w:szCs w:val="21"/>
                      <w:vertAlign w:val="superscript"/>
                      <w14:textFill>
                        <w14:solidFill>
                          <w14:schemeClr w14:val="tx1"/>
                        </w14:solidFill>
                      </w14:textFill>
                    </w:rPr>
                    <w:t>3</w:t>
                  </w:r>
                </w:p>
              </w:tc>
              <w:tc>
                <w:tcPr>
                  <w:tcW w:w="1310" w:type="pct"/>
                  <w:vAlign w:val="center"/>
                </w:tcPr>
                <w:p w14:paraId="4E62F60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不外排</w:t>
                  </w:r>
                </w:p>
              </w:tc>
            </w:tr>
            <w:tr w14:paraId="1AE5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396" w:type="pct"/>
                  <w:vMerge w:val="continue"/>
                  <w:vAlign w:val="center"/>
                </w:tcPr>
                <w:p w14:paraId="2C7C3A9E">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34E18D2D">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4BF1BFA7">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压裂返排液</w:t>
                  </w:r>
                </w:p>
              </w:tc>
              <w:tc>
                <w:tcPr>
                  <w:tcW w:w="1476" w:type="pct"/>
                  <w:vAlign w:val="center"/>
                </w:tcPr>
                <w:p w14:paraId="14524E60">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压裂返排液入方罐，拉运至</w:t>
                  </w:r>
                  <w:r>
                    <w:rPr>
                      <w:rFonts w:hint="eastAsia"/>
                      <w:color w:val="000000" w:themeColor="text1"/>
                      <w:sz w:val="21"/>
                      <w:szCs w:val="21"/>
                      <w14:textFill>
                        <w14:solidFill>
                          <w14:schemeClr w14:val="tx1"/>
                        </w14:solidFill>
                      </w14:textFill>
                    </w:rPr>
                    <w:t>吉康脱水站</w:t>
                  </w:r>
                  <w:r>
                    <w:rPr>
                      <w:color w:val="000000" w:themeColor="text1"/>
                      <w:sz w:val="21"/>
                      <w:szCs w:val="21"/>
                      <w14:textFill>
                        <w14:solidFill>
                          <w14:schemeClr w14:val="tx1"/>
                        </w14:solidFill>
                      </w14:textFill>
                    </w:rPr>
                    <w:t>采出水处理系统处理，</w:t>
                  </w:r>
                  <w:r>
                    <w:rPr>
                      <w:color w:val="000000" w:themeColor="text1"/>
                      <w:kern w:val="0"/>
                      <w:sz w:val="21"/>
                      <w:szCs w:val="21"/>
                      <w14:textFill>
                        <w14:solidFill>
                          <w14:schemeClr w14:val="tx1"/>
                        </w14:solidFill>
                      </w14:textFill>
                    </w:rPr>
                    <w:t>达到《碎屑岩油藏注水水质指标技术要求及分析方法》（SY/T5329-2022）中</w:t>
                  </w:r>
                  <w:r>
                    <w:rPr>
                      <w:rFonts w:hint="default"/>
                      <w:color w:val="000000" w:themeColor="text1"/>
                      <w:kern w:val="0"/>
                      <w:sz w:val="21"/>
                      <w:szCs w:val="21"/>
                      <w14:textFill>
                        <w14:solidFill>
                          <w14:schemeClr w14:val="tx1"/>
                        </w14:solidFill>
                      </w14:textFill>
                    </w:rPr>
                    <w:t>Ⅱ</w:t>
                  </w:r>
                  <w:r>
                    <w:rPr>
                      <w:rFonts w:hint="default"/>
                      <w:color w:val="000000" w:themeColor="text1"/>
                      <w:kern w:val="0"/>
                      <w:sz w:val="21"/>
                      <w:szCs w:val="21"/>
                      <w:lang w:val="en-US" w:eastAsia="zh-CN"/>
                      <w14:textFill>
                        <w14:solidFill>
                          <w14:schemeClr w14:val="tx1"/>
                        </w14:solidFill>
                      </w14:textFill>
                    </w:rPr>
                    <w:t>级</w:t>
                  </w:r>
                  <w:r>
                    <w:rPr>
                      <w:color w:val="000000" w:themeColor="text1"/>
                      <w:kern w:val="0"/>
                      <w:sz w:val="21"/>
                      <w:szCs w:val="21"/>
                      <w14:textFill>
                        <w14:solidFill>
                          <w14:schemeClr w14:val="tx1"/>
                        </w14:solidFill>
                      </w14:textFill>
                    </w:rPr>
                    <w:t>标准后回注油藏</w:t>
                  </w:r>
                </w:p>
              </w:tc>
              <w:tc>
                <w:tcPr>
                  <w:tcW w:w="787" w:type="pct"/>
                  <w:vAlign w:val="center"/>
                </w:tcPr>
                <w:p w14:paraId="3495712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c>
                <w:tcPr>
                  <w:tcW w:w="1310" w:type="pct"/>
                  <w:vAlign w:val="center"/>
                </w:tcPr>
                <w:p w14:paraId="64228217">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《碎屑岩油藏注水水质指标技术要求及分析方法》（SY/T5329-2022）中</w:t>
                  </w:r>
                  <w:r>
                    <w:rPr>
                      <w:rFonts w:hint="default"/>
                      <w:color w:val="000000" w:themeColor="text1"/>
                      <w:kern w:val="0"/>
                      <w:sz w:val="21"/>
                      <w:szCs w:val="21"/>
                      <w14:textFill>
                        <w14:solidFill>
                          <w14:schemeClr w14:val="tx1"/>
                        </w14:solidFill>
                      </w14:textFill>
                    </w:rPr>
                    <w:t>Ⅱ</w:t>
                  </w:r>
                  <w:r>
                    <w:rPr>
                      <w:rFonts w:hint="default"/>
                      <w:color w:val="000000" w:themeColor="text1"/>
                      <w:kern w:val="0"/>
                      <w:sz w:val="21"/>
                      <w:szCs w:val="21"/>
                      <w:lang w:val="en-US" w:eastAsia="zh-CN"/>
                      <w14:textFill>
                        <w14:solidFill>
                          <w14:schemeClr w14:val="tx1"/>
                        </w14:solidFill>
                      </w14:textFill>
                    </w:rPr>
                    <w:t>级</w:t>
                  </w:r>
                  <w:r>
                    <w:rPr>
                      <w:color w:val="000000" w:themeColor="text1"/>
                      <w:kern w:val="0"/>
                      <w:sz w:val="21"/>
                      <w:szCs w:val="21"/>
                      <w14:textFill>
                        <w14:solidFill>
                          <w14:schemeClr w14:val="tx1"/>
                        </w14:solidFill>
                      </w14:textFill>
                    </w:rPr>
                    <w:t>标准</w:t>
                  </w:r>
                </w:p>
              </w:tc>
            </w:tr>
            <w:tr w14:paraId="09AD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396" w:type="pct"/>
                  <w:vMerge w:val="continue"/>
                  <w:vAlign w:val="center"/>
                </w:tcPr>
                <w:p w14:paraId="7300B655">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Align w:val="center"/>
                </w:tcPr>
                <w:p w14:paraId="7D5FD1C9">
                  <w:pPr>
                    <w:spacing w:line="240" w:lineRule="auto"/>
                    <w:ind w:firstLine="0" w:firstLineChars="0"/>
                    <w:contextualSpacing/>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生活营地</w:t>
                  </w:r>
                </w:p>
              </w:tc>
              <w:tc>
                <w:tcPr>
                  <w:tcW w:w="617" w:type="pct"/>
                  <w:vAlign w:val="center"/>
                </w:tcPr>
                <w:p w14:paraId="6000166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生活污水</w:t>
                  </w:r>
                </w:p>
              </w:tc>
              <w:tc>
                <w:tcPr>
                  <w:tcW w:w="1476" w:type="pct"/>
                  <w:vAlign w:val="center"/>
                </w:tcPr>
                <w:p w14:paraId="7E68A6D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排入防渗污水收集池，清运至</w:t>
                  </w:r>
                  <w:r>
                    <w:rPr>
                      <w:rFonts w:hint="eastAsia"/>
                      <w:color w:val="000000" w:themeColor="text1"/>
                      <w:kern w:val="0"/>
                      <w:sz w:val="21"/>
                      <w:szCs w:val="21"/>
                      <w14:textFill>
                        <w14:solidFill>
                          <w14:schemeClr w14:val="tx1"/>
                        </w14:solidFill>
                      </w14:textFill>
                    </w:rPr>
                    <w:t>吉木萨尔县污水处理厂</w:t>
                  </w:r>
                  <w:r>
                    <w:rPr>
                      <w:color w:val="000000" w:themeColor="text1"/>
                      <w:kern w:val="0"/>
                      <w:sz w:val="21"/>
                      <w:szCs w:val="21"/>
                      <w14:textFill>
                        <w14:solidFill>
                          <w14:schemeClr w14:val="tx1"/>
                        </w14:solidFill>
                      </w14:textFill>
                    </w:rPr>
                    <w:t>处理</w:t>
                  </w:r>
                </w:p>
              </w:tc>
              <w:tc>
                <w:tcPr>
                  <w:tcW w:w="787" w:type="pct"/>
                  <w:vAlign w:val="center"/>
                </w:tcPr>
                <w:p w14:paraId="0FD65BA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防渗收集池1座（30m</w:t>
                  </w:r>
                  <w:r>
                    <w:rPr>
                      <w:color w:val="000000" w:themeColor="text1"/>
                      <w:kern w:val="0"/>
                      <w:sz w:val="21"/>
                      <w:szCs w:val="21"/>
                      <w:vertAlign w:val="superscript"/>
                      <w14:textFill>
                        <w14:solidFill>
                          <w14:schemeClr w14:val="tx1"/>
                        </w14:solidFill>
                      </w14:textFill>
                    </w:rPr>
                    <w:t>3</w:t>
                  </w:r>
                  <w:r>
                    <w:rPr>
                      <w:color w:val="000000" w:themeColor="text1"/>
                      <w:kern w:val="0"/>
                      <w:sz w:val="21"/>
                      <w:szCs w:val="21"/>
                      <w14:textFill>
                        <w14:solidFill>
                          <w14:schemeClr w14:val="tx1"/>
                        </w14:solidFill>
                      </w14:textFill>
                    </w:rPr>
                    <w:t>）</w:t>
                  </w:r>
                </w:p>
              </w:tc>
              <w:tc>
                <w:tcPr>
                  <w:tcW w:w="1310" w:type="pct"/>
                  <w:vAlign w:val="center"/>
                </w:tcPr>
                <w:p w14:paraId="2D86065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不外排</w:t>
                  </w:r>
                </w:p>
              </w:tc>
            </w:tr>
            <w:tr w14:paraId="42E5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6" w:type="pct"/>
                  <w:vMerge w:val="restart"/>
                  <w:vAlign w:val="center"/>
                </w:tcPr>
                <w:p w14:paraId="67A0583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固废</w:t>
                  </w:r>
                </w:p>
              </w:tc>
              <w:tc>
                <w:tcPr>
                  <w:tcW w:w="410" w:type="pct"/>
                  <w:vMerge w:val="restart"/>
                  <w:vAlign w:val="center"/>
                </w:tcPr>
                <w:p w14:paraId="0D64822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w:t>
                  </w:r>
                </w:p>
              </w:tc>
              <w:tc>
                <w:tcPr>
                  <w:tcW w:w="617" w:type="pct"/>
                  <w:vAlign w:val="center"/>
                </w:tcPr>
                <w:p w14:paraId="63E11184">
                  <w:pPr>
                    <w:pStyle w:val="26"/>
                    <w:rPr>
                      <w:color w:val="000000" w:themeColor="text1"/>
                      <w14:textFill>
                        <w14:solidFill>
                          <w14:schemeClr w14:val="tx1"/>
                        </w14:solidFill>
                      </w14:textFill>
                    </w:rPr>
                  </w:pPr>
                  <w:r>
                    <w:rPr>
                      <w:color w:val="000000" w:themeColor="text1"/>
                      <w14:textFill>
                        <w14:solidFill>
                          <w14:schemeClr w14:val="tx1"/>
                        </w14:solidFill>
                      </w14:textFill>
                    </w:rPr>
                    <w:t>水基岩屑</w:t>
                  </w:r>
                </w:p>
              </w:tc>
              <w:tc>
                <w:tcPr>
                  <w:tcW w:w="1476" w:type="pct"/>
                  <w:vAlign w:val="center"/>
                </w:tcPr>
                <w:p w14:paraId="4C69D383">
                  <w:pPr>
                    <w:pStyle w:val="26"/>
                    <w:rPr>
                      <w:color w:val="000000" w:themeColor="text1"/>
                      <w14:textFill>
                        <w14:solidFill>
                          <w14:schemeClr w14:val="tx1"/>
                        </w14:solidFill>
                      </w14:textFill>
                    </w:rPr>
                  </w:pPr>
                  <w:r>
                    <w:rPr>
                      <w:color w:val="000000" w:themeColor="text1"/>
                      <w14:textFill>
                        <w14:solidFill>
                          <w14:schemeClr w14:val="tx1"/>
                        </w14:solidFill>
                      </w14:textFill>
                    </w:rPr>
                    <w:t>水基岩屑交岩屑处置单位处置</w:t>
                  </w:r>
                </w:p>
              </w:tc>
              <w:tc>
                <w:tcPr>
                  <w:tcW w:w="787" w:type="pct"/>
                  <w:vAlign w:val="center"/>
                </w:tcPr>
                <w:p w14:paraId="12E42B4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井场设置水基岩屑储罐</w:t>
                  </w:r>
                </w:p>
              </w:tc>
              <w:tc>
                <w:tcPr>
                  <w:tcW w:w="1310" w:type="pct"/>
                  <w:vMerge w:val="restart"/>
                  <w:vAlign w:val="center"/>
                </w:tcPr>
                <w:p w14:paraId="565CD85F">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《油气田钻井固体废物综合利用污染控制要求》（DB65/T 3997-2017）中综合利用污染物限值</w:t>
                  </w:r>
                </w:p>
              </w:tc>
            </w:tr>
            <w:tr w14:paraId="351F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396" w:type="pct"/>
                  <w:vMerge w:val="continue"/>
                  <w:vAlign w:val="center"/>
                </w:tcPr>
                <w:p w14:paraId="7D5ECFAC">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3951F20B">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17BF73E1">
                  <w:pPr>
                    <w:pStyle w:val="26"/>
                    <w:rPr>
                      <w:color w:val="000000" w:themeColor="text1"/>
                      <w14:textFill>
                        <w14:solidFill>
                          <w14:schemeClr w14:val="tx1"/>
                        </w14:solidFill>
                      </w14:textFill>
                    </w:rPr>
                  </w:pPr>
                  <w:r>
                    <w:rPr>
                      <w:color w:val="000000" w:themeColor="text1"/>
                      <w14:textFill>
                        <w14:solidFill>
                          <w14:schemeClr w14:val="tx1"/>
                        </w14:solidFill>
                      </w14:textFill>
                    </w:rPr>
                    <w:t>油基岩屑</w:t>
                  </w:r>
                </w:p>
              </w:tc>
              <w:tc>
                <w:tcPr>
                  <w:tcW w:w="1476" w:type="pct"/>
                  <w:vAlign w:val="center"/>
                </w:tcPr>
                <w:p w14:paraId="26CD3716">
                  <w:pPr>
                    <w:pStyle w:val="26"/>
                    <w:rPr>
                      <w:color w:val="000000" w:themeColor="text1"/>
                      <w14:textFill>
                        <w14:solidFill>
                          <w14:schemeClr w14:val="tx1"/>
                        </w14:solidFill>
                      </w14:textFill>
                    </w:rPr>
                  </w:pPr>
                  <w:r>
                    <w:rPr>
                      <w:rFonts w:hint="eastAsia"/>
                      <w:color w:val="000000" w:themeColor="text1"/>
                      <w14:textFill>
                        <w14:solidFill>
                          <w14:schemeClr w14:val="tx1"/>
                        </w14:solidFill>
                      </w14:textFill>
                    </w:rPr>
                    <w:t>委托新疆中建环能北庭环保科技有限公司处置</w:t>
                  </w:r>
                </w:p>
              </w:tc>
              <w:tc>
                <w:tcPr>
                  <w:tcW w:w="787" w:type="pct"/>
                  <w:vAlign w:val="center"/>
                </w:tcPr>
                <w:p w14:paraId="29C7113F">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井场设置油基岩屑储罐</w:t>
                  </w:r>
                </w:p>
              </w:tc>
              <w:tc>
                <w:tcPr>
                  <w:tcW w:w="1310" w:type="pct"/>
                  <w:vMerge w:val="continue"/>
                  <w:vAlign w:val="center"/>
                </w:tcPr>
                <w:p w14:paraId="54ED77F3">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29C1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396" w:type="pct"/>
                  <w:vMerge w:val="continue"/>
                  <w:vAlign w:val="center"/>
                </w:tcPr>
                <w:p w14:paraId="16451D96">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748CD2D7">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598169A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机械设备废油</w:t>
                  </w:r>
                </w:p>
              </w:tc>
              <w:tc>
                <w:tcPr>
                  <w:tcW w:w="1476" w:type="pct"/>
                  <w:vAlign w:val="center"/>
                </w:tcPr>
                <w:p w14:paraId="54BF2D1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废机油</w:t>
                  </w:r>
                  <w:r>
                    <w:rPr>
                      <w:rFonts w:hint="eastAsia"/>
                      <w:color w:val="000000" w:themeColor="text1"/>
                      <w:kern w:val="0"/>
                      <w:sz w:val="21"/>
                      <w:szCs w:val="21"/>
                      <w14:textFill>
                        <w14:solidFill>
                          <w14:schemeClr w14:val="tx1"/>
                        </w14:solidFill>
                      </w14:textFill>
                    </w:rPr>
                    <w:t>暂存于危废贮存点，定期</w:t>
                  </w:r>
                  <w:r>
                    <w:rPr>
                      <w:color w:val="000000" w:themeColor="text1"/>
                      <w:kern w:val="0"/>
                      <w:sz w:val="21"/>
                      <w:szCs w:val="21"/>
                      <w14:textFill>
                        <w14:solidFill>
                          <w14:schemeClr w14:val="tx1"/>
                        </w14:solidFill>
                      </w14:textFill>
                    </w:rPr>
                    <w:t>交由</w:t>
                  </w:r>
                  <w:r>
                    <w:rPr>
                      <w:rFonts w:hint="eastAsia"/>
                      <w:color w:val="000000" w:themeColor="text1"/>
                      <w:sz w:val="21"/>
                      <w14:textFill>
                        <w14:solidFill>
                          <w14:schemeClr w14:val="tx1"/>
                        </w14:solidFill>
                      </w14:textFill>
                    </w:rPr>
                    <w:t>新疆中建环能北庭环保科技有限公司处置</w:t>
                  </w:r>
                </w:p>
              </w:tc>
              <w:tc>
                <w:tcPr>
                  <w:tcW w:w="787" w:type="pct"/>
                  <w:vMerge w:val="restart"/>
                  <w:vAlign w:val="center"/>
                </w:tcPr>
                <w:p w14:paraId="4530D99D">
                  <w:pPr>
                    <w:spacing w:line="240" w:lineRule="auto"/>
                    <w:ind w:firstLine="0" w:firstLineChars="0"/>
                    <w:contextualSpacing/>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1座15m</w:t>
                  </w:r>
                  <w:r>
                    <w:rPr>
                      <w:rFonts w:hint="eastAsia"/>
                      <w:color w:val="000000" w:themeColor="text1"/>
                      <w:kern w:val="0"/>
                      <w:sz w:val="21"/>
                      <w:szCs w:val="21"/>
                      <w:vertAlign w:val="superscript"/>
                      <w14:textFill>
                        <w14:solidFill>
                          <w14:schemeClr w14:val="tx1"/>
                        </w14:solidFill>
                      </w14:textFill>
                    </w:rPr>
                    <w:t>2</w:t>
                  </w:r>
                  <w:r>
                    <w:rPr>
                      <w:rFonts w:hint="eastAsia"/>
                      <w:color w:val="000000" w:themeColor="text1"/>
                      <w:kern w:val="0"/>
                      <w:sz w:val="21"/>
                      <w:szCs w:val="21"/>
                      <w14:textFill>
                        <w14:solidFill>
                          <w14:schemeClr w14:val="tx1"/>
                        </w14:solidFill>
                      </w14:textFill>
                    </w:rPr>
                    <w:t>的危废贮存点</w:t>
                  </w:r>
                </w:p>
              </w:tc>
              <w:tc>
                <w:tcPr>
                  <w:tcW w:w="1310" w:type="pct"/>
                  <w:vAlign w:val="center"/>
                </w:tcPr>
                <w:p w14:paraId="7E19403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681D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6" w:type="pct"/>
                  <w:vMerge w:val="continue"/>
                  <w:vAlign w:val="center"/>
                </w:tcPr>
                <w:p w14:paraId="787B4EA8">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2D8584F5">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764A83A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废弃防渗膜</w:t>
                  </w:r>
                </w:p>
              </w:tc>
              <w:tc>
                <w:tcPr>
                  <w:tcW w:w="1476" w:type="pct"/>
                  <w:vAlign w:val="center"/>
                </w:tcPr>
                <w:p w14:paraId="23A92636">
                  <w:pPr>
                    <w:spacing w:line="240" w:lineRule="auto"/>
                    <w:ind w:firstLine="0" w:firstLineChars="0"/>
                    <w:contextualSpacing/>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暂存于危废贮存点，定期</w:t>
                  </w:r>
                  <w:r>
                    <w:rPr>
                      <w:color w:val="000000" w:themeColor="text1"/>
                      <w:kern w:val="0"/>
                      <w:sz w:val="21"/>
                      <w:szCs w:val="21"/>
                      <w14:textFill>
                        <w14:solidFill>
                          <w14:schemeClr w14:val="tx1"/>
                        </w14:solidFill>
                      </w14:textFill>
                    </w:rPr>
                    <w:t>交由</w:t>
                  </w:r>
                  <w:r>
                    <w:rPr>
                      <w:rFonts w:hint="eastAsia"/>
                      <w:color w:val="000000" w:themeColor="text1"/>
                      <w:sz w:val="21"/>
                      <w14:textFill>
                        <w14:solidFill>
                          <w14:schemeClr w14:val="tx1"/>
                        </w14:solidFill>
                      </w14:textFill>
                    </w:rPr>
                    <w:t>新疆中建环能北庭环保科技有限公司处置</w:t>
                  </w:r>
                </w:p>
              </w:tc>
              <w:tc>
                <w:tcPr>
                  <w:tcW w:w="787" w:type="pct"/>
                  <w:vMerge w:val="continue"/>
                  <w:vAlign w:val="center"/>
                </w:tcPr>
                <w:p w14:paraId="2B2BB45E">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1310" w:type="pct"/>
                  <w:vAlign w:val="center"/>
                </w:tcPr>
                <w:p w14:paraId="46B3505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30AF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396" w:type="pct"/>
                  <w:vMerge w:val="continue"/>
                  <w:vAlign w:val="center"/>
                </w:tcPr>
                <w:p w14:paraId="3CEC02E0">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Align w:val="center"/>
                </w:tcPr>
                <w:p w14:paraId="45372D9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施工</w:t>
                  </w:r>
                </w:p>
                <w:p w14:paraId="70DD722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营地</w:t>
                  </w:r>
                </w:p>
              </w:tc>
              <w:tc>
                <w:tcPr>
                  <w:tcW w:w="617" w:type="pct"/>
                  <w:vAlign w:val="center"/>
                </w:tcPr>
                <w:p w14:paraId="7A71B3CF">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生活垃圾</w:t>
                  </w:r>
                </w:p>
              </w:tc>
              <w:tc>
                <w:tcPr>
                  <w:tcW w:w="1476" w:type="pct"/>
                  <w:vAlign w:val="center"/>
                </w:tcPr>
                <w:p w14:paraId="770C047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集中收集后拉运至</w:t>
                  </w:r>
                  <w:r>
                    <w:rPr>
                      <w:rFonts w:hint="eastAsia"/>
                      <w:color w:val="000000" w:themeColor="text1"/>
                      <w:kern w:val="0"/>
                      <w:sz w:val="21"/>
                      <w:szCs w:val="21"/>
                      <w14:textFill>
                        <w14:solidFill>
                          <w14:schemeClr w14:val="tx1"/>
                        </w14:solidFill>
                      </w14:textFill>
                    </w:rPr>
                    <w:t>吉木萨尔县生活垃圾填埋场</w:t>
                  </w:r>
                </w:p>
              </w:tc>
              <w:tc>
                <w:tcPr>
                  <w:tcW w:w="787" w:type="pct"/>
                  <w:vAlign w:val="center"/>
                </w:tcPr>
                <w:p w14:paraId="2313EAE0">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垃圾箱1个</w:t>
                  </w:r>
                </w:p>
              </w:tc>
              <w:tc>
                <w:tcPr>
                  <w:tcW w:w="1310" w:type="pct"/>
                  <w:vAlign w:val="center"/>
                </w:tcPr>
                <w:p w14:paraId="4E265C4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6F91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396" w:type="pct"/>
                  <w:vMerge w:val="restart"/>
                  <w:vAlign w:val="center"/>
                </w:tcPr>
                <w:p w14:paraId="45816CC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生态</w:t>
                  </w:r>
                </w:p>
              </w:tc>
              <w:tc>
                <w:tcPr>
                  <w:tcW w:w="410" w:type="pct"/>
                  <w:vMerge w:val="restart"/>
                  <w:vAlign w:val="center"/>
                </w:tcPr>
                <w:p w14:paraId="113687DA">
                  <w:pPr>
                    <w:spacing w:line="240" w:lineRule="auto"/>
                    <w:ind w:firstLine="0" w:firstLineChars="0"/>
                    <w:contextualSpacing/>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井场、道路及生活营地</w:t>
                  </w:r>
                </w:p>
              </w:tc>
              <w:tc>
                <w:tcPr>
                  <w:tcW w:w="617" w:type="pct"/>
                  <w:vAlign w:val="center"/>
                </w:tcPr>
                <w:p w14:paraId="7406783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生态恢复</w:t>
                  </w:r>
                </w:p>
              </w:tc>
              <w:tc>
                <w:tcPr>
                  <w:tcW w:w="3574" w:type="pct"/>
                  <w:gridSpan w:val="3"/>
                  <w:vAlign w:val="center"/>
                </w:tcPr>
                <w:p w14:paraId="373E641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生态保护措施落实情况；临时占地清理平整，植被自然恢复</w:t>
                  </w:r>
                </w:p>
              </w:tc>
            </w:tr>
            <w:tr w14:paraId="238C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396" w:type="pct"/>
                  <w:vMerge w:val="continue"/>
                  <w:vAlign w:val="center"/>
                </w:tcPr>
                <w:p w14:paraId="4574734C">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1F77FDDB">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59528CD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野生动物及植被</w:t>
                  </w:r>
                </w:p>
              </w:tc>
              <w:tc>
                <w:tcPr>
                  <w:tcW w:w="3574" w:type="pct"/>
                  <w:gridSpan w:val="3"/>
                  <w:vAlign w:val="center"/>
                </w:tcPr>
                <w:p w14:paraId="4EF18BC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严禁滥捕保护动物，严禁乱碾乱轧，毁坏植被；禁止车辆离开道路行驶，保护野生动物生境和生物多样性；井场采用护栏加以防护，外围地带设置警告标识。</w:t>
                  </w:r>
                </w:p>
              </w:tc>
            </w:tr>
            <w:tr w14:paraId="66C5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25" w:type="pct"/>
                  <w:gridSpan w:val="3"/>
                  <w:vAlign w:val="center"/>
                </w:tcPr>
                <w:p w14:paraId="63B02D1C">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环境管理</w:t>
                  </w:r>
                </w:p>
              </w:tc>
              <w:tc>
                <w:tcPr>
                  <w:tcW w:w="3574" w:type="pct"/>
                  <w:gridSpan w:val="3"/>
                  <w:vAlign w:val="center"/>
                </w:tcPr>
                <w:p w14:paraId="78BF87B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环境管理制度是否建立并完善，环保机构及人员是否设置到位；是否保留必要的影像资料</w:t>
                  </w:r>
                </w:p>
              </w:tc>
            </w:tr>
            <w:tr w14:paraId="0B45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25" w:type="pct"/>
                  <w:gridSpan w:val="3"/>
                  <w:vAlign w:val="center"/>
                </w:tcPr>
                <w:p w14:paraId="4F4496AE">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环境风险措施</w:t>
                  </w:r>
                </w:p>
              </w:tc>
              <w:tc>
                <w:tcPr>
                  <w:tcW w:w="3574" w:type="pct"/>
                  <w:gridSpan w:val="3"/>
                  <w:vAlign w:val="center"/>
                </w:tcPr>
                <w:p w14:paraId="15557A6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配备灭火装置、应急点火系统、钻井井口防喷器等</w:t>
                  </w:r>
                </w:p>
              </w:tc>
            </w:tr>
          </w:tbl>
          <w:p w14:paraId="1403FEAB">
            <w:pPr>
              <w:ind w:firstLine="480"/>
              <w:rPr>
                <w:color w:val="000000" w:themeColor="text1"/>
                <w14:textFill>
                  <w14:solidFill>
                    <w14:schemeClr w14:val="tx1"/>
                  </w14:solidFill>
                </w14:textFill>
              </w:rPr>
            </w:pPr>
            <w:r>
              <w:rPr>
                <w:color w:val="000000" w:themeColor="text1"/>
                <w14:textFill>
                  <w14:solidFill>
                    <w14:schemeClr w14:val="tx1"/>
                  </w14:solidFill>
                </w14:textFill>
              </w:rPr>
              <w:t>（1）在建设项目竣工后、正式投入生产或运行前，企业按照环境影响报告书（表）及其批复文件要求，对与主体工程配套建设的环境保护设施落实情况进行查验。</w:t>
            </w:r>
          </w:p>
          <w:p w14:paraId="784DB46B">
            <w:pPr>
              <w:ind w:firstLine="480"/>
              <w:rPr>
                <w:color w:val="000000" w:themeColor="text1"/>
                <w14:textFill>
                  <w14:solidFill>
                    <w14:schemeClr w14:val="tx1"/>
                  </w14:solidFill>
                </w14:textFill>
              </w:rPr>
            </w:pPr>
            <w:r>
              <w:rPr>
                <w:color w:val="000000" w:themeColor="text1"/>
                <w14:textFill>
                  <w14:solidFill>
                    <w14:schemeClr w14:val="tx1"/>
                  </w14:solidFill>
                </w14:textFill>
              </w:rPr>
              <w:t>（2）按照环境保护主管部门制定的竣工环境保护验收技术规范，企业自行编制或委托具备相应技术能力的机构，对建设项目环境保护设施落实情况进行调查，开展相关环境监测，编制竣工环境保护验收调查（监测）报告。企业、验收调查（监测）机构及其相关人员对验收调查（监测）报告结论终身负责。</w:t>
            </w:r>
          </w:p>
          <w:p w14:paraId="580F65F4">
            <w:pPr>
              <w:ind w:firstLine="480"/>
              <w:rPr>
                <w:color w:val="000000" w:themeColor="text1"/>
                <w14:textFill>
                  <w14:solidFill>
                    <w14:schemeClr w14:val="tx1"/>
                  </w14:solidFill>
                </w14:textFill>
              </w:rPr>
            </w:pPr>
            <w:r>
              <w:rPr>
                <w:color w:val="000000" w:themeColor="text1"/>
                <w14:textFill>
                  <w14:solidFill>
                    <w14:schemeClr w14:val="tx1"/>
                  </w14:solidFill>
                </w14:textFill>
              </w:rPr>
              <w:t>（3）验收调查（监测）报告编制完成后，由企业法人组织对建设项目环境保护设施和环境保护措施进行验收，形成书面报告备查，并向社会公开。</w:t>
            </w:r>
          </w:p>
          <w:p w14:paraId="61C72FDC">
            <w:pPr>
              <w:ind w:firstLine="480"/>
              <w:rPr>
                <w:color w:val="000000" w:themeColor="text1"/>
                <w14:textFill>
                  <w14:solidFill>
                    <w14:schemeClr w14:val="tx1"/>
                  </w14:solidFill>
                </w14:textFill>
              </w:rPr>
            </w:pPr>
            <w:r>
              <w:rPr>
                <w:color w:val="000000" w:themeColor="text1"/>
                <w14:textFill>
                  <w14:solidFill>
                    <w14:schemeClr w14:val="tx1"/>
                  </w14:solidFill>
                </w14:textFill>
              </w:rPr>
              <w:t>（4）企业自行组织竣工环境保护验收时，应成立验收组，对建设项目环境保护设施及其他环境保护措施进行资料审查、现场踏勘，形成验收意见，验收组成员名单附后。验收意见应经三分之二以上验收组成员同意。</w:t>
            </w:r>
          </w:p>
          <w:p w14:paraId="3183EC2E">
            <w:pPr>
              <w:ind w:firstLine="480"/>
              <w:rPr>
                <w:color w:val="000000" w:themeColor="text1"/>
                <w14:textFill>
                  <w14:solidFill>
                    <w14:schemeClr w14:val="tx1"/>
                  </w14:solidFill>
                </w14:textFill>
              </w:rPr>
            </w:pPr>
            <w:r>
              <w:rPr>
                <w:color w:val="000000" w:themeColor="text1"/>
                <w14:textFill>
                  <w14:solidFill>
                    <w14:schemeClr w14:val="tx1"/>
                  </w14:solidFill>
                </w14:textFill>
              </w:rPr>
              <w:t>验收组应由项目法人、设计单位、施工单位、环境监理单位、环境监测单位、环境影响报告书（表）编制单位、变更环境影响报告书（表）编制单位、验收调查（监测）报告编制单位代表，以及不少于3名行业专家组成。</w:t>
            </w:r>
          </w:p>
          <w:p w14:paraId="2D0871B6">
            <w:pPr>
              <w:ind w:firstLine="480"/>
              <w:rPr>
                <w:color w:val="000000" w:themeColor="text1"/>
                <w14:textFill>
                  <w14:solidFill>
                    <w14:schemeClr w14:val="tx1"/>
                  </w14:solidFill>
                </w14:textFill>
              </w:rPr>
            </w:pPr>
            <w:r>
              <w:rPr>
                <w:color w:val="000000" w:themeColor="text1"/>
                <w14:textFill>
                  <w14:solidFill>
                    <w14:schemeClr w14:val="tx1"/>
                  </w14:solidFill>
                </w14:textFill>
              </w:rPr>
              <w:t>（5）企业应对验收意见中提出的环保问题进行整改。环境保护设施未经验收或者验收不合格的，建设项目主体工程不得投入生产或者使用。</w:t>
            </w:r>
          </w:p>
          <w:p w14:paraId="6829AC42">
            <w:pPr>
              <w:ind w:firstLine="480"/>
              <w:rPr>
                <w:color w:val="000000" w:themeColor="text1"/>
                <w14:textFill>
                  <w14:solidFill>
                    <w14:schemeClr w14:val="tx1"/>
                  </w14:solidFill>
                </w14:textFill>
              </w:rPr>
            </w:pPr>
            <w:r>
              <w:rPr>
                <w:color w:val="000000" w:themeColor="text1"/>
                <w14:textFill>
                  <w14:solidFill>
                    <w14:schemeClr w14:val="tx1"/>
                  </w14:solidFill>
                </w14:textFill>
              </w:rPr>
              <w:t>（6）企业应自验收通过之日起30个工作日内，制作竣工环境保护验收意见书，并将验收意见书、验收调查（监测）报告和“三同时”验收登记表上传至建设项目竣工环境保护企业自行验收信息平台，并如实向社会公开。</w:t>
            </w:r>
          </w:p>
          <w:p w14:paraId="797B25B5">
            <w:pPr>
              <w:adjustRightInd w:val="0"/>
              <w:snapToGrid w:val="0"/>
              <w:spacing w:line="360" w:lineRule="auto"/>
              <w:ind w:left="0" w:leftChars="0" w:firstLine="0" w:firstLineChars="0"/>
              <w:rPr>
                <w:rFonts w:hint="eastAsia"/>
                <w:b/>
                <w:bCs/>
                <w:color w:val="000000" w:themeColor="text1"/>
                <w:sz w:val="28"/>
                <w:szCs w:val="28"/>
                <w14:textFill>
                  <w14:solidFill>
                    <w14:schemeClr w14:val="tx1"/>
                  </w14:solidFill>
                </w14:textFill>
              </w:rPr>
            </w:pPr>
            <w:r>
              <w:rPr>
                <w:rFonts w:hint="eastAsia" w:ascii="Times New Roman" w:hAnsi="Times New Roman" w:cs="Times New Roman"/>
                <w:b/>
                <w:bCs/>
                <w:color w:val="000000" w:themeColor="text1"/>
                <w:sz w:val="28"/>
                <w:szCs w:val="28"/>
                <w14:textFill>
                  <w14:solidFill>
                    <w14:schemeClr w14:val="tx1"/>
                  </w14:solidFill>
                </w14:textFill>
              </w:rPr>
              <w:t>10</w:t>
            </w:r>
            <w:r>
              <w:rPr>
                <w:rFonts w:hint="eastAsia"/>
                <w:b/>
                <w:bCs/>
                <w:color w:val="000000" w:themeColor="text1"/>
                <w:sz w:val="28"/>
                <w:szCs w:val="28"/>
                <w14:textFill>
                  <w14:solidFill>
                    <w14:schemeClr w14:val="tx1"/>
                  </w14:solidFill>
                </w14:textFill>
              </w:rPr>
              <w:t xml:space="preserve"> 环境监测计划</w:t>
            </w:r>
          </w:p>
          <w:p w14:paraId="6C7D9C1B">
            <w:pPr>
              <w:adjustRightInd w:val="0"/>
              <w:snapToGrid w:val="0"/>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项目特点，本项目为陆地油气勘探预探井钻试工程，施工周期较短，环境影响具有阶段性。项目环境管理以施工期环境监测与环境检查为主，参照相关环境管理技术指南要求制定环境监测与检查计划，本项目建议监测计划见表</w:t>
            </w:r>
            <w:r>
              <w:rPr>
                <w:rFonts w:hint="eastAsia" w:ascii="Times New Roman" w:hAnsi="Times New Roman" w:cs="Times New Roman"/>
                <w:color w:val="000000" w:themeColor="text1"/>
                <w:sz w:val="24"/>
                <w14:textFill>
                  <w14:solidFill>
                    <w14:schemeClr w14:val="tx1"/>
                  </w14:solidFill>
                </w14:textFill>
              </w:rPr>
              <w:t>5</w:t>
            </w:r>
            <w:r>
              <w:rPr>
                <w:rFonts w:hint="eastAsia"/>
                <w:color w:val="000000" w:themeColor="text1"/>
                <w:sz w:val="24"/>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3</w:t>
            </w:r>
            <w:r>
              <w:rPr>
                <w:rFonts w:hint="eastAsia"/>
                <w:color w:val="000000" w:themeColor="text1"/>
                <w:sz w:val="24"/>
                <w14:textFill>
                  <w14:solidFill>
                    <w14:schemeClr w14:val="tx1"/>
                  </w14:solidFill>
                </w14:textFill>
              </w:rPr>
              <w:t>。</w:t>
            </w:r>
          </w:p>
          <w:p w14:paraId="0B826FA2">
            <w:pPr>
              <w:adjustRightInd w:val="0"/>
              <w:snapToGrid w:val="0"/>
              <w:spacing w:line="360" w:lineRule="auto"/>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表</w:t>
            </w:r>
            <w:r>
              <w:rPr>
                <w:rFonts w:hint="eastAsia" w:ascii="Times New Roman" w:hAnsi="Times New Roman" w:cs="Times New Roman"/>
                <w:b/>
                <w:bCs/>
                <w:color w:val="000000" w:themeColor="text1"/>
                <w:sz w:val="21"/>
                <w:szCs w:val="21"/>
                <w14:textFill>
                  <w14:solidFill>
                    <w14:schemeClr w14:val="tx1"/>
                  </w14:solidFill>
                </w14:textFill>
              </w:rPr>
              <w:t>5</w:t>
            </w:r>
            <w:r>
              <w:rPr>
                <w:rFonts w:hint="eastAsia"/>
                <w:b/>
                <w:bCs/>
                <w:color w:val="000000" w:themeColor="text1"/>
                <w:sz w:val="21"/>
                <w:szCs w:val="21"/>
                <w14:textFill>
                  <w14:solidFill>
                    <w14:schemeClr w14:val="tx1"/>
                  </w14:solidFill>
                </w14:textFill>
              </w:rPr>
              <w:t>-</w:t>
            </w:r>
            <w:r>
              <w:rPr>
                <w:rFonts w:hint="eastAsia" w:ascii="Times New Roman" w:hAnsi="Times New Roman" w:cs="Times New Roman"/>
                <w:b/>
                <w:bCs/>
                <w:color w:val="000000" w:themeColor="text1"/>
                <w:sz w:val="21"/>
                <w:szCs w:val="21"/>
                <w14:textFill>
                  <w14:solidFill>
                    <w14:schemeClr w14:val="tx1"/>
                  </w14:solidFill>
                </w14:textFill>
              </w:rPr>
              <w:t>3</w:t>
            </w:r>
            <w:r>
              <w:rPr>
                <w:rFonts w:hint="eastAsia"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环境监测计划表</w:t>
            </w:r>
          </w:p>
          <w:tbl>
            <w:tblPr>
              <w:tblStyle w:val="16"/>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8"/>
              <w:gridCol w:w="1769"/>
              <w:gridCol w:w="1905"/>
              <w:gridCol w:w="1706"/>
              <w:gridCol w:w="1911"/>
            </w:tblGrid>
            <w:tr w14:paraId="2ECA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858" w:type="dxa"/>
                  <w:tcBorders>
                    <w:top w:val="single" w:color="auto" w:sz="4" w:space="0"/>
                    <w:left w:val="single" w:color="auto" w:sz="4" w:space="0"/>
                    <w:bottom w:val="single" w:color="auto" w:sz="4" w:space="0"/>
                    <w:right w:val="single" w:color="auto" w:sz="4" w:space="0"/>
                  </w:tcBorders>
                  <w:noWrap w:val="0"/>
                  <w:vAlign w:val="center"/>
                </w:tcPr>
                <w:p w14:paraId="3F87C11D">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pacing w:val="7"/>
                      <w:sz w:val="21"/>
                      <w:szCs w:val="21"/>
                      <w14:textFill>
                        <w14:solidFill>
                          <w14:schemeClr w14:val="tx1"/>
                        </w14:solidFill>
                      </w14:textFill>
                    </w:rPr>
                    <w:t>监测对象</w:t>
                  </w:r>
                </w:p>
              </w:tc>
              <w:tc>
                <w:tcPr>
                  <w:tcW w:w="1769" w:type="dxa"/>
                  <w:tcBorders>
                    <w:top w:val="single" w:color="auto" w:sz="4" w:space="0"/>
                    <w:left w:val="single" w:color="auto" w:sz="4" w:space="0"/>
                    <w:bottom w:val="single" w:color="auto" w:sz="4" w:space="0"/>
                    <w:right w:val="single" w:color="auto" w:sz="4" w:space="0"/>
                  </w:tcBorders>
                  <w:noWrap w:val="0"/>
                  <w:vAlign w:val="center"/>
                </w:tcPr>
                <w:p w14:paraId="3E7C9CE4">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pacing w:val="7"/>
                      <w:sz w:val="21"/>
                      <w:szCs w:val="21"/>
                      <w14:textFill>
                        <w14:solidFill>
                          <w14:schemeClr w14:val="tx1"/>
                        </w14:solidFill>
                      </w14:textFill>
                    </w:rPr>
                    <w:t>监测频率</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375FBD5C">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pacing w:val="7"/>
                      <w:sz w:val="21"/>
                      <w:szCs w:val="21"/>
                      <w14:textFill>
                        <w14:solidFill>
                          <w14:schemeClr w14:val="tx1"/>
                        </w14:solidFill>
                      </w14:textFill>
                    </w:rPr>
                    <w:t>监测项目</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77688044">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pacing w:val="7"/>
                      <w:sz w:val="21"/>
                      <w:szCs w:val="21"/>
                      <w14:textFill>
                        <w14:solidFill>
                          <w14:schemeClr w14:val="tx1"/>
                        </w14:solidFill>
                      </w14:textFill>
                    </w:rPr>
                    <w:t>监测地点</w:t>
                  </w:r>
                </w:p>
              </w:tc>
              <w:tc>
                <w:tcPr>
                  <w:tcW w:w="1911" w:type="dxa"/>
                  <w:tcBorders>
                    <w:top w:val="single" w:color="auto" w:sz="4" w:space="0"/>
                    <w:left w:val="single" w:color="auto" w:sz="4" w:space="0"/>
                    <w:bottom w:val="single" w:color="auto" w:sz="4" w:space="0"/>
                    <w:right w:val="single" w:color="auto" w:sz="4" w:space="0"/>
                  </w:tcBorders>
                  <w:noWrap w:val="0"/>
                  <w:vAlign w:val="center"/>
                </w:tcPr>
                <w:p w14:paraId="53F2AA58">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eastAsia="宋体" w:cs="Times New Roman"/>
                      <w:b/>
                      <w:color w:val="000000" w:themeColor="text1"/>
                      <w:spacing w:val="4"/>
                      <w:sz w:val="21"/>
                      <w:szCs w:val="21"/>
                      <w:lang w:val="en-US" w:eastAsia="zh-CN"/>
                      <w14:textFill>
                        <w14:solidFill>
                          <w14:schemeClr w14:val="tx1"/>
                        </w14:solidFill>
                      </w14:textFill>
                    </w:rPr>
                  </w:pPr>
                  <w:r>
                    <w:rPr>
                      <w:rFonts w:hint="default" w:ascii="Times New Roman" w:hAnsi="Times New Roman" w:cs="Times New Roman"/>
                      <w:b/>
                      <w:color w:val="000000" w:themeColor="text1"/>
                      <w:spacing w:val="4"/>
                      <w:sz w:val="21"/>
                      <w:szCs w:val="21"/>
                      <w:lang w:val="en-US" w:eastAsia="zh-CN"/>
                      <w14:textFill>
                        <w14:solidFill>
                          <w14:schemeClr w14:val="tx1"/>
                        </w14:solidFill>
                      </w14:textFill>
                    </w:rPr>
                    <w:t>监测方式</w:t>
                  </w:r>
                </w:p>
              </w:tc>
            </w:tr>
            <w:tr w14:paraId="7A36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858" w:type="dxa"/>
                  <w:vMerge w:val="restart"/>
                  <w:tcBorders>
                    <w:top w:val="single" w:color="auto" w:sz="4" w:space="0"/>
                    <w:left w:val="single" w:color="auto" w:sz="4" w:space="0"/>
                    <w:right w:val="single" w:color="auto" w:sz="4" w:space="0"/>
                  </w:tcBorders>
                  <w:noWrap w:val="0"/>
                  <w:vAlign w:val="center"/>
                </w:tcPr>
                <w:p w14:paraId="05C30C67">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大气</w:t>
                  </w:r>
                </w:p>
              </w:tc>
              <w:tc>
                <w:tcPr>
                  <w:tcW w:w="1769" w:type="dxa"/>
                  <w:tcBorders>
                    <w:top w:val="single" w:color="auto" w:sz="4" w:space="0"/>
                    <w:left w:val="single" w:color="auto" w:sz="4" w:space="0"/>
                    <w:bottom w:val="single" w:color="auto" w:sz="4" w:space="0"/>
                    <w:right w:val="single" w:color="auto" w:sz="4" w:space="0"/>
                  </w:tcBorders>
                  <w:noWrap w:val="0"/>
                  <w:vAlign w:val="center"/>
                </w:tcPr>
                <w:p w14:paraId="0DED764C">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1次/</w:t>
                  </w:r>
                  <w:r>
                    <w:rPr>
                      <w:rFonts w:hint="default" w:ascii="Times New Roman" w:hAnsi="Times New Roman" w:cs="Times New Roman"/>
                      <w:color w:val="000000" w:themeColor="text1"/>
                      <w:kern w:val="0"/>
                      <w:sz w:val="21"/>
                      <w:szCs w:val="21"/>
                      <w:lang w:val="en-US" w:eastAsia="zh-CN" w:bidi="ar"/>
                      <w14:textFill>
                        <w14:solidFill>
                          <w14:schemeClr w14:val="tx1"/>
                        </w14:solidFill>
                      </w14:textFill>
                    </w:rPr>
                    <w:t>施工</w:t>
                  </w:r>
                  <w:r>
                    <w:rPr>
                      <w:rFonts w:hint="default" w:ascii="Times New Roman" w:hAnsi="Times New Roman" w:cs="Times New Roman"/>
                      <w:color w:val="000000" w:themeColor="text1"/>
                      <w:kern w:val="0"/>
                      <w:sz w:val="21"/>
                      <w:szCs w:val="21"/>
                      <w:lang w:bidi="ar"/>
                      <w14:textFill>
                        <w14:solidFill>
                          <w14:schemeClr w14:val="tx1"/>
                        </w14:solidFill>
                      </w14:textFill>
                    </w:rPr>
                    <w:t>期</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22CF0C3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1"/>
                      <w:sz w:val="21"/>
                      <w:szCs w:val="21"/>
                      <w:lang w:val="en-US" w:eastAsia="zh-CN"/>
                      <w14:textFill>
                        <w14:solidFill>
                          <w14:schemeClr w14:val="tx1"/>
                        </w14:solidFill>
                      </w14:textFill>
                    </w:rPr>
                    <w:t>TSP</w:t>
                  </w:r>
                  <w:r>
                    <w:rPr>
                      <w:rFonts w:hint="default" w:ascii="Times New Roman" w:hAnsi="Times New Roman" w:cs="Times New Roman"/>
                      <w:color w:val="000000" w:themeColor="text1"/>
                      <w:spacing w:val="-1"/>
                      <w:sz w:val="21"/>
                      <w:szCs w:val="21"/>
                      <w14:textFill>
                        <w14:solidFill>
                          <w14:schemeClr w14:val="tx1"/>
                        </w14:solidFill>
                      </w14:textFill>
                    </w:rPr>
                    <w:t>、H</w:t>
                  </w:r>
                  <w:r>
                    <w:rPr>
                      <w:rFonts w:hint="default" w:ascii="Times New Roman" w:hAnsi="Times New Roman" w:cs="Times New Roman"/>
                      <w:color w:val="000000" w:themeColor="text1"/>
                      <w:spacing w:val="-1"/>
                      <w:sz w:val="21"/>
                      <w:szCs w:val="21"/>
                      <w:vertAlign w:val="subscript"/>
                      <w14:textFill>
                        <w14:solidFill>
                          <w14:schemeClr w14:val="tx1"/>
                        </w14:solidFill>
                      </w14:textFill>
                    </w:rPr>
                    <w:t>2</w:t>
                  </w:r>
                  <w:r>
                    <w:rPr>
                      <w:rFonts w:hint="default" w:ascii="Times New Roman" w:hAnsi="Times New Roman" w:cs="Times New Roman"/>
                      <w:color w:val="000000" w:themeColor="text1"/>
                      <w:spacing w:val="-1"/>
                      <w:sz w:val="21"/>
                      <w:szCs w:val="21"/>
                      <w14:textFill>
                        <w14:solidFill>
                          <w14:schemeClr w14:val="tx1"/>
                        </w14:solidFill>
                      </w14:textFill>
                    </w:rPr>
                    <w:t>S</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563FFA3D">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pacing w:val="8"/>
                      <w:sz w:val="21"/>
                      <w:szCs w:val="21"/>
                      <w:lang w:val="en-US" w:eastAsia="zh-CN"/>
                      <w14:textFill>
                        <w14:solidFill>
                          <w14:schemeClr w14:val="tx1"/>
                        </w14:solidFill>
                      </w14:textFill>
                    </w:rPr>
                    <w:t>钻井平台周围</w:t>
                  </w:r>
                </w:p>
              </w:tc>
              <w:tc>
                <w:tcPr>
                  <w:tcW w:w="1911" w:type="dxa"/>
                  <w:vMerge w:val="restart"/>
                  <w:tcBorders>
                    <w:top w:val="single" w:color="auto" w:sz="4" w:space="0"/>
                    <w:left w:val="single" w:color="auto" w:sz="4" w:space="0"/>
                    <w:right w:val="single" w:color="auto" w:sz="4" w:space="0"/>
                  </w:tcBorders>
                  <w:noWrap w:val="0"/>
                  <w:vAlign w:val="center"/>
                </w:tcPr>
                <w:p w14:paraId="6DDA26AD">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eastAsia="宋体" w:cs="Times New Roman"/>
                      <w:color w:val="000000" w:themeColor="text1"/>
                      <w:spacing w:val="6"/>
                      <w:sz w:val="21"/>
                      <w:szCs w:val="21"/>
                      <w:lang w:val="en-US" w:eastAsia="zh-CN"/>
                      <w14:textFill>
                        <w14:solidFill>
                          <w14:schemeClr w14:val="tx1"/>
                        </w14:solidFill>
                      </w14:textFill>
                    </w:rPr>
                  </w:pPr>
                  <w:r>
                    <w:rPr>
                      <w:rFonts w:hint="default" w:ascii="Times New Roman" w:hAnsi="Times New Roman" w:cs="Times New Roman"/>
                      <w:color w:val="000000" w:themeColor="text1"/>
                      <w:spacing w:val="6"/>
                      <w:sz w:val="21"/>
                      <w:szCs w:val="21"/>
                      <w:lang w:val="en-US" w:eastAsia="zh-CN"/>
                      <w14:textFill>
                        <w14:solidFill>
                          <w14:schemeClr w14:val="tx1"/>
                        </w14:solidFill>
                      </w14:textFill>
                    </w:rPr>
                    <w:t>委托监测</w:t>
                  </w:r>
                </w:p>
              </w:tc>
            </w:tr>
            <w:tr w14:paraId="745D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858" w:type="dxa"/>
                  <w:vMerge w:val="continue"/>
                  <w:tcBorders>
                    <w:left w:val="single" w:color="auto" w:sz="4" w:space="0"/>
                    <w:bottom w:val="single" w:color="auto" w:sz="4" w:space="0"/>
                    <w:right w:val="single" w:color="auto" w:sz="4" w:space="0"/>
                  </w:tcBorders>
                  <w:noWrap w:val="0"/>
                  <w:vAlign w:val="center"/>
                </w:tcPr>
                <w:p w14:paraId="4F4EA263">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pacing w:val="3"/>
                      <w:sz w:val="21"/>
                      <w:szCs w:val="21"/>
                      <w14:textFill>
                        <w14:solidFill>
                          <w14:schemeClr w14:val="tx1"/>
                        </w14:solidFill>
                      </w14:textFill>
                    </w:rPr>
                  </w:pPr>
                </w:p>
              </w:tc>
              <w:tc>
                <w:tcPr>
                  <w:tcW w:w="1769" w:type="dxa"/>
                  <w:tcBorders>
                    <w:top w:val="single" w:color="auto" w:sz="4" w:space="0"/>
                    <w:left w:val="single" w:color="auto" w:sz="4" w:space="0"/>
                    <w:bottom w:val="single" w:color="auto" w:sz="4" w:space="0"/>
                    <w:right w:val="single" w:color="auto" w:sz="4" w:space="0"/>
                  </w:tcBorders>
                  <w:noWrap w:val="0"/>
                  <w:vAlign w:val="center"/>
                </w:tcPr>
                <w:p w14:paraId="76421AC9">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1次/</w:t>
                  </w:r>
                  <w:r>
                    <w:rPr>
                      <w:rFonts w:hint="default" w:ascii="Times New Roman" w:hAnsi="Times New Roman" w:cs="Times New Roman"/>
                      <w:color w:val="000000" w:themeColor="text1"/>
                      <w:kern w:val="0"/>
                      <w:sz w:val="21"/>
                      <w:szCs w:val="21"/>
                      <w:lang w:val="en-US" w:eastAsia="zh-CN" w:bidi="ar"/>
                      <w14:textFill>
                        <w14:solidFill>
                          <w14:schemeClr w14:val="tx1"/>
                        </w14:solidFill>
                      </w14:textFill>
                    </w:rPr>
                    <w:t>试油</w:t>
                  </w:r>
                  <w:r>
                    <w:rPr>
                      <w:rFonts w:hint="default" w:ascii="Times New Roman" w:hAnsi="Times New Roman" w:cs="Times New Roman"/>
                      <w:color w:val="000000" w:themeColor="text1"/>
                      <w:kern w:val="0"/>
                      <w:sz w:val="21"/>
                      <w:szCs w:val="21"/>
                      <w:lang w:bidi="ar"/>
                      <w14:textFill>
                        <w14:solidFill>
                          <w14:schemeClr w14:val="tx1"/>
                        </w14:solidFill>
                      </w14:textFill>
                    </w:rPr>
                    <w:t>期</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48FCFAF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00" w:themeColor="text1"/>
                      <w:spacing w:val="-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NOx、SO</w:t>
                  </w:r>
                  <w:r>
                    <w:rPr>
                      <w:rFonts w:hint="default" w:ascii="Times New Roman" w:hAnsi="Times New Roman" w:cs="Times New Roman"/>
                      <w:color w:val="000000" w:themeColor="text1"/>
                      <w:spacing w:val="-1"/>
                      <w:sz w:val="21"/>
                      <w:szCs w:val="21"/>
                      <w:vertAlign w:val="subscript"/>
                      <w14:textFill>
                        <w14:solidFill>
                          <w14:schemeClr w14:val="tx1"/>
                        </w14:solidFill>
                      </w14:textFill>
                    </w:rPr>
                    <w:t>2</w:t>
                  </w:r>
                  <w:r>
                    <w:rPr>
                      <w:rFonts w:hint="default" w:ascii="Times New Roman" w:hAnsi="Times New Roman" w:cs="Times New Roman"/>
                      <w:color w:val="000000" w:themeColor="text1"/>
                      <w:spacing w:val="-1"/>
                      <w:sz w:val="21"/>
                      <w:szCs w:val="21"/>
                      <w14:textFill>
                        <w14:solidFill>
                          <w14:schemeClr w14:val="tx1"/>
                        </w14:solidFill>
                      </w14:textFill>
                    </w:rPr>
                    <w:t>、颗粒物、 H</w:t>
                  </w:r>
                  <w:r>
                    <w:rPr>
                      <w:rFonts w:hint="default" w:ascii="Times New Roman" w:hAnsi="Times New Roman" w:cs="Times New Roman"/>
                      <w:color w:val="000000" w:themeColor="text1"/>
                      <w:spacing w:val="-1"/>
                      <w:sz w:val="21"/>
                      <w:szCs w:val="21"/>
                      <w:vertAlign w:val="subscript"/>
                      <w14:textFill>
                        <w14:solidFill>
                          <w14:schemeClr w14:val="tx1"/>
                        </w14:solidFill>
                      </w14:textFill>
                    </w:rPr>
                    <w:t>2</w:t>
                  </w:r>
                  <w:r>
                    <w:rPr>
                      <w:rFonts w:hint="default" w:ascii="Times New Roman" w:hAnsi="Times New Roman" w:cs="Times New Roman"/>
                      <w:color w:val="000000" w:themeColor="text1"/>
                      <w:spacing w:val="-1"/>
                      <w:sz w:val="21"/>
                      <w:szCs w:val="21"/>
                      <w14:textFill>
                        <w14:solidFill>
                          <w14:schemeClr w14:val="tx1"/>
                        </w14:solidFill>
                      </w14:textFill>
                    </w:rPr>
                    <w:t>S、非甲烷总烃</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49676776">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pacing w:val="8"/>
                      <w:sz w:val="21"/>
                      <w:szCs w:val="21"/>
                      <w14:textFill>
                        <w14:solidFill>
                          <w14:schemeClr w14:val="tx1"/>
                        </w14:solidFill>
                      </w14:textFill>
                    </w:rPr>
                  </w:pPr>
                  <w:r>
                    <w:rPr>
                      <w:rFonts w:hint="default" w:ascii="Times New Roman" w:hAnsi="Times New Roman" w:cs="Times New Roman"/>
                      <w:color w:val="000000" w:themeColor="text1"/>
                      <w:spacing w:val="8"/>
                      <w:sz w:val="21"/>
                      <w:szCs w:val="21"/>
                      <w:lang w:val="en-US" w:eastAsia="zh-CN"/>
                      <w14:textFill>
                        <w14:solidFill>
                          <w14:schemeClr w14:val="tx1"/>
                        </w14:solidFill>
                      </w14:textFill>
                    </w:rPr>
                    <w:t>钻井平台周围</w:t>
                  </w:r>
                </w:p>
              </w:tc>
              <w:tc>
                <w:tcPr>
                  <w:tcW w:w="1911" w:type="dxa"/>
                  <w:vMerge w:val="continue"/>
                  <w:tcBorders>
                    <w:left w:val="single" w:color="auto" w:sz="4" w:space="0"/>
                    <w:right w:val="single" w:color="auto" w:sz="4" w:space="0"/>
                  </w:tcBorders>
                  <w:noWrap w:val="0"/>
                  <w:vAlign w:val="center"/>
                </w:tcPr>
                <w:p w14:paraId="2BC5C2C9">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pacing w:val="6"/>
                      <w:sz w:val="21"/>
                      <w:szCs w:val="21"/>
                      <w14:textFill>
                        <w14:solidFill>
                          <w14:schemeClr w14:val="tx1"/>
                        </w14:solidFill>
                      </w14:textFill>
                    </w:rPr>
                  </w:pPr>
                </w:p>
              </w:tc>
            </w:tr>
            <w:tr w14:paraId="12B3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58" w:type="dxa"/>
                  <w:tcBorders>
                    <w:top w:val="single" w:color="auto" w:sz="4" w:space="0"/>
                    <w:left w:val="single" w:color="auto" w:sz="4" w:space="0"/>
                    <w:bottom w:val="single" w:color="auto" w:sz="4" w:space="0"/>
                    <w:right w:val="single" w:color="auto" w:sz="4" w:space="0"/>
                  </w:tcBorders>
                  <w:noWrap w:val="0"/>
                  <w:vAlign w:val="center"/>
                </w:tcPr>
                <w:p w14:paraId="1DFCD892">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噪声</w:t>
                  </w:r>
                </w:p>
              </w:tc>
              <w:tc>
                <w:tcPr>
                  <w:tcW w:w="1769" w:type="dxa"/>
                  <w:tcBorders>
                    <w:top w:val="single" w:color="auto" w:sz="4" w:space="0"/>
                    <w:left w:val="single" w:color="auto" w:sz="4" w:space="0"/>
                    <w:bottom w:val="single" w:color="auto" w:sz="4" w:space="0"/>
                    <w:right w:val="single" w:color="auto" w:sz="4" w:space="0"/>
                  </w:tcBorders>
                  <w:noWrap w:val="0"/>
                  <w:vAlign w:val="center"/>
                </w:tcPr>
                <w:p w14:paraId="365FAD60">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1次/钻井期</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2DFDE77A">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等效连续A声级</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513A5E38">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井场边界</w:t>
                  </w:r>
                </w:p>
              </w:tc>
              <w:tc>
                <w:tcPr>
                  <w:tcW w:w="1911" w:type="dxa"/>
                  <w:vMerge w:val="continue"/>
                  <w:tcBorders>
                    <w:left w:val="single" w:color="auto" w:sz="4" w:space="0"/>
                    <w:right w:val="single" w:color="auto" w:sz="4" w:space="0"/>
                  </w:tcBorders>
                  <w:noWrap w:val="0"/>
                  <w:vAlign w:val="center"/>
                </w:tcPr>
                <w:p w14:paraId="7BFBBB5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00" w:themeColor="text1"/>
                      <w:spacing w:val="6"/>
                      <w:sz w:val="21"/>
                      <w:szCs w:val="21"/>
                      <w14:textFill>
                        <w14:solidFill>
                          <w14:schemeClr w14:val="tx1"/>
                        </w14:solidFill>
                      </w14:textFill>
                    </w:rPr>
                  </w:pPr>
                </w:p>
              </w:tc>
            </w:tr>
            <w:tr w14:paraId="2639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858" w:type="dxa"/>
                  <w:tcBorders>
                    <w:top w:val="single" w:color="auto" w:sz="4" w:space="0"/>
                    <w:left w:val="single" w:color="auto" w:sz="4" w:space="0"/>
                    <w:bottom w:val="single" w:color="auto" w:sz="4" w:space="0"/>
                    <w:right w:val="single" w:color="auto" w:sz="4" w:space="0"/>
                  </w:tcBorders>
                  <w:noWrap w:val="0"/>
                  <w:vAlign w:val="center"/>
                </w:tcPr>
                <w:p w14:paraId="74970A8A">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4"/>
                      <w:sz w:val="21"/>
                      <w:szCs w:val="21"/>
                      <w14:textFill>
                        <w14:solidFill>
                          <w14:schemeClr w14:val="tx1"/>
                        </w14:solidFill>
                      </w14:textFill>
                    </w:rPr>
                    <w:t>土壤</w:t>
                  </w:r>
                </w:p>
              </w:tc>
              <w:tc>
                <w:tcPr>
                  <w:tcW w:w="1769" w:type="dxa"/>
                  <w:tcBorders>
                    <w:top w:val="single" w:color="auto" w:sz="4" w:space="0"/>
                    <w:left w:val="single" w:color="auto" w:sz="4" w:space="0"/>
                    <w:bottom w:val="single" w:color="auto" w:sz="4" w:space="0"/>
                    <w:right w:val="single" w:color="auto" w:sz="4" w:space="0"/>
                  </w:tcBorders>
                  <w:noWrap w:val="0"/>
                  <w:vAlign w:val="center"/>
                </w:tcPr>
                <w:p w14:paraId="2455B278">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1次/施工结束后</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21802381">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6"/>
                      <w:sz w:val="21"/>
                      <w:szCs w:val="21"/>
                      <w14:textFill>
                        <w14:solidFill>
                          <w14:schemeClr w14:val="tx1"/>
                        </w14:solidFill>
                      </w14:textFill>
                    </w:rPr>
                    <w:t>石油烃</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666AE9EB">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pacing w:val="8"/>
                      <w:sz w:val="21"/>
                      <w:szCs w:val="21"/>
                      <w:lang w:val="en-US" w:eastAsia="zh-CN"/>
                      <w14:textFill>
                        <w14:solidFill>
                          <w14:schemeClr w14:val="tx1"/>
                        </w14:solidFill>
                      </w14:textFill>
                    </w:rPr>
                    <w:t>钻井平台周围</w:t>
                  </w:r>
                </w:p>
              </w:tc>
              <w:tc>
                <w:tcPr>
                  <w:tcW w:w="1911" w:type="dxa"/>
                  <w:vMerge w:val="continue"/>
                  <w:tcBorders>
                    <w:left w:val="single" w:color="auto" w:sz="4" w:space="0"/>
                    <w:bottom w:val="single" w:color="auto" w:sz="4" w:space="0"/>
                    <w:right w:val="single" w:color="auto" w:sz="4" w:space="0"/>
                  </w:tcBorders>
                  <w:noWrap w:val="0"/>
                  <w:vAlign w:val="center"/>
                </w:tcPr>
                <w:p w14:paraId="13BFEDC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r>
          </w:tbl>
          <w:p w14:paraId="37FF1428">
            <w:pPr>
              <w:ind w:firstLine="480"/>
              <w:rPr>
                <w:color w:val="000000" w:themeColor="text1"/>
                <w14:textFill>
                  <w14:solidFill>
                    <w14:schemeClr w14:val="tx1"/>
                  </w14:solidFill>
                </w14:textFill>
              </w:rPr>
            </w:pPr>
          </w:p>
        </w:tc>
      </w:tr>
      <w:tr w14:paraId="5A0072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9" w:hRule="atLeast"/>
          <w:jc w:val="center"/>
        </w:trPr>
        <w:tc>
          <w:tcPr>
            <w:tcW w:w="753" w:type="dxa"/>
            <w:tcMar>
              <w:left w:w="28" w:type="dxa"/>
              <w:right w:w="28" w:type="dxa"/>
            </w:tcMar>
            <w:vAlign w:val="center"/>
          </w:tcPr>
          <w:p w14:paraId="701FD06D">
            <w:pPr>
              <w:spacing w:line="240" w:lineRule="auto"/>
              <w:ind w:firstLine="0" w:firstLineChars="0"/>
              <w:jc w:val="center"/>
              <w:rPr>
                <w:bCs/>
                <w:color w:val="000000" w:themeColor="text1"/>
                <w:spacing w:val="10"/>
                <w:szCs w:val="21"/>
                <w14:textFill>
                  <w14:solidFill>
                    <w14:schemeClr w14:val="tx1"/>
                  </w14:solidFill>
                </w14:textFill>
              </w:rPr>
            </w:pPr>
            <w:r>
              <w:rPr>
                <w:bCs/>
                <w:color w:val="000000" w:themeColor="text1"/>
                <w:spacing w:val="10"/>
                <w:szCs w:val="21"/>
                <w14:textFill>
                  <w14:solidFill>
                    <w14:schemeClr w14:val="tx1"/>
                  </w14:solidFill>
                </w14:textFill>
              </w:rPr>
              <w:t>运营期生态环境保护措施</w:t>
            </w:r>
          </w:p>
        </w:tc>
        <w:tc>
          <w:tcPr>
            <w:tcW w:w="8457" w:type="dxa"/>
            <w:vAlign w:val="center"/>
          </w:tcPr>
          <w:p w14:paraId="0F8BD146">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本项目无营运期，试油结束后视试油结果决定是否转为生产井，若可转为生产井，则应当在产能开发建设前开展环境影响评价工作。如发现该井不具开发价值或目的层不含油，则进行封井。</w:t>
            </w:r>
          </w:p>
          <w:p w14:paraId="01E81EA9">
            <w:pPr>
              <w:ind w:firstLine="480"/>
              <w:rPr>
                <w:color w:val="000000" w:themeColor="text1"/>
                <w14:textFill>
                  <w14:solidFill>
                    <w14:schemeClr w14:val="tx1"/>
                  </w14:solidFill>
                </w14:textFill>
              </w:rPr>
            </w:pPr>
            <w:r>
              <w:rPr>
                <w:color w:val="000000" w:themeColor="text1"/>
                <w14:textFill>
                  <w14:solidFill>
                    <w14:schemeClr w14:val="tx1"/>
                  </w14:solidFill>
                </w14:textFill>
              </w:rPr>
              <w:t>封井需拆除井口装置，截去地下1m内管头，最后进行场地清理，清除各种固体废弃物，清除井场及临时道路砂砾石铺垫，对井场、进场道路等临时占地进行平整，植被自然恢复。根据《废弃井封井回填技术指南（试行）》中的相关要求，对井口进行封井回填，回填前先摸清废弃井（筒）管现状。回填材料应无污染，不得使用可能对地下水造成污染的材料。回填后，应开展井盖封堵或密闭填充，确保地表污染物不进入井内，各层位地下水不连通。</w:t>
            </w:r>
          </w:p>
          <w:p w14:paraId="40ECDDA9">
            <w:pPr>
              <w:ind w:firstLine="480"/>
              <w:rPr>
                <w:bCs/>
                <w:color w:val="000000" w:themeColor="text1"/>
                <w:spacing w:val="10"/>
                <w:szCs w:val="21"/>
                <w14:textFill>
                  <w14:solidFill>
                    <w14:schemeClr w14:val="tx1"/>
                  </w14:solidFill>
                </w14:textFill>
              </w:rPr>
            </w:pPr>
            <w:r>
              <w:rPr>
                <w:color w:val="000000" w:themeColor="text1"/>
                <w14:textFill>
                  <w14:solidFill>
                    <w14:schemeClr w14:val="tx1"/>
                  </w14:solidFill>
                </w14:textFill>
              </w:rPr>
              <w:t>在封井施工操作中应注意采取降尘措施，文明施工，防止水泥等的洒落与飘散，同时在清理井场时防止产生飞灰、扬尘的产生，尽可能降低对周边大气环境的影响。另外，井场清理等工作还会产生部分废弃建筑残渣等固体废物，对这些残渣应进行集中清理收集，外运至指定处理场填埋处理。</w:t>
            </w:r>
          </w:p>
        </w:tc>
      </w:tr>
      <w:tr w14:paraId="65559E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53" w:type="dxa"/>
            <w:vAlign w:val="center"/>
          </w:tcPr>
          <w:p w14:paraId="5E464A29">
            <w:pPr>
              <w:ind w:firstLine="0" w:firstLineChars="0"/>
              <w:jc w:val="center"/>
              <w:rPr>
                <w:bCs/>
                <w:color w:val="000000" w:themeColor="text1"/>
                <w:spacing w:val="10"/>
                <w:szCs w:val="21"/>
                <w14:textFill>
                  <w14:solidFill>
                    <w14:schemeClr w14:val="tx1"/>
                  </w14:solidFill>
                </w14:textFill>
              </w:rPr>
            </w:pPr>
            <w:r>
              <w:rPr>
                <w:bCs/>
                <w:color w:val="000000" w:themeColor="text1"/>
                <w:szCs w:val="21"/>
                <w14:textFill>
                  <w14:solidFill>
                    <w14:schemeClr w14:val="tx1"/>
                  </w14:solidFill>
                </w14:textFill>
              </w:rPr>
              <w:t>其他</w:t>
            </w:r>
          </w:p>
        </w:tc>
        <w:tc>
          <w:tcPr>
            <w:tcW w:w="8457" w:type="dxa"/>
            <w:vAlign w:val="center"/>
          </w:tcPr>
          <w:p w14:paraId="4997F317">
            <w:pPr>
              <w:ind w:firstLine="0" w:firstLineChars="0"/>
              <w:jc w:val="center"/>
              <w:rPr>
                <w:bCs/>
                <w:color w:val="000000" w:themeColor="text1"/>
                <w:spacing w:val="10"/>
                <w:szCs w:val="21"/>
                <w14:textFill>
                  <w14:solidFill>
                    <w14:schemeClr w14:val="tx1"/>
                  </w14:solidFill>
                </w14:textFill>
              </w:rPr>
            </w:pPr>
            <w:r>
              <w:rPr>
                <w:bCs/>
                <w:color w:val="000000" w:themeColor="text1"/>
                <w:spacing w:val="10"/>
                <w:szCs w:val="21"/>
                <w14:textFill>
                  <w14:solidFill>
                    <w14:schemeClr w14:val="tx1"/>
                  </w14:solidFill>
                </w14:textFill>
              </w:rPr>
              <w:t>无</w:t>
            </w:r>
          </w:p>
        </w:tc>
      </w:tr>
      <w:tr w14:paraId="04DF13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03" w:hRule="atLeast"/>
          <w:jc w:val="center"/>
        </w:trPr>
        <w:tc>
          <w:tcPr>
            <w:tcW w:w="753" w:type="dxa"/>
            <w:vAlign w:val="center"/>
          </w:tcPr>
          <w:p w14:paraId="20A623B3">
            <w:pPr>
              <w:ind w:firstLine="0" w:firstLineChars="0"/>
              <w:rPr>
                <w:bCs/>
                <w:color w:val="000000" w:themeColor="text1"/>
                <w:spacing w:val="10"/>
                <w:szCs w:val="21"/>
                <w14:textFill>
                  <w14:solidFill>
                    <w14:schemeClr w14:val="tx1"/>
                  </w14:solidFill>
                </w14:textFill>
              </w:rPr>
            </w:pPr>
            <w:r>
              <w:rPr>
                <w:bCs/>
                <w:color w:val="000000" w:themeColor="text1"/>
                <w:szCs w:val="21"/>
                <w14:textFill>
                  <w14:solidFill>
                    <w14:schemeClr w14:val="tx1"/>
                  </w14:solidFill>
                </w14:textFill>
              </w:rPr>
              <w:t>环保投资</w:t>
            </w:r>
          </w:p>
        </w:tc>
        <w:tc>
          <w:tcPr>
            <w:tcW w:w="8457" w:type="dxa"/>
          </w:tcPr>
          <w:p w14:paraId="20B440F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本项目总投资</w:t>
            </w:r>
            <w:r>
              <w:rPr>
                <w:rFonts w:hint="eastAsia" w:ascii="Times New Roman" w:hAnsi="Times New Roman"/>
                <w:color w:val="000000" w:themeColor="text1"/>
                <w:sz w:val="24"/>
                <w:szCs w:val="24"/>
                <w14:textFill>
                  <w14:solidFill>
                    <w14:schemeClr w14:val="tx1"/>
                  </w14:solidFill>
                </w14:textFill>
              </w:rPr>
              <w:t>15200</w:t>
            </w:r>
            <w:r>
              <w:rPr>
                <w:rFonts w:ascii="Times New Roman" w:hAnsi="Times New Roman"/>
                <w:color w:val="000000" w:themeColor="text1"/>
                <w:sz w:val="24"/>
                <w:szCs w:val="24"/>
                <w14:textFill>
                  <w14:solidFill>
                    <w14:schemeClr w14:val="tx1"/>
                  </w14:solidFill>
                </w14:textFill>
              </w:rPr>
              <w:t>万元，估算环保投资为</w:t>
            </w:r>
            <w:r>
              <w:rPr>
                <w:rFonts w:hint="eastAsia" w:ascii="Times New Roman" w:hAnsi="Times New Roman"/>
                <w:color w:val="000000" w:themeColor="text1"/>
                <w:sz w:val="24"/>
                <w:szCs w:val="24"/>
                <w14:textFill>
                  <w14:solidFill>
                    <w14:schemeClr w14:val="tx1"/>
                  </w14:solidFill>
                </w14:textFill>
              </w:rPr>
              <w:t>2</w:t>
            </w:r>
            <w:r>
              <w:rPr>
                <w:rFonts w:hint="eastAsia" w:ascii="Times New Roman" w:hAnsi="Times New Roman"/>
                <w:color w:val="000000" w:themeColor="text1"/>
                <w:sz w:val="24"/>
                <w:szCs w:val="24"/>
                <w:lang w:val="en-US" w:eastAsia="zh-CN"/>
                <w14:textFill>
                  <w14:solidFill>
                    <w14:schemeClr w14:val="tx1"/>
                  </w14:solidFill>
                </w14:textFill>
              </w:rPr>
              <w:t>4</w:t>
            </w:r>
            <w:r>
              <w:rPr>
                <w:rFonts w:hint="eastAsia" w:ascii="Times New Roman" w:hAnsi="Times New Roman"/>
                <w:color w:val="000000" w:themeColor="text1"/>
                <w:sz w:val="24"/>
                <w:szCs w:val="24"/>
                <w14:textFill>
                  <w14:solidFill>
                    <w14:schemeClr w14:val="tx1"/>
                  </w14:solidFill>
                </w14:textFill>
              </w:rPr>
              <w:t>8</w:t>
            </w:r>
            <w:r>
              <w:rPr>
                <w:rFonts w:ascii="Times New Roman" w:hAnsi="Times New Roman"/>
                <w:color w:val="000000" w:themeColor="text1"/>
                <w:sz w:val="24"/>
                <w:szCs w:val="24"/>
                <w14:textFill>
                  <w14:solidFill>
                    <w14:schemeClr w14:val="tx1"/>
                  </w14:solidFill>
                </w14:textFill>
              </w:rPr>
              <w:t>万元，占总投资的</w:t>
            </w:r>
            <w:r>
              <w:rPr>
                <w:rFonts w:hint="eastAsia"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lang w:val="en-US" w:eastAsia="zh-CN"/>
                <w14:textFill>
                  <w14:solidFill>
                    <w14:schemeClr w14:val="tx1"/>
                  </w14:solidFill>
                </w14:textFill>
              </w:rPr>
              <w:t>63</w:t>
            </w:r>
            <w:r>
              <w:rPr>
                <w:rFonts w:ascii="Times New Roman" w:hAnsi="Times New Roman"/>
                <w:color w:val="000000" w:themeColor="text1"/>
                <w:sz w:val="24"/>
                <w:szCs w:val="24"/>
                <w14:textFill>
                  <w14:solidFill>
                    <w14:schemeClr w14:val="tx1"/>
                  </w14:solidFill>
                </w14:textFill>
              </w:rPr>
              <w:t>%。本项目环保投资估算见表5-3。</w:t>
            </w:r>
          </w:p>
          <w:p w14:paraId="3E2C8996">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表5-3  工程环保投资估算</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267"/>
              <w:gridCol w:w="4819"/>
              <w:gridCol w:w="1505"/>
            </w:tblGrid>
            <w:tr w14:paraId="2D25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87" w:type="pct"/>
                  <w:vAlign w:val="center"/>
                </w:tcPr>
                <w:p w14:paraId="4DA71B21">
                  <w:pPr>
                    <w:pStyle w:val="26"/>
                    <w:framePr w:hSpace="0" w:wrap="auto" w:vAnchor="margin" w:hAnchor="text" w:xAlign="left" w:yAlign="inline"/>
                    <w:rPr>
                      <w:b/>
                      <w:bCs/>
                      <w:color w:val="000000" w:themeColor="text1"/>
                      <w14:textFill>
                        <w14:solidFill>
                          <w14:schemeClr w14:val="tx1"/>
                        </w14:solidFill>
                      </w14:textFill>
                    </w:rPr>
                  </w:pPr>
                  <w:bookmarkStart w:id="33" w:name="_Hlk48510648"/>
                  <w:bookmarkEnd w:id="33"/>
                  <w:r>
                    <w:rPr>
                      <w:rFonts w:hint="eastAsia"/>
                      <w:b/>
                      <w:bCs/>
                      <w:color w:val="000000" w:themeColor="text1"/>
                      <w14:textFill>
                        <w14:solidFill>
                          <w14:schemeClr w14:val="tx1"/>
                        </w14:solidFill>
                      </w14:textFill>
                    </w:rPr>
                    <w:t>序号</w:t>
                  </w:r>
                </w:p>
              </w:tc>
              <w:tc>
                <w:tcPr>
                  <w:tcW w:w="769" w:type="pct"/>
                  <w:vAlign w:val="center"/>
                </w:tcPr>
                <w:p w14:paraId="1EC8A07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环保项目</w:t>
                  </w:r>
                </w:p>
              </w:tc>
              <w:tc>
                <w:tcPr>
                  <w:tcW w:w="2928" w:type="pct"/>
                  <w:vAlign w:val="center"/>
                </w:tcPr>
                <w:p w14:paraId="11C01EF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主要内容</w:t>
                  </w:r>
                </w:p>
              </w:tc>
              <w:tc>
                <w:tcPr>
                  <w:tcW w:w="914" w:type="pct"/>
                  <w:vAlign w:val="center"/>
                </w:tcPr>
                <w:p w14:paraId="1271A72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投资（万元）</w:t>
                  </w:r>
                </w:p>
              </w:tc>
            </w:tr>
            <w:tr w14:paraId="2FC2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restart"/>
                  <w:vAlign w:val="center"/>
                </w:tcPr>
                <w:p w14:paraId="0E051A7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769" w:type="pct"/>
                  <w:vMerge w:val="restart"/>
                  <w:vAlign w:val="center"/>
                </w:tcPr>
                <w:p w14:paraId="74D495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废水治理</w:t>
                  </w:r>
                </w:p>
              </w:tc>
              <w:tc>
                <w:tcPr>
                  <w:tcW w:w="2928" w:type="pct"/>
                  <w:vAlign w:val="center"/>
                </w:tcPr>
                <w:p w14:paraId="1A6EB28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生活营地设置防渗污水收集池、生活污水拉运</w:t>
                  </w:r>
                </w:p>
              </w:tc>
              <w:tc>
                <w:tcPr>
                  <w:tcW w:w="914" w:type="pct"/>
                  <w:vAlign w:val="center"/>
                </w:tcPr>
                <w:p w14:paraId="23C3F60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r>
            <w:tr w14:paraId="541A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continue"/>
                  <w:vAlign w:val="center"/>
                </w:tcPr>
                <w:p w14:paraId="4D80B5D9">
                  <w:pPr>
                    <w:pStyle w:val="26"/>
                    <w:framePr w:hSpace="0" w:wrap="auto" w:vAnchor="margin" w:hAnchor="text" w:xAlign="left" w:yAlign="inline"/>
                    <w:rPr>
                      <w:color w:val="000000" w:themeColor="text1"/>
                      <w14:textFill>
                        <w14:solidFill>
                          <w14:schemeClr w14:val="tx1"/>
                        </w14:solidFill>
                      </w14:textFill>
                    </w:rPr>
                  </w:pPr>
                </w:p>
              </w:tc>
              <w:tc>
                <w:tcPr>
                  <w:tcW w:w="769" w:type="pct"/>
                  <w:vMerge w:val="continue"/>
                  <w:vAlign w:val="center"/>
                </w:tcPr>
                <w:p w14:paraId="5DCD1B40">
                  <w:pPr>
                    <w:pStyle w:val="26"/>
                    <w:framePr w:hSpace="0" w:wrap="auto" w:vAnchor="margin" w:hAnchor="text" w:xAlign="left" w:yAlign="inline"/>
                    <w:rPr>
                      <w:color w:val="000000" w:themeColor="text1"/>
                      <w14:textFill>
                        <w14:solidFill>
                          <w14:schemeClr w14:val="tx1"/>
                        </w14:solidFill>
                      </w14:textFill>
                    </w:rPr>
                  </w:pPr>
                </w:p>
              </w:tc>
              <w:tc>
                <w:tcPr>
                  <w:tcW w:w="2928" w:type="pct"/>
                  <w:vAlign w:val="center"/>
                </w:tcPr>
                <w:p w14:paraId="209B42C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井下带罐作业；试油期洗井废水和压裂返排液清运</w:t>
                  </w:r>
                </w:p>
              </w:tc>
              <w:tc>
                <w:tcPr>
                  <w:tcW w:w="914" w:type="pct"/>
                  <w:vAlign w:val="center"/>
                </w:tcPr>
                <w:p w14:paraId="7F5DFF5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r>
            <w:tr w14:paraId="3EC8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restart"/>
                  <w:vAlign w:val="center"/>
                </w:tcPr>
                <w:p w14:paraId="20F7BB6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769" w:type="pct"/>
                  <w:vMerge w:val="restart"/>
                  <w:vAlign w:val="center"/>
                </w:tcPr>
                <w:p w14:paraId="5ADE0BA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大气治理</w:t>
                  </w:r>
                </w:p>
              </w:tc>
              <w:tc>
                <w:tcPr>
                  <w:tcW w:w="2928" w:type="pct"/>
                  <w:vAlign w:val="center"/>
                </w:tcPr>
                <w:p w14:paraId="137100D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施工期定时洒水、钻井材料加盖篷布等</w:t>
                  </w:r>
                </w:p>
              </w:tc>
              <w:tc>
                <w:tcPr>
                  <w:tcW w:w="914" w:type="pct"/>
                  <w:vAlign w:val="center"/>
                </w:tcPr>
                <w:p w14:paraId="7139504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45E5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continue"/>
                  <w:vAlign w:val="center"/>
                </w:tcPr>
                <w:p w14:paraId="34370E98">
                  <w:pPr>
                    <w:pStyle w:val="26"/>
                    <w:framePr w:hSpace="0" w:wrap="auto" w:vAnchor="margin" w:hAnchor="text" w:xAlign="left" w:yAlign="inline"/>
                    <w:rPr>
                      <w:color w:val="000000" w:themeColor="text1"/>
                      <w14:textFill>
                        <w14:solidFill>
                          <w14:schemeClr w14:val="tx1"/>
                        </w14:solidFill>
                      </w14:textFill>
                    </w:rPr>
                  </w:pPr>
                </w:p>
              </w:tc>
              <w:tc>
                <w:tcPr>
                  <w:tcW w:w="769" w:type="pct"/>
                  <w:vMerge w:val="continue"/>
                  <w:vAlign w:val="center"/>
                </w:tcPr>
                <w:p w14:paraId="3F37A90C">
                  <w:pPr>
                    <w:pStyle w:val="26"/>
                    <w:framePr w:hSpace="0" w:wrap="auto" w:vAnchor="margin" w:hAnchor="text" w:xAlign="left" w:yAlign="inline"/>
                    <w:rPr>
                      <w:color w:val="000000" w:themeColor="text1"/>
                      <w14:textFill>
                        <w14:solidFill>
                          <w14:schemeClr w14:val="tx1"/>
                        </w14:solidFill>
                      </w14:textFill>
                    </w:rPr>
                  </w:pPr>
                </w:p>
              </w:tc>
              <w:tc>
                <w:tcPr>
                  <w:tcW w:w="2928" w:type="pct"/>
                  <w:vAlign w:val="center"/>
                </w:tcPr>
                <w:p w14:paraId="555D044E">
                  <w:pPr>
                    <w:spacing w:line="300" w:lineRule="exact"/>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试油伴生气经排气管线充分燃烧后排放。</w:t>
                  </w:r>
                </w:p>
              </w:tc>
              <w:tc>
                <w:tcPr>
                  <w:tcW w:w="914" w:type="pct"/>
                  <w:vAlign w:val="center"/>
                </w:tcPr>
                <w:p w14:paraId="6C7B011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6285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Align w:val="center"/>
                </w:tcPr>
                <w:p w14:paraId="215A79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769" w:type="pct"/>
                  <w:vAlign w:val="center"/>
                </w:tcPr>
                <w:p w14:paraId="26E1724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噪声</w:t>
                  </w:r>
                </w:p>
              </w:tc>
              <w:tc>
                <w:tcPr>
                  <w:tcW w:w="2928" w:type="pct"/>
                  <w:vAlign w:val="center"/>
                </w:tcPr>
                <w:p w14:paraId="31E925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发电机、泥浆泵等设置隔声；为柴油</w:t>
                  </w:r>
                  <w:r>
                    <w:rPr>
                      <w:rFonts w:hint="eastAsia"/>
                      <w:color w:val="000000" w:themeColor="text1"/>
                      <w:lang w:val="en-US" w:eastAsia="zh-CN"/>
                      <w14:textFill>
                        <w14:solidFill>
                          <w14:schemeClr w14:val="tx1"/>
                        </w14:solidFill>
                      </w14:textFill>
                    </w:rPr>
                    <w:t>/甲醇</w:t>
                  </w:r>
                  <w:r>
                    <w:rPr>
                      <w:color w:val="000000" w:themeColor="text1"/>
                      <w14:textFill>
                        <w14:solidFill>
                          <w14:schemeClr w14:val="tx1"/>
                        </w14:solidFill>
                      </w14:textFill>
                    </w:rPr>
                    <w:t>机安装消声器和减</w:t>
                  </w:r>
                  <w:r>
                    <w:rPr>
                      <w:rFonts w:hint="eastAsia"/>
                      <w:color w:val="000000" w:themeColor="text1"/>
                      <w14:textFill>
                        <w14:solidFill>
                          <w14:schemeClr w14:val="tx1"/>
                        </w14:solidFill>
                      </w14:textFill>
                    </w:rPr>
                    <w:t>振</w:t>
                  </w:r>
                  <w:r>
                    <w:rPr>
                      <w:color w:val="000000" w:themeColor="text1"/>
                      <w14:textFill>
                        <w14:solidFill>
                          <w14:schemeClr w14:val="tx1"/>
                        </w14:solidFill>
                      </w14:textFill>
                    </w:rPr>
                    <w:t>基础等</w:t>
                  </w:r>
                </w:p>
              </w:tc>
              <w:tc>
                <w:tcPr>
                  <w:tcW w:w="914" w:type="pct"/>
                  <w:vAlign w:val="center"/>
                </w:tcPr>
                <w:p w14:paraId="5858D23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1128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restart"/>
                  <w:vAlign w:val="center"/>
                </w:tcPr>
                <w:p w14:paraId="37C085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769" w:type="pct"/>
                  <w:vMerge w:val="restart"/>
                  <w:vAlign w:val="center"/>
                </w:tcPr>
                <w:p w14:paraId="6FBB58F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固体废弃物</w:t>
                  </w:r>
                </w:p>
              </w:tc>
              <w:tc>
                <w:tcPr>
                  <w:tcW w:w="2928" w:type="pct"/>
                  <w:vAlign w:val="center"/>
                </w:tcPr>
                <w:p w14:paraId="0151FC1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钻井泥浆不落地技术</w:t>
                  </w:r>
                </w:p>
              </w:tc>
              <w:tc>
                <w:tcPr>
                  <w:tcW w:w="914" w:type="pct"/>
                  <w:vAlign w:val="center"/>
                </w:tcPr>
                <w:p w14:paraId="4141B77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88</w:t>
                  </w:r>
                </w:p>
              </w:tc>
            </w:tr>
            <w:tr w14:paraId="1878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87" w:type="pct"/>
                  <w:vMerge w:val="continue"/>
                  <w:vAlign w:val="center"/>
                </w:tcPr>
                <w:p w14:paraId="6451E3C5">
                  <w:pPr>
                    <w:pStyle w:val="26"/>
                    <w:framePr w:hSpace="0" w:wrap="auto" w:vAnchor="margin" w:hAnchor="text" w:xAlign="left" w:yAlign="inline"/>
                    <w:rPr>
                      <w:color w:val="000000" w:themeColor="text1"/>
                      <w14:textFill>
                        <w14:solidFill>
                          <w14:schemeClr w14:val="tx1"/>
                        </w14:solidFill>
                      </w14:textFill>
                    </w:rPr>
                  </w:pPr>
                </w:p>
              </w:tc>
              <w:tc>
                <w:tcPr>
                  <w:tcW w:w="769" w:type="pct"/>
                  <w:vMerge w:val="continue"/>
                  <w:vAlign w:val="center"/>
                </w:tcPr>
                <w:p w14:paraId="349BED09">
                  <w:pPr>
                    <w:pStyle w:val="26"/>
                    <w:framePr w:hSpace="0" w:wrap="auto" w:vAnchor="margin" w:hAnchor="text" w:xAlign="left" w:yAlign="inline"/>
                    <w:rPr>
                      <w:color w:val="000000" w:themeColor="text1"/>
                      <w14:textFill>
                        <w14:solidFill>
                          <w14:schemeClr w14:val="tx1"/>
                        </w14:solidFill>
                      </w14:textFill>
                    </w:rPr>
                  </w:pPr>
                </w:p>
              </w:tc>
              <w:tc>
                <w:tcPr>
                  <w:tcW w:w="2928" w:type="pct"/>
                  <w:vAlign w:val="center"/>
                </w:tcPr>
                <w:p w14:paraId="5CE13E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岩屑（水基、油基）委托拉运、处置</w:t>
                  </w:r>
                </w:p>
              </w:tc>
              <w:tc>
                <w:tcPr>
                  <w:tcW w:w="914" w:type="pct"/>
                  <w:vAlign w:val="center"/>
                </w:tcPr>
                <w:p w14:paraId="4823978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r>
            <w:tr w14:paraId="60B3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continue"/>
                  <w:vAlign w:val="center"/>
                </w:tcPr>
                <w:p w14:paraId="5990430A">
                  <w:pPr>
                    <w:pStyle w:val="26"/>
                    <w:framePr w:hSpace="0" w:wrap="auto" w:vAnchor="margin" w:hAnchor="text" w:xAlign="left" w:yAlign="inline"/>
                    <w:rPr>
                      <w:color w:val="000000" w:themeColor="text1"/>
                      <w14:textFill>
                        <w14:solidFill>
                          <w14:schemeClr w14:val="tx1"/>
                        </w14:solidFill>
                      </w14:textFill>
                    </w:rPr>
                  </w:pPr>
                </w:p>
              </w:tc>
              <w:tc>
                <w:tcPr>
                  <w:tcW w:w="769" w:type="pct"/>
                  <w:vMerge w:val="continue"/>
                  <w:vAlign w:val="center"/>
                </w:tcPr>
                <w:p w14:paraId="0E68C109">
                  <w:pPr>
                    <w:pStyle w:val="26"/>
                    <w:framePr w:hSpace="0" w:wrap="auto" w:vAnchor="margin" w:hAnchor="text" w:xAlign="left" w:yAlign="inline"/>
                    <w:rPr>
                      <w:color w:val="000000" w:themeColor="text1"/>
                      <w14:textFill>
                        <w14:solidFill>
                          <w14:schemeClr w14:val="tx1"/>
                        </w14:solidFill>
                      </w14:textFill>
                    </w:rPr>
                  </w:pPr>
                </w:p>
              </w:tc>
              <w:tc>
                <w:tcPr>
                  <w:tcW w:w="2928" w:type="pct"/>
                  <w:vAlign w:val="center"/>
                </w:tcPr>
                <w:p w14:paraId="63C2270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生活垃圾清运处理</w:t>
                  </w:r>
                </w:p>
              </w:tc>
              <w:tc>
                <w:tcPr>
                  <w:tcW w:w="914" w:type="pct"/>
                  <w:vAlign w:val="center"/>
                </w:tcPr>
                <w:p w14:paraId="2A60DAB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5C0B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continue"/>
                  <w:vAlign w:val="center"/>
                </w:tcPr>
                <w:p w14:paraId="5F46FD08">
                  <w:pPr>
                    <w:pStyle w:val="26"/>
                    <w:framePr w:hSpace="0" w:wrap="auto" w:vAnchor="margin" w:hAnchor="text" w:xAlign="left" w:yAlign="inline"/>
                    <w:rPr>
                      <w:color w:val="000000" w:themeColor="text1"/>
                      <w14:textFill>
                        <w14:solidFill>
                          <w14:schemeClr w14:val="tx1"/>
                        </w14:solidFill>
                      </w14:textFill>
                    </w:rPr>
                  </w:pPr>
                </w:p>
              </w:tc>
              <w:tc>
                <w:tcPr>
                  <w:tcW w:w="769" w:type="pct"/>
                  <w:vMerge w:val="continue"/>
                  <w:vAlign w:val="center"/>
                </w:tcPr>
                <w:p w14:paraId="4165F359">
                  <w:pPr>
                    <w:pStyle w:val="26"/>
                    <w:framePr w:hSpace="0" w:wrap="auto" w:vAnchor="margin" w:hAnchor="text" w:xAlign="left" w:yAlign="inline"/>
                    <w:rPr>
                      <w:color w:val="000000" w:themeColor="text1"/>
                      <w14:textFill>
                        <w14:solidFill>
                          <w14:schemeClr w14:val="tx1"/>
                        </w14:solidFill>
                      </w14:textFill>
                    </w:rPr>
                  </w:pPr>
                </w:p>
              </w:tc>
              <w:tc>
                <w:tcPr>
                  <w:tcW w:w="2928" w:type="pct"/>
                  <w:vAlign w:val="center"/>
                </w:tcPr>
                <w:p w14:paraId="7F35763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井场施工作业区地面铺设防渗膜</w:t>
                  </w:r>
                  <w:r>
                    <w:rPr>
                      <w:rFonts w:hint="eastAsia"/>
                      <w:color w:val="000000" w:themeColor="text1"/>
                      <w14:textFill>
                        <w14:solidFill>
                          <w14:schemeClr w14:val="tx1"/>
                        </w14:solidFill>
                      </w14:textFill>
                    </w:rPr>
                    <w:t>；危废贮存点；危险废物委托清运、处置</w:t>
                  </w:r>
                </w:p>
              </w:tc>
              <w:tc>
                <w:tcPr>
                  <w:tcW w:w="914" w:type="pct"/>
                  <w:vAlign w:val="center"/>
                </w:tcPr>
                <w:p w14:paraId="4104465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50</w:t>
                  </w:r>
                </w:p>
              </w:tc>
            </w:tr>
            <w:tr w14:paraId="63B4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387" w:type="pct"/>
                  <w:vAlign w:val="center"/>
                </w:tcPr>
                <w:p w14:paraId="35B9BCB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769" w:type="pct"/>
                  <w:vAlign w:val="center"/>
                </w:tcPr>
                <w:p w14:paraId="3188C7B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风险防范</w:t>
                  </w:r>
                </w:p>
              </w:tc>
              <w:tc>
                <w:tcPr>
                  <w:tcW w:w="2928" w:type="pct"/>
                  <w:vAlign w:val="center"/>
                </w:tcPr>
                <w:p w14:paraId="6762832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井口防喷器、放喷管线、放喷池</w:t>
                  </w:r>
                </w:p>
              </w:tc>
              <w:tc>
                <w:tcPr>
                  <w:tcW w:w="914" w:type="pct"/>
                  <w:vAlign w:val="center"/>
                </w:tcPr>
                <w:p w14:paraId="494E80E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47</w:t>
                  </w:r>
                </w:p>
              </w:tc>
            </w:tr>
            <w:tr w14:paraId="2FB3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87" w:type="pct"/>
                  <w:vAlign w:val="center"/>
                </w:tcPr>
                <w:p w14:paraId="1491B13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769" w:type="pct"/>
                  <w:vAlign w:val="center"/>
                </w:tcPr>
                <w:p w14:paraId="344803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生态措施</w:t>
                  </w:r>
                </w:p>
              </w:tc>
              <w:tc>
                <w:tcPr>
                  <w:tcW w:w="2928" w:type="pct"/>
                  <w:vAlign w:val="center"/>
                </w:tcPr>
                <w:p w14:paraId="49C9054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井场、入场道路、施工营地等施工占地平整，植被自然恢复</w:t>
                  </w:r>
                </w:p>
              </w:tc>
              <w:tc>
                <w:tcPr>
                  <w:tcW w:w="914" w:type="pct"/>
                  <w:vAlign w:val="center"/>
                </w:tcPr>
                <w:p w14:paraId="3FDD813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3A13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87" w:type="pct"/>
                  <w:vAlign w:val="center"/>
                </w:tcPr>
                <w:p w14:paraId="223E7C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769" w:type="pct"/>
                  <w:vAlign w:val="center"/>
                </w:tcPr>
                <w:p w14:paraId="5241527C">
                  <w:pPr>
                    <w:pStyle w:val="26"/>
                    <w:framePr w:hSpace="0" w:wrap="auto" w:vAnchor="margin" w:hAnchor="text" w:xAlign="left" w:yAlign="inline"/>
                    <w:tabs>
                      <w:tab w:val="left" w:pos="494"/>
                    </w:tabs>
                    <w:rPr>
                      <w:color w:val="000000" w:themeColor="text1"/>
                      <w14:textFill>
                        <w14:solidFill>
                          <w14:schemeClr w14:val="tx1"/>
                        </w14:solidFill>
                      </w14:textFill>
                    </w:rPr>
                  </w:pPr>
                  <w:r>
                    <w:rPr>
                      <w:color w:val="000000" w:themeColor="text1"/>
                      <w14:textFill>
                        <w14:solidFill>
                          <w14:schemeClr w14:val="tx1"/>
                        </w14:solidFill>
                      </w14:textFill>
                    </w:rPr>
                    <w:t>相关服务费</w:t>
                  </w:r>
                </w:p>
              </w:tc>
              <w:tc>
                <w:tcPr>
                  <w:tcW w:w="2928" w:type="pct"/>
                  <w:vAlign w:val="center"/>
                </w:tcPr>
                <w:p w14:paraId="2F0638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环境监测、环境监理、环保验收</w:t>
                  </w:r>
                </w:p>
              </w:tc>
              <w:tc>
                <w:tcPr>
                  <w:tcW w:w="914" w:type="pct"/>
                  <w:vAlign w:val="center"/>
                </w:tcPr>
                <w:p w14:paraId="1CC12E2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r>
            <w:tr w14:paraId="4396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7" w:type="pct"/>
                  <w:gridSpan w:val="2"/>
                  <w:vAlign w:val="center"/>
                </w:tcPr>
                <w:p w14:paraId="24D6B00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总计</w:t>
                  </w:r>
                </w:p>
              </w:tc>
              <w:tc>
                <w:tcPr>
                  <w:tcW w:w="2928" w:type="pct"/>
                  <w:vAlign w:val="center"/>
                </w:tcPr>
                <w:p w14:paraId="5B2C15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4" w:type="pct"/>
                  <w:vAlign w:val="center"/>
                </w:tcPr>
                <w:p w14:paraId="452F532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8</w:t>
                  </w:r>
                </w:p>
              </w:tc>
            </w:tr>
          </w:tbl>
          <w:p w14:paraId="6D80E506">
            <w:pPr>
              <w:ind w:firstLine="520"/>
              <w:rPr>
                <w:bCs/>
                <w:color w:val="000000" w:themeColor="text1"/>
                <w:spacing w:val="10"/>
                <w:szCs w:val="21"/>
                <w14:textFill>
                  <w14:solidFill>
                    <w14:schemeClr w14:val="tx1"/>
                  </w14:solidFill>
                </w14:textFill>
              </w:rPr>
            </w:pPr>
          </w:p>
        </w:tc>
      </w:tr>
    </w:tbl>
    <w:p w14:paraId="7CEFE396">
      <w:pPr>
        <w:ind w:firstLine="480"/>
        <w:rPr>
          <w:color w:val="000000" w:themeColor="text1"/>
          <w14:textFill>
            <w14:solidFill>
              <w14:schemeClr w14:val="tx1"/>
            </w14:solidFill>
          </w14:textFill>
        </w:rPr>
        <w:sectPr>
          <w:pgSz w:w="11907" w:h="16840"/>
          <w:pgMar w:top="1440" w:right="1797" w:bottom="1440" w:left="1797" w:header="851" w:footer="1077" w:gutter="0"/>
          <w:cols w:space="720" w:num="1"/>
          <w:docGrid w:linePitch="312" w:charSpace="0"/>
        </w:sectPr>
      </w:pPr>
    </w:p>
    <w:p w14:paraId="19FAF8D1">
      <w:pPr>
        <w:keepNext/>
        <w:overflowPunct w:val="0"/>
        <w:spacing w:before="120" w:after="160" w:line="259" w:lineRule="auto"/>
        <w:ind w:left="432" w:firstLine="602"/>
        <w:jc w:val="center"/>
        <w:outlineLvl w:val="0"/>
        <w:rPr>
          <w:rFonts w:eastAsia="黑体"/>
          <w:b/>
          <w:bCs/>
          <w:color w:val="000000" w:themeColor="text1"/>
          <w:kern w:val="44"/>
          <w:sz w:val="30"/>
          <w:szCs w:val="30"/>
          <w14:textFill>
            <w14:solidFill>
              <w14:schemeClr w14:val="tx1"/>
            </w14:solidFill>
          </w14:textFill>
        </w:rPr>
      </w:pPr>
      <w:bookmarkStart w:id="34" w:name="_Toc4872"/>
      <w:r>
        <w:rPr>
          <w:rFonts w:eastAsia="黑体"/>
          <w:b/>
          <w:bCs/>
          <w:color w:val="000000" w:themeColor="text1"/>
          <w:kern w:val="44"/>
          <w:sz w:val="30"/>
          <w:szCs w:val="30"/>
          <w14:textFill>
            <w14:solidFill>
              <w14:schemeClr w14:val="tx1"/>
            </w14:solidFill>
          </w14:textFill>
        </w:rPr>
        <w:t>六、生态环境保护措施监督检查清单</w:t>
      </w:r>
      <w:bookmarkEnd w:id="34"/>
    </w:p>
    <w:tbl>
      <w:tblPr>
        <w:tblStyle w:val="1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2175"/>
        <w:gridCol w:w="2134"/>
        <w:gridCol w:w="1587"/>
        <w:gridCol w:w="1293"/>
      </w:tblGrid>
      <w:tr w14:paraId="36459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restart"/>
            <w:tcBorders>
              <w:tl2br w:val="single" w:color="auto" w:sz="4" w:space="0"/>
            </w:tcBorders>
          </w:tcPr>
          <w:p w14:paraId="4C281F33">
            <w:pPr>
              <w:spacing w:line="240" w:lineRule="auto"/>
              <w:ind w:firstLine="0" w:firstLineChars="0"/>
              <w:jc w:val="center"/>
              <w:rPr>
                <w:color w:val="000000" w:themeColor="text1"/>
                <w:sz w:val="21"/>
                <w:szCs w:val="21"/>
                <w14:textFill>
                  <w14:solidFill>
                    <w14:schemeClr w14:val="tx1"/>
                  </w14:solidFill>
                </w14:textFill>
              </w:rPr>
            </w:pPr>
            <w:bookmarkStart w:id="35" w:name="_Toc30985"/>
            <w:r>
              <w:rPr>
                <w:color w:val="000000" w:themeColor="text1"/>
                <w:sz w:val="21"/>
                <w:szCs w:val="21"/>
                <w14:textFill>
                  <w14:solidFill>
                    <w14:schemeClr w14:val="tx1"/>
                  </w14:solidFill>
                </w14:textFill>
              </w:rPr>
              <w:t xml:space="preserve">    </w:t>
            </w:r>
          </w:p>
          <w:p w14:paraId="3A41C6F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 xml:space="preserve">     内容</w:t>
            </w:r>
            <w:bookmarkEnd w:id="35"/>
            <w:r>
              <w:rPr>
                <w:color w:val="000000" w:themeColor="text1"/>
                <w:sz w:val="21"/>
                <w:szCs w:val="21"/>
                <w14:textFill>
                  <w14:solidFill>
                    <w14:schemeClr w14:val="tx1"/>
                  </w14:solidFill>
                </w14:textFill>
              </w:rPr>
              <w:t xml:space="preserve">  </w:t>
            </w:r>
          </w:p>
          <w:p w14:paraId="087B9B20">
            <w:pPr>
              <w:spacing w:line="240" w:lineRule="auto"/>
              <w:ind w:firstLine="0" w:firstLineChars="0"/>
              <w:jc w:val="center"/>
              <w:rPr>
                <w:color w:val="000000" w:themeColor="text1"/>
                <w:sz w:val="21"/>
                <w:szCs w:val="21"/>
                <w14:textFill>
                  <w14:solidFill>
                    <w14:schemeClr w14:val="tx1"/>
                  </w14:solidFill>
                </w14:textFill>
              </w:rPr>
            </w:pPr>
          </w:p>
          <w:p w14:paraId="08FACB7B">
            <w:pPr>
              <w:spacing w:line="240" w:lineRule="auto"/>
              <w:ind w:firstLine="210" w:firstLineChars="100"/>
              <w:rPr>
                <w:color w:val="000000" w:themeColor="text1"/>
                <w:sz w:val="21"/>
                <w:szCs w:val="21"/>
                <w14:textFill>
                  <w14:solidFill>
                    <w14:schemeClr w14:val="tx1"/>
                  </w14:solidFill>
                </w14:textFill>
              </w:rPr>
            </w:pPr>
            <w:bookmarkStart w:id="36" w:name="_Toc28874"/>
          </w:p>
          <w:p w14:paraId="185CF1A5">
            <w:pPr>
              <w:spacing w:line="240" w:lineRule="auto"/>
              <w:ind w:firstLine="210" w:firstLineChars="10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要素</w:t>
            </w:r>
            <w:bookmarkEnd w:id="36"/>
          </w:p>
        </w:tc>
        <w:tc>
          <w:tcPr>
            <w:tcW w:w="2528" w:type="pct"/>
            <w:gridSpan w:val="2"/>
            <w:vAlign w:val="center"/>
          </w:tcPr>
          <w:p w14:paraId="40AF171D">
            <w:pPr>
              <w:spacing w:line="240" w:lineRule="auto"/>
              <w:ind w:firstLine="0" w:firstLineChars="0"/>
              <w:jc w:val="center"/>
              <w:rPr>
                <w:color w:val="000000" w:themeColor="text1"/>
                <w:sz w:val="21"/>
                <w:szCs w:val="21"/>
                <w14:textFill>
                  <w14:solidFill>
                    <w14:schemeClr w14:val="tx1"/>
                  </w14:solidFill>
                </w14:textFill>
              </w:rPr>
            </w:pPr>
            <w:bookmarkStart w:id="37" w:name="_Toc10600"/>
            <w:r>
              <w:rPr>
                <w:color w:val="000000" w:themeColor="text1"/>
                <w:sz w:val="21"/>
                <w:szCs w:val="21"/>
                <w14:textFill>
                  <w14:solidFill>
                    <w14:schemeClr w14:val="tx1"/>
                  </w14:solidFill>
                </w14:textFill>
              </w:rPr>
              <w:t>施工期</w:t>
            </w:r>
            <w:bookmarkEnd w:id="37"/>
          </w:p>
        </w:tc>
        <w:tc>
          <w:tcPr>
            <w:tcW w:w="1689" w:type="pct"/>
            <w:gridSpan w:val="2"/>
            <w:vAlign w:val="center"/>
          </w:tcPr>
          <w:p w14:paraId="18169B04">
            <w:pPr>
              <w:spacing w:line="240" w:lineRule="auto"/>
              <w:ind w:firstLine="0" w:firstLineChars="0"/>
              <w:jc w:val="center"/>
              <w:rPr>
                <w:color w:val="000000" w:themeColor="text1"/>
                <w:sz w:val="21"/>
                <w:szCs w:val="21"/>
                <w14:textFill>
                  <w14:solidFill>
                    <w14:schemeClr w14:val="tx1"/>
                  </w14:solidFill>
                </w14:textFill>
              </w:rPr>
            </w:pPr>
            <w:bookmarkStart w:id="38" w:name="_Toc2143"/>
            <w:r>
              <w:rPr>
                <w:color w:val="000000" w:themeColor="text1"/>
                <w:sz w:val="21"/>
                <w:szCs w:val="21"/>
                <w14:textFill>
                  <w14:solidFill>
                    <w14:schemeClr w14:val="tx1"/>
                  </w14:solidFill>
                </w14:textFill>
              </w:rPr>
              <w:t>运营期</w:t>
            </w:r>
            <w:bookmarkEnd w:id="38"/>
          </w:p>
        </w:tc>
      </w:tr>
      <w:tr w14:paraId="368F5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tcPr>
          <w:p w14:paraId="2698B55A">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4B720361">
            <w:pPr>
              <w:spacing w:line="240" w:lineRule="auto"/>
              <w:ind w:firstLine="0" w:firstLineChars="0"/>
              <w:jc w:val="center"/>
              <w:rPr>
                <w:color w:val="000000" w:themeColor="text1"/>
                <w:sz w:val="21"/>
                <w:szCs w:val="21"/>
                <w14:textFill>
                  <w14:solidFill>
                    <w14:schemeClr w14:val="tx1"/>
                  </w14:solidFill>
                </w14:textFill>
              </w:rPr>
            </w:pPr>
            <w:bookmarkStart w:id="39" w:name="_Toc22452"/>
            <w:r>
              <w:rPr>
                <w:color w:val="000000" w:themeColor="text1"/>
                <w:sz w:val="21"/>
                <w:szCs w:val="21"/>
                <w14:textFill>
                  <w14:solidFill>
                    <w14:schemeClr w14:val="tx1"/>
                  </w14:solidFill>
                </w14:textFill>
              </w:rPr>
              <w:t>环境保护措施</w:t>
            </w:r>
            <w:bookmarkEnd w:id="39"/>
          </w:p>
        </w:tc>
        <w:tc>
          <w:tcPr>
            <w:tcW w:w="1252" w:type="pct"/>
            <w:vAlign w:val="center"/>
          </w:tcPr>
          <w:p w14:paraId="6FF8773A">
            <w:pPr>
              <w:spacing w:line="240" w:lineRule="auto"/>
              <w:ind w:firstLine="0" w:firstLineChars="0"/>
              <w:jc w:val="center"/>
              <w:rPr>
                <w:color w:val="000000" w:themeColor="text1"/>
                <w:sz w:val="21"/>
                <w:szCs w:val="21"/>
                <w14:textFill>
                  <w14:solidFill>
                    <w14:schemeClr w14:val="tx1"/>
                  </w14:solidFill>
                </w14:textFill>
              </w:rPr>
            </w:pPr>
            <w:bookmarkStart w:id="40" w:name="_Toc20726"/>
            <w:r>
              <w:rPr>
                <w:color w:val="000000" w:themeColor="text1"/>
                <w:sz w:val="21"/>
                <w:szCs w:val="21"/>
                <w14:textFill>
                  <w14:solidFill>
                    <w14:schemeClr w14:val="tx1"/>
                  </w14:solidFill>
                </w14:textFill>
              </w:rPr>
              <w:t>验收要求</w:t>
            </w:r>
            <w:bookmarkEnd w:id="40"/>
          </w:p>
        </w:tc>
        <w:tc>
          <w:tcPr>
            <w:tcW w:w="931" w:type="pct"/>
            <w:vAlign w:val="center"/>
          </w:tcPr>
          <w:p w14:paraId="2A02E7DA">
            <w:pPr>
              <w:spacing w:line="240" w:lineRule="auto"/>
              <w:ind w:firstLine="0" w:firstLineChars="0"/>
              <w:jc w:val="center"/>
              <w:rPr>
                <w:color w:val="000000" w:themeColor="text1"/>
                <w:sz w:val="21"/>
                <w:szCs w:val="21"/>
                <w14:textFill>
                  <w14:solidFill>
                    <w14:schemeClr w14:val="tx1"/>
                  </w14:solidFill>
                </w14:textFill>
              </w:rPr>
            </w:pPr>
            <w:bookmarkStart w:id="41" w:name="_Toc27550"/>
            <w:r>
              <w:rPr>
                <w:color w:val="000000" w:themeColor="text1"/>
                <w:sz w:val="21"/>
                <w:szCs w:val="21"/>
                <w14:textFill>
                  <w14:solidFill>
                    <w14:schemeClr w14:val="tx1"/>
                  </w14:solidFill>
                </w14:textFill>
              </w:rPr>
              <w:t>环境保护措施</w:t>
            </w:r>
            <w:bookmarkEnd w:id="41"/>
          </w:p>
        </w:tc>
        <w:tc>
          <w:tcPr>
            <w:tcW w:w="758" w:type="pct"/>
            <w:vAlign w:val="center"/>
          </w:tcPr>
          <w:p w14:paraId="4C8572BB">
            <w:pPr>
              <w:spacing w:line="240" w:lineRule="auto"/>
              <w:ind w:firstLine="0" w:firstLineChars="0"/>
              <w:jc w:val="center"/>
              <w:rPr>
                <w:color w:val="000000" w:themeColor="text1"/>
                <w:sz w:val="21"/>
                <w:szCs w:val="21"/>
                <w14:textFill>
                  <w14:solidFill>
                    <w14:schemeClr w14:val="tx1"/>
                  </w14:solidFill>
                </w14:textFill>
              </w:rPr>
            </w:pPr>
            <w:bookmarkStart w:id="42" w:name="_Toc5071"/>
            <w:r>
              <w:rPr>
                <w:color w:val="000000" w:themeColor="text1"/>
                <w:sz w:val="21"/>
                <w:szCs w:val="21"/>
                <w14:textFill>
                  <w14:solidFill>
                    <w14:schemeClr w14:val="tx1"/>
                  </w14:solidFill>
                </w14:textFill>
              </w:rPr>
              <w:t>验收要求</w:t>
            </w:r>
            <w:bookmarkEnd w:id="42"/>
          </w:p>
        </w:tc>
      </w:tr>
      <w:tr w14:paraId="1BAF22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33EE0D0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陆生生态</w:t>
            </w:r>
          </w:p>
        </w:tc>
        <w:tc>
          <w:tcPr>
            <w:tcW w:w="1276" w:type="pct"/>
            <w:vAlign w:val="center"/>
          </w:tcPr>
          <w:p w14:paraId="4E75BB1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pacing w:val="-2"/>
                <w:sz w:val="21"/>
                <w:szCs w:val="21"/>
                <w14:textFill>
                  <w14:solidFill>
                    <w14:schemeClr w14:val="tx1"/>
                  </w14:solidFill>
                </w14:textFill>
              </w:rPr>
              <w:fldChar w:fldCharType="begin"/>
            </w:r>
            <w:r>
              <w:rPr>
                <w:color w:val="000000" w:themeColor="text1"/>
                <w:spacing w:val="-2"/>
                <w:sz w:val="21"/>
                <w:szCs w:val="21"/>
                <w14:textFill>
                  <w14:solidFill>
                    <w14:schemeClr w14:val="tx1"/>
                  </w14:solidFill>
                </w14:textFill>
              </w:rPr>
              <w:instrText xml:space="preserve"> = 1 \* GB3 </w:instrText>
            </w:r>
            <w:r>
              <w:rPr>
                <w:color w:val="000000" w:themeColor="text1"/>
                <w:spacing w:val="-2"/>
                <w:sz w:val="21"/>
                <w:szCs w:val="21"/>
                <w14:textFill>
                  <w14:solidFill>
                    <w14:schemeClr w14:val="tx1"/>
                  </w14:solidFill>
                </w14:textFill>
              </w:rPr>
              <w:fldChar w:fldCharType="separate"/>
            </w:r>
            <w:r>
              <w:rPr>
                <w:color w:val="000000" w:themeColor="text1"/>
                <w:spacing w:val="-2"/>
                <w:sz w:val="21"/>
                <w:szCs w:val="21"/>
                <w14:textFill>
                  <w14:solidFill>
                    <w14:schemeClr w14:val="tx1"/>
                  </w14:solidFill>
                </w14:textFill>
              </w:rPr>
              <w:t>①</w:t>
            </w:r>
            <w:r>
              <w:rPr>
                <w:color w:val="000000" w:themeColor="text1"/>
                <w:spacing w:val="-2"/>
                <w:sz w:val="21"/>
                <w:szCs w:val="21"/>
                <w14:textFill>
                  <w14:solidFill>
                    <w14:schemeClr w14:val="tx1"/>
                  </w14:solidFill>
                </w14:textFill>
              </w:rPr>
              <w:fldChar w:fldCharType="end"/>
            </w:r>
            <w:r>
              <w:rPr>
                <w:color w:val="000000" w:themeColor="text1"/>
                <w:spacing w:val="-2"/>
                <w:sz w:val="21"/>
                <w:szCs w:val="21"/>
                <w14:textFill>
                  <w14:solidFill>
                    <w14:schemeClr w14:val="tx1"/>
                  </w14:solidFill>
                </w14:textFill>
              </w:rPr>
              <w:t>选址尽量避开植被密集区域；严格划定路线，禁止乱</w:t>
            </w:r>
            <w:r>
              <w:rPr>
                <w:rFonts w:hint="eastAsia"/>
                <w:color w:val="000000" w:themeColor="text1"/>
                <w:spacing w:val="-2"/>
                <w:sz w:val="21"/>
                <w:szCs w:val="21"/>
                <w14:textFill>
                  <w14:solidFill>
                    <w14:schemeClr w14:val="tx1"/>
                  </w14:solidFill>
                </w14:textFill>
              </w:rPr>
              <w:t>碾</w:t>
            </w:r>
            <w:r>
              <w:rPr>
                <w:color w:val="000000" w:themeColor="text1"/>
                <w:spacing w:val="-2"/>
                <w:sz w:val="21"/>
                <w:szCs w:val="21"/>
                <w14:textFill>
                  <w14:solidFill>
                    <w14:schemeClr w14:val="tx1"/>
                  </w14:solidFill>
                </w14:textFill>
              </w:rPr>
              <w:t>乱轧；确保各环保设施正常运行，避免各种污染物对土壤环境的影响；②严格控制占地，严格规定各类工作人员的活动范围；③完井后施工机械、设备及时撤离，废水和固体废物全部妥善处置，现场禁止遗留；</w:t>
            </w:r>
            <w:r>
              <w:rPr>
                <w:color w:val="000000" w:themeColor="text1"/>
                <w:spacing w:val="-2"/>
                <w:sz w:val="21"/>
                <w:szCs w:val="21"/>
                <w14:textFill>
                  <w14:solidFill>
                    <w14:schemeClr w14:val="tx1"/>
                  </w14:solidFill>
                </w14:textFill>
              </w:rPr>
              <w:fldChar w:fldCharType="begin"/>
            </w:r>
            <w:r>
              <w:rPr>
                <w:color w:val="000000" w:themeColor="text1"/>
                <w:spacing w:val="-2"/>
                <w:sz w:val="21"/>
                <w:szCs w:val="21"/>
                <w14:textFill>
                  <w14:solidFill>
                    <w14:schemeClr w14:val="tx1"/>
                  </w14:solidFill>
                </w14:textFill>
              </w:rPr>
              <w:instrText xml:space="preserve"> = 4 \* GB3 </w:instrText>
            </w:r>
            <w:r>
              <w:rPr>
                <w:color w:val="000000" w:themeColor="text1"/>
                <w:spacing w:val="-2"/>
                <w:sz w:val="21"/>
                <w:szCs w:val="21"/>
                <w14:textFill>
                  <w14:solidFill>
                    <w14:schemeClr w14:val="tx1"/>
                  </w14:solidFill>
                </w14:textFill>
              </w:rPr>
              <w:fldChar w:fldCharType="separate"/>
            </w:r>
            <w:r>
              <w:rPr>
                <w:color w:val="000000" w:themeColor="text1"/>
                <w:spacing w:val="-2"/>
                <w:sz w:val="21"/>
                <w:szCs w:val="21"/>
                <w14:textFill>
                  <w14:solidFill>
                    <w14:schemeClr w14:val="tx1"/>
                  </w14:solidFill>
                </w14:textFill>
              </w:rPr>
              <w:t>④</w:t>
            </w:r>
            <w:r>
              <w:rPr>
                <w:color w:val="000000" w:themeColor="text1"/>
                <w:spacing w:val="-2"/>
                <w:sz w:val="21"/>
                <w:szCs w:val="21"/>
                <w14:textFill>
                  <w14:solidFill>
                    <w14:schemeClr w14:val="tx1"/>
                  </w14:solidFill>
                </w14:textFill>
              </w:rPr>
              <w:fldChar w:fldCharType="end"/>
            </w:r>
            <w:r>
              <w:rPr>
                <w:color w:val="000000" w:themeColor="text1"/>
                <w:spacing w:val="-2"/>
                <w:sz w:val="21"/>
                <w:szCs w:val="21"/>
                <w14:textFill>
                  <w14:solidFill>
                    <w14:schemeClr w14:val="tx1"/>
                  </w14:solidFill>
                </w14:textFill>
              </w:rPr>
              <w:t>建设单位按照相关要求办理临时占地经济补偿协议；⑤施工结束后及时对场地进行清理、平整并压实。⑥合理安排施工时间，避免大风天气施工。</w:t>
            </w:r>
          </w:p>
        </w:tc>
        <w:tc>
          <w:tcPr>
            <w:tcW w:w="1252" w:type="pct"/>
            <w:vAlign w:val="center"/>
          </w:tcPr>
          <w:p w14:paraId="1596AE55">
            <w:pPr>
              <w:spacing w:line="320" w:lineRule="exact"/>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生态保护措施落实情况；现场无废水和固体废物遗留；井场及周边占地恢复情况；临时占地经济补偿协议办理情况。</w:t>
            </w:r>
          </w:p>
          <w:p w14:paraId="50AAB1F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施工结束后清理、平整并压实临时占地，以利于土壤、植被自然恢复。井场、生活营地和探临道路进行平整，井场无废水和固体废物遗留。</w:t>
            </w:r>
          </w:p>
        </w:tc>
        <w:tc>
          <w:tcPr>
            <w:tcW w:w="931" w:type="pct"/>
            <w:vAlign w:val="center"/>
          </w:tcPr>
          <w:p w14:paraId="3F7A4EA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5229766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77564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28D7223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水生生态</w:t>
            </w:r>
          </w:p>
        </w:tc>
        <w:tc>
          <w:tcPr>
            <w:tcW w:w="1276" w:type="pct"/>
            <w:vAlign w:val="center"/>
          </w:tcPr>
          <w:p w14:paraId="60474DB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52" w:type="pct"/>
            <w:vAlign w:val="center"/>
          </w:tcPr>
          <w:p w14:paraId="2A7E8F1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54439AF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409C4E5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0875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7DA8CB1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地表水环境</w:t>
            </w:r>
          </w:p>
        </w:tc>
        <w:tc>
          <w:tcPr>
            <w:tcW w:w="1276" w:type="pct"/>
            <w:vAlign w:val="center"/>
          </w:tcPr>
          <w:p w14:paraId="4F84EBA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52" w:type="pct"/>
            <w:vAlign w:val="center"/>
          </w:tcPr>
          <w:p w14:paraId="39524B7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2525616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26178CF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386A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restart"/>
            <w:vAlign w:val="center"/>
          </w:tcPr>
          <w:p w14:paraId="1436E55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地下水及土壤环境</w:t>
            </w:r>
          </w:p>
        </w:tc>
        <w:tc>
          <w:tcPr>
            <w:tcW w:w="1276" w:type="pct"/>
            <w:vAlign w:val="center"/>
          </w:tcPr>
          <w:p w14:paraId="1909D1D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井下作业废水、</w:t>
            </w:r>
            <w:r>
              <w:rPr>
                <w:color w:val="000000" w:themeColor="text1"/>
                <w:kern w:val="0"/>
                <w:sz w:val="21"/>
                <w:szCs w:val="21"/>
                <w14:textFill>
                  <w14:solidFill>
                    <w14:schemeClr w14:val="tx1"/>
                  </w14:solidFill>
                </w14:textFill>
              </w:rPr>
              <w:t>压裂返排液</w:t>
            </w:r>
            <w:r>
              <w:rPr>
                <w:color w:val="000000" w:themeColor="text1"/>
                <w:sz w:val="21"/>
                <w:szCs w:val="21"/>
                <w14:textFill>
                  <w14:solidFill>
                    <w14:schemeClr w14:val="tx1"/>
                  </w14:solidFill>
                </w14:textFill>
              </w:rPr>
              <w:t>：</w:t>
            </w:r>
            <w:r>
              <w:rPr>
                <w:color w:val="000000" w:themeColor="text1"/>
                <w:kern w:val="0"/>
                <w:sz w:val="21"/>
                <w:szCs w:val="21"/>
                <w14:textFill>
                  <w14:solidFill>
                    <w14:schemeClr w14:val="tx1"/>
                  </w14:solidFill>
                </w14:textFill>
              </w:rPr>
              <w:t>作业单位自带回收罐回收，</w:t>
            </w:r>
            <w:r>
              <w:rPr>
                <w:color w:val="000000" w:themeColor="text1"/>
                <w:sz w:val="21"/>
                <w:szCs w:val="21"/>
                <w14:textFill>
                  <w14:solidFill>
                    <w14:schemeClr w14:val="tx1"/>
                  </w14:solidFill>
                </w14:textFill>
              </w:rPr>
              <w:t>拉运至</w:t>
            </w:r>
            <w:r>
              <w:rPr>
                <w:rFonts w:hint="eastAsia"/>
                <w:color w:val="000000" w:themeColor="text1"/>
                <w:sz w:val="21"/>
                <w:szCs w:val="21"/>
                <w14:textFill>
                  <w14:solidFill>
                    <w14:schemeClr w14:val="tx1"/>
                  </w14:solidFill>
                </w14:textFill>
              </w:rPr>
              <w:t>吉康脱水站污水</w:t>
            </w:r>
            <w:r>
              <w:rPr>
                <w:color w:val="000000" w:themeColor="text1"/>
                <w:sz w:val="21"/>
                <w:szCs w:val="21"/>
                <w14:textFill>
                  <w14:solidFill>
                    <w14:schemeClr w14:val="tx1"/>
                  </w14:solidFill>
                </w14:textFill>
              </w:rPr>
              <w:t>处理系统处理，处理达标后用于回注油藏。</w:t>
            </w:r>
          </w:p>
        </w:tc>
        <w:tc>
          <w:tcPr>
            <w:tcW w:w="1252" w:type="pct"/>
            <w:vAlign w:val="center"/>
          </w:tcPr>
          <w:p w14:paraId="28C4E42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井下作业废水、</w:t>
            </w:r>
            <w:r>
              <w:rPr>
                <w:color w:val="000000" w:themeColor="text1"/>
                <w:kern w:val="0"/>
                <w:sz w:val="21"/>
                <w:szCs w:val="21"/>
                <w14:textFill>
                  <w14:solidFill>
                    <w14:schemeClr w14:val="tx1"/>
                  </w14:solidFill>
                </w14:textFill>
              </w:rPr>
              <w:t>压裂返排液</w:t>
            </w:r>
            <w:r>
              <w:rPr>
                <w:color w:val="000000" w:themeColor="text1"/>
                <w:sz w:val="21"/>
                <w:szCs w:val="21"/>
                <w14:textFill>
                  <w14:solidFill>
                    <w14:schemeClr w14:val="tx1"/>
                  </w14:solidFill>
                </w14:textFill>
              </w:rPr>
              <w:t>：</w:t>
            </w:r>
            <w:r>
              <w:rPr>
                <w:color w:val="000000" w:themeColor="text1"/>
                <w:kern w:val="0"/>
                <w:sz w:val="21"/>
                <w:szCs w:val="21"/>
                <w14:textFill>
                  <w14:solidFill>
                    <w14:schemeClr w14:val="tx1"/>
                  </w14:solidFill>
                </w14:textFill>
              </w:rPr>
              <w:t>作业单位自带回收罐回收，</w:t>
            </w:r>
            <w:r>
              <w:rPr>
                <w:color w:val="000000" w:themeColor="text1"/>
                <w:sz w:val="21"/>
                <w:szCs w:val="21"/>
                <w14:textFill>
                  <w14:solidFill>
                    <w14:schemeClr w14:val="tx1"/>
                  </w14:solidFill>
                </w14:textFill>
              </w:rPr>
              <w:t>拉运至</w:t>
            </w:r>
            <w:r>
              <w:rPr>
                <w:rFonts w:hint="eastAsia"/>
                <w:color w:val="000000" w:themeColor="text1"/>
                <w:sz w:val="21"/>
                <w:szCs w:val="21"/>
                <w14:textFill>
                  <w14:solidFill>
                    <w14:schemeClr w14:val="tx1"/>
                  </w14:solidFill>
                </w14:textFill>
              </w:rPr>
              <w:t>吉康脱水站污水</w:t>
            </w:r>
            <w:r>
              <w:rPr>
                <w:color w:val="000000" w:themeColor="text1"/>
                <w:sz w:val="21"/>
                <w:szCs w:val="21"/>
                <w14:textFill>
                  <w14:solidFill>
                    <w14:schemeClr w14:val="tx1"/>
                  </w14:solidFill>
                </w14:textFill>
              </w:rPr>
              <w:t>处理系统处理，处理达标后用于回注油藏。</w:t>
            </w:r>
          </w:p>
        </w:tc>
        <w:tc>
          <w:tcPr>
            <w:tcW w:w="931" w:type="pct"/>
            <w:vAlign w:val="center"/>
          </w:tcPr>
          <w:p w14:paraId="24716FF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2EE1B26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FD02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7F184E06">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62762DD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生活污水：排入防渗污水收集池，定期拉运至</w:t>
            </w:r>
            <w:r>
              <w:rPr>
                <w:rFonts w:hint="eastAsia"/>
                <w:color w:val="000000" w:themeColor="text1"/>
                <w:sz w:val="21"/>
                <w:szCs w:val="21"/>
                <w14:textFill>
                  <w14:solidFill>
                    <w14:schemeClr w14:val="tx1"/>
                  </w14:solidFill>
                </w14:textFill>
              </w:rPr>
              <w:t>吉木萨尔县污水</w:t>
            </w:r>
            <w:r>
              <w:rPr>
                <w:color w:val="000000" w:themeColor="text1"/>
                <w:sz w:val="21"/>
                <w:szCs w:val="21"/>
                <w14:textFill>
                  <w14:solidFill>
                    <w14:schemeClr w14:val="tx1"/>
                  </w14:solidFill>
                </w14:textFill>
              </w:rPr>
              <w:t>处理</w:t>
            </w:r>
            <w:r>
              <w:rPr>
                <w:rFonts w:hint="eastAsia"/>
                <w:color w:val="000000" w:themeColor="text1"/>
                <w:sz w:val="21"/>
                <w:szCs w:val="21"/>
                <w14:textFill>
                  <w14:solidFill>
                    <w14:schemeClr w14:val="tx1"/>
                  </w14:solidFill>
                </w14:textFill>
              </w:rPr>
              <w:t>厂处理</w:t>
            </w:r>
          </w:p>
        </w:tc>
        <w:tc>
          <w:tcPr>
            <w:tcW w:w="1252" w:type="pct"/>
            <w:vAlign w:val="center"/>
          </w:tcPr>
          <w:p w14:paraId="6AC9A66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生活污水：排入防渗污水收集池，定期拉运至</w:t>
            </w:r>
            <w:r>
              <w:rPr>
                <w:rFonts w:hint="eastAsia"/>
                <w:color w:val="000000" w:themeColor="text1"/>
                <w:sz w:val="21"/>
                <w:szCs w:val="21"/>
                <w14:textFill>
                  <w14:solidFill>
                    <w14:schemeClr w14:val="tx1"/>
                  </w14:solidFill>
                </w14:textFill>
              </w:rPr>
              <w:t>吉木萨尔县</w:t>
            </w:r>
          </w:p>
        </w:tc>
        <w:tc>
          <w:tcPr>
            <w:tcW w:w="931" w:type="pct"/>
            <w:vAlign w:val="center"/>
          </w:tcPr>
          <w:p w14:paraId="5502F0E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6CE09C1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C4F1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6EE7F766">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540AF29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应严格控制临时占地面积，减少土壤扰动。施工机械及运输车辆应按规定的道路行驶，减少对土壤的碾压。施工产生固体废物集中收集并及时清运，防止污染土壤。试油作业铺垫防渗膜，防止油泥落地污染土壤</w:t>
            </w:r>
          </w:p>
        </w:tc>
        <w:tc>
          <w:tcPr>
            <w:tcW w:w="1252" w:type="pct"/>
            <w:vAlign w:val="center"/>
          </w:tcPr>
          <w:p w14:paraId="4308C83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是否造成土壤污染</w:t>
            </w:r>
          </w:p>
        </w:tc>
        <w:tc>
          <w:tcPr>
            <w:tcW w:w="931" w:type="pct"/>
            <w:vAlign w:val="center"/>
          </w:tcPr>
          <w:p w14:paraId="42F6E05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140A5AE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3161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31E6878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声环境</w:t>
            </w:r>
          </w:p>
        </w:tc>
        <w:tc>
          <w:tcPr>
            <w:tcW w:w="1276" w:type="pct"/>
            <w:vAlign w:val="center"/>
          </w:tcPr>
          <w:p w14:paraId="73EB313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高噪声设备采取基础减振、隔声措施</w:t>
            </w:r>
          </w:p>
        </w:tc>
        <w:tc>
          <w:tcPr>
            <w:tcW w:w="1252" w:type="pct"/>
            <w:vAlign w:val="center"/>
          </w:tcPr>
          <w:p w14:paraId="20CC1AF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核实是否采用高噪声设备采取基础减振、隔声措施</w:t>
            </w:r>
          </w:p>
        </w:tc>
        <w:tc>
          <w:tcPr>
            <w:tcW w:w="931" w:type="pct"/>
            <w:vAlign w:val="center"/>
          </w:tcPr>
          <w:p w14:paraId="5134609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616B0E7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C8EE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61F37C5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振动</w:t>
            </w:r>
          </w:p>
        </w:tc>
        <w:tc>
          <w:tcPr>
            <w:tcW w:w="1276" w:type="pct"/>
            <w:vAlign w:val="center"/>
          </w:tcPr>
          <w:p w14:paraId="54F5A78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52" w:type="pct"/>
            <w:vAlign w:val="center"/>
          </w:tcPr>
          <w:p w14:paraId="6F28363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74B5A05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76D5363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F5C48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412CBD3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大气环境</w:t>
            </w:r>
          </w:p>
        </w:tc>
        <w:tc>
          <w:tcPr>
            <w:tcW w:w="1276" w:type="pct"/>
            <w:vAlign w:val="center"/>
          </w:tcPr>
          <w:p w14:paraId="6C63102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柴油废气：使用达标柴油，加强设备维护；</w:t>
            </w:r>
          </w:p>
          <w:p w14:paraId="2F6EFAE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扬尘：对易起尘物料遮盖；水基钻井岩屑暂存于罐中，并及时清运。</w:t>
            </w:r>
          </w:p>
          <w:p w14:paraId="4F9CA19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施工机械废气、运输车辆尾气：选用合格油品，加强车辆管理；</w:t>
            </w:r>
          </w:p>
          <w:p w14:paraId="46EF519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伴生气：放散管燃放</w:t>
            </w:r>
          </w:p>
          <w:p w14:paraId="6619780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临时储罐：无组织排放</w:t>
            </w:r>
          </w:p>
          <w:p w14:paraId="7A1F6A0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采出液装载废气：无组织排放</w:t>
            </w:r>
          </w:p>
          <w:p w14:paraId="2233908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柴油卸车及储存无组织废气、油基岩屑储罐无组织废气：无组织排放</w:t>
            </w:r>
          </w:p>
        </w:tc>
        <w:tc>
          <w:tcPr>
            <w:tcW w:w="1252" w:type="pct"/>
            <w:vAlign w:val="center"/>
          </w:tcPr>
          <w:p w14:paraId="2F3D040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柴油废气：核实是否使用达标柴油，加强设备维护；</w:t>
            </w:r>
          </w:p>
          <w:p w14:paraId="52D0711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扬尘：核实是否对易起尘物料遮盖；水基钻井岩屑是否暂存于罐中，并及时清运。</w:t>
            </w:r>
          </w:p>
          <w:p w14:paraId="218F2C1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施工机械废气、运输车辆尾气：核实是否选用合格油品，加强车辆管理；</w:t>
            </w:r>
          </w:p>
          <w:p w14:paraId="0C9B32B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伴生气：核实是否放散管燃放</w:t>
            </w:r>
          </w:p>
          <w:p w14:paraId="38F47CF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临时储罐：无组织排放</w:t>
            </w:r>
          </w:p>
          <w:p w14:paraId="166A6F8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采出液装载废气：无组织排放</w:t>
            </w:r>
          </w:p>
          <w:p w14:paraId="0C44CA6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柴油卸车及储存无组织废气、油基岩屑储罐无组织废气：无组织排放</w:t>
            </w:r>
          </w:p>
        </w:tc>
        <w:tc>
          <w:tcPr>
            <w:tcW w:w="931" w:type="pct"/>
            <w:vAlign w:val="center"/>
          </w:tcPr>
          <w:p w14:paraId="4614EA9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2B79812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BC62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8" w:hRule="atLeast"/>
          <w:jc w:val="center"/>
        </w:trPr>
        <w:tc>
          <w:tcPr>
            <w:tcW w:w="782" w:type="pct"/>
            <w:vMerge w:val="restart"/>
            <w:vAlign w:val="center"/>
          </w:tcPr>
          <w:p w14:paraId="4261AA9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固体废物</w:t>
            </w:r>
          </w:p>
        </w:tc>
        <w:tc>
          <w:tcPr>
            <w:tcW w:w="1276" w:type="pct"/>
            <w:vAlign w:val="center"/>
          </w:tcPr>
          <w:p w14:paraId="37D9BBF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钻井岩屑：水基岩屑经“钻井泥浆不落地技术”分离后经检测合格后综合利用，油基岩屑委托</w:t>
            </w:r>
            <w:r>
              <w:rPr>
                <w:rFonts w:hint="eastAsia"/>
                <w:color w:val="000000" w:themeColor="text1"/>
                <w:sz w:val="21"/>
                <w:szCs w:val="21"/>
                <w14:textFill>
                  <w14:solidFill>
                    <w14:schemeClr w14:val="tx1"/>
                  </w14:solidFill>
                </w14:textFill>
              </w:rPr>
              <w:t>新疆中建环能北庭环保科技有限公司处置</w:t>
            </w:r>
            <w:r>
              <w:rPr>
                <w:color w:val="000000" w:themeColor="text1"/>
                <w:sz w:val="21"/>
                <w:szCs w:val="21"/>
                <w14:textFill>
                  <w14:solidFill>
                    <w14:schemeClr w14:val="tx1"/>
                  </w14:solidFill>
                </w14:textFill>
              </w:rPr>
              <w:t>后，综合利用</w:t>
            </w:r>
          </w:p>
        </w:tc>
        <w:tc>
          <w:tcPr>
            <w:tcW w:w="1252" w:type="pct"/>
            <w:vAlign w:val="center"/>
          </w:tcPr>
          <w:p w14:paraId="370CE88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钻井岩屑：核实钻井水基岩屑是否经检测合格后综合利用，油基岩屑是否委托有相应危废处置资质的单位进行无害化处置后，综合利用</w:t>
            </w:r>
          </w:p>
        </w:tc>
        <w:tc>
          <w:tcPr>
            <w:tcW w:w="931" w:type="pct"/>
            <w:vAlign w:val="center"/>
          </w:tcPr>
          <w:p w14:paraId="0540FE7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296F3EB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52825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6BAFDC87">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54AC0C4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机械设备废油</w:t>
            </w:r>
            <w:r>
              <w:rPr>
                <w:rFonts w:hint="eastAsia"/>
                <w:color w:val="000000" w:themeColor="text1"/>
                <w:sz w:val="21"/>
                <w:szCs w:val="21"/>
                <w14:textFill>
                  <w14:solidFill>
                    <w14:schemeClr w14:val="tx1"/>
                  </w14:solidFill>
                </w14:textFill>
              </w:rPr>
              <w:t>集中收集暂存于危废贮存点，定期</w:t>
            </w:r>
            <w:r>
              <w:rPr>
                <w:color w:val="000000" w:themeColor="text1"/>
                <w:sz w:val="21"/>
                <w:szCs w:val="21"/>
                <w14:textFill>
                  <w14:solidFill>
                    <w14:schemeClr w14:val="tx1"/>
                  </w14:solidFill>
                </w14:textFill>
              </w:rPr>
              <w:t>交由</w:t>
            </w:r>
            <w:r>
              <w:rPr>
                <w:rFonts w:hint="eastAsia"/>
                <w:color w:val="000000" w:themeColor="text1"/>
                <w:sz w:val="21"/>
                <w:szCs w:val="21"/>
                <w14:textFill>
                  <w14:solidFill>
                    <w14:schemeClr w14:val="tx1"/>
                  </w14:solidFill>
                </w14:textFill>
              </w:rPr>
              <w:t>新疆中建环能北庭环保科技有限公司处置</w:t>
            </w:r>
            <w:r>
              <w:rPr>
                <w:color w:val="000000" w:themeColor="text1"/>
                <w:sz w:val="21"/>
                <w:szCs w:val="21"/>
                <w14:textFill>
                  <w14:solidFill>
                    <w14:schemeClr w14:val="tx1"/>
                  </w14:solidFill>
                </w14:textFill>
              </w:rPr>
              <w:t>。</w:t>
            </w:r>
          </w:p>
        </w:tc>
        <w:tc>
          <w:tcPr>
            <w:tcW w:w="1252" w:type="pct"/>
            <w:vAlign w:val="center"/>
          </w:tcPr>
          <w:p w14:paraId="675F9C3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核实机械设备废油是否</w:t>
            </w:r>
            <w:r>
              <w:rPr>
                <w:rFonts w:hint="eastAsia"/>
                <w:color w:val="000000" w:themeColor="text1"/>
                <w:sz w:val="21"/>
                <w:szCs w:val="21"/>
                <w14:textFill>
                  <w14:solidFill>
                    <w14:schemeClr w14:val="tx1"/>
                  </w14:solidFill>
                </w14:textFill>
              </w:rPr>
              <w:t>集中收集暂存于危废贮存点，定期</w:t>
            </w:r>
            <w:r>
              <w:rPr>
                <w:color w:val="000000" w:themeColor="text1"/>
                <w:sz w:val="21"/>
                <w:szCs w:val="21"/>
                <w14:textFill>
                  <w14:solidFill>
                    <w14:schemeClr w14:val="tx1"/>
                  </w14:solidFill>
                </w14:textFill>
              </w:rPr>
              <w:t>交由有资质的单位</w:t>
            </w:r>
            <w:r>
              <w:rPr>
                <w:rFonts w:hint="eastAsia"/>
                <w:color w:val="000000" w:themeColor="text1"/>
                <w:sz w:val="21"/>
                <w:szCs w:val="21"/>
                <w14:textFill>
                  <w14:solidFill>
                    <w14:schemeClr w14:val="tx1"/>
                  </w14:solidFill>
                </w14:textFill>
              </w:rPr>
              <w:t>清运</w:t>
            </w:r>
            <w:r>
              <w:rPr>
                <w:color w:val="000000" w:themeColor="text1"/>
                <w:sz w:val="21"/>
                <w:szCs w:val="21"/>
                <w14:textFill>
                  <w14:solidFill>
                    <w14:schemeClr w14:val="tx1"/>
                  </w14:solidFill>
                </w14:textFill>
              </w:rPr>
              <w:t>处置。</w:t>
            </w:r>
          </w:p>
        </w:tc>
        <w:tc>
          <w:tcPr>
            <w:tcW w:w="931" w:type="pct"/>
            <w:vAlign w:val="center"/>
          </w:tcPr>
          <w:p w14:paraId="59F7D79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1415D8B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A8ED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10334F62">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1B7918B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废弃防渗膜：</w:t>
            </w:r>
            <w:r>
              <w:rPr>
                <w:rFonts w:hint="eastAsia"/>
                <w:color w:val="000000" w:themeColor="text1"/>
                <w:sz w:val="21"/>
                <w:szCs w:val="21"/>
                <w14:textFill>
                  <w14:solidFill>
                    <w14:schemeClr w14:val="tx1"/>
                  </w14:solidFill>
                </w14:textFill>
              </w:rPr>
              <w:t>集中收集后暂存于井场危废贮存点，定期</w:t>
            </w:r>
            <w:r>
              <w:rPr>
                <w:color w:val="000000" w:themeColor="text1"/>
                <w:sz w:val="21"/>
                <w:szCs w:val="21"/>
                <w14:textFill>
                  <w14:solidFill>
                    <w14:schemeClr w14:val="tx1"/>
                  </w14:solidFill>
                </w14:textFill>
              </w:rPr>
              <w:t>委托</w:t>
            </w:r>
            <w:r>
              <w:rPr>
                <w:rFonts w:hint="eastAsia"/>
                <w:color w:val="000000" w:themeColor="text1"/>
                <w:sz w:val="21"/>
                <w:szCs w:val="21"/>
                <w14:textFill>
                  <w14:solidFill>
                    <w14:schemeClr w14:val="tx1"/>
                  </w14:solidFill>
                </w14:textFill>
              </w:rPr>
              <w:t>新疆中建环能北庭环保科技有限公司处置</w:t>
            </w:r>
          </w:p>
        </w:tc>
        <w:tc>
          <w:tcPr>
            <w:tcW w:w="1252" w:type="pct"/>
            <w:vAlign w:val="center"/>
          </w:tcPr>
          <w:p w14:paraId="0FB56A6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废弃防渗膜：核实是否</w:t>
            </w:r>
            <w:r>
              <w:rPr>
                <w:rFonts w:hint="eastAsia"/>
                <w:color w:val="000000" w:themeColor="text1"/>
                <w:sz w:val="21"/>
                <w:szCs w:val="21"/>
                <w14:textFill>
                  <w14:solidFill>
                    <w14:schemeClr w14:val="tx1"/>
                  </w14:solidFill>
                </w14:textFill>
              </w:rPr>
              <w:t>集中收集后暂存于井场危废贮存点，定期</w:t>
            </w:r>
            <w:r>
              <w:rPr>
                <w:color w:val="000000" w:themeColor="text1"/>
                <w:sz w:val="21"/>
                <w:szCs w:val="21"/>
                <w14:textFill>
                  <w14:solidFill>
                    <w14:schemeClr w14:val="tx1"/>
                  </w14:solidFill>
                </w14:textFill>
              </w:rPr>
              <w:t>委托具有危险废物运输及处理资质的单位拉运处理</w:t>
            </w:r>
          </w:p>
        </w:tc>
        <w:tc>
          <w:tcPr>
            <w:tcW w:w="931" w:type="pct"/>
            <w:vAlign w:val="center"/>
          </w:tcPr>
          <w:p w14:paraId="3DC020C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0EB5411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370CA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343F3B3F">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78D0B59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生活垃圾：集中收集后定期拉运至</w:t>
            </w:r>
            <w:r>
              <w:rPr>
                <w:rFonts w:hint="eastAsia"/>
                <w:color w:val="000000" w:themeColor="text1"/>
                <w:sz w:val="21"/>
                <w:szCs w:val="21"/>
                <w14:textFill>
                  <w14:solidFill>
                    <w14:schemeClr w14:val="tx1"/>
                  </w14:solidFill>
                </w14:textFill>
              </w:rPr>
              <w:t>吉木萨尔县生活垃圾填埋场</w:t>
            </w:r>
            <w:r>
              <w:rPr>
                <w:color w:val="000000" w:themeColor="text1"/>
                <w:sz w:val="21"/>
                <w:szCs w:val="21"/>
                <w14:textFill>
                  <w14:solidFill>
                    <w14:schemeClr w14:val="tx1"/>
                  </w14:solidFill>
                </w14:textFill>
              </w:rPr>
              <w:t>处理</w:t>
            </w:r>
          </w:p>
        </w:tc>
        <w:tc>
          <w:tcPr>
            <w:tcW w:w="1252" w:type="pct"/>
            <w:vAlign w:val="center"/>
          </w:tcPr>
          <w:p w14:paraId="79D3CD5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生活垃圾：集中收集后定期拉运至</w:t>
            </w:r>
            <w:r>
              <w:rPr>
                <w:rFonts w:hint="eastAsia"/>
                <w:color w:val="000000" w:themeColor="text1"/>
                <w:sz w:val="21"/>
                <w:szCs w:val="21"/>
                <w14:textFill>
                  <w14:solidFill>
                    <w14:schemeClr w14:val="tx1"/>
                  </w14:solidFill>
                </w14:textFill>
              </w:rPr>
              <w:t>吉木萨尔县生活垃圾填埋场</w:t>
            </w:r>
            <w:r>
              <w:rPr>
                <w:color w:val="000000" w:themeColor="text1"/>
                <w:sz w:val="21"/>
                <w:szCs w:val="21"/>
                <w14:textFill>
                  <w14:solidFill>
                    <w14:schemeClr w14:val="tx1"/>
                  </w14:solidFill>
                </w14:textFill>
              </w:rPr>
              <w:t>处理</w:t>
            </w:r>
          </w:p>
        </w:tc>
        <w:tc>
          <w:tcPr>
            <w:tcW w:w="931" w:type="pct"/>
            <w:vAlign w:val="center"/>
          </w:tcPr>
          <w:p w14:paraId="4D79F20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5A45D10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3E5F9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5902D87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电磁环境</w:t>
            </w:r>
          </w:p>
        </w:tc>
        <w:tc>
          <w:tcPr>
            <w:tcW w:w="1276" w:type="pct"/>
            <w:vAlign w:val="center"/>
          </w:tcPr>
          <w:p w14:paraId="5D362A7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52" w:type="pct"/>
            <w:vAlign w:val="center"/>
          </w:tcPr>
          <w:p w14:paraId="0208C32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2534269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5CB8F36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F121F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7337CB5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环境风险</w:t>
            </w:r>
          </w:p>
        </w:tc>
        <w:tc>
          <w:tcPr>
            <w:tcW w:w="1276" w:type="pct"/>
            <w:vAlign w:val="center"/>
          </w:tcPr>
          <w:p w14:paraId="3E812CC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①施工时应严格执行相关风险防范措施和规章制度，严禁违规操作加强设备维修与巡检，避免储罐泄漏事故的发生；②在井口安装井控装置，杜绝井喷的发生；</w:t>
            </w:r>
            <w:r>
              <w:rPr>
                <w:color w:val="000000" w:themeColor="text1"/>
                <w:sz w:val="21"/>
                <w:szCs w:val="21"/>
                <w14:textFill>
                  <w14:solidFill>
                    <w14:schemeClr w14:val="tx1"/>
                  </w14:solidFill>
                </w14:textFill>
              </w:rPr>
              <w:fldChar w:fldCharType="begin"/>
            </w:r>
            <w:r>
              <w:rPr>
                <w:color w:val="000000" w:themeColor="text1"/>
                <w:sz w:val="21"/>
                <w:szCs w:val="21"/>
                <w14:textFill>
                  <w14:solidFill>
                    <w14:schemeClr w14:val="tx1"/>
                  </w14:solidFill>
                </w14:textFill>
              </w:rPr>
              <w:instrText xml:space="preserve"> = 3 \* GB3 </w:instrText>
            </w:r>
            <w:r>
              <w:rPr>
                <w:color w:val="000000" w:themeColor="text1"/>
                <w:sz w:val="21"/>
                <w:szCs w:val="21"/>
                <w14:textFill>
                  <w14:solidFill>
                    <w14:schemeClr w14:val="tx1"/>
                  </w14:solidFill>
                </w14:textFill>
              </w:rPr>
              <w:fldChar w:fldCharType="separate"/>
            </w:r>
            <w:r>
              <w:rPr>
                <w:color w:val="000000" w:themeColor="text1"/>
                <w:sz w:val="21"/>
                <w:szCs w:val="21"/>
                <w14:textFill>
                  <w14:solidFill>
                    <w14:schemeClr w14:val="tx1"/>
                  </w14:solidFill>
                </w14:textFill>
              </w:rPr>
              <w:t>③</w:t>
            </w:r>
            <w:r>
              <w:rPr>
                <w:color w:val="000000" w:themeColor="text1"/>
                <w:sz w:val="21"/>
                <w:szCs w:val="21"/>
                <w14:textFill>
                  <w14:solidFill>
                    <w14:schemeClr w14:val="tx1"/>
                  </w14:solidFill>
                </w14:textFill>
              </w:rPr>
              <w:fldChar w:fldCharType="end"/>
            </w:r>
            <w:r>
              <w:rPr>
                <w:color w:val="000000" w:themeColor="text1"/>
                <w:sz w:val="21"/>
                <w:szCs w:val="21"/>
                <w14:textFill>
                  <w14:solidFill>
                    <w14:schemeClr w14:val="tx1"/>
                  </w14:solidFill>
                </w14:textFill>
              </w:rPr>
              <w:t>定期检查固井质量，发现固井质量不合格应及时采取措施，保证固井质量合格；</w:t>
            </w:r>
            <w:r>
              <w:rPr>
                <w:color w:val="000000" w:themeColor="text1"/>
                <w:sz w:val="21"/>
                <w:szCs w:val="21"/>
                <w14:textFill>
                  <w14:solidFill>
                    <w14:schemeClr w14:val="tx1"/>
                  </w14:solidFill>
                </w14:textFill>
              </w:rPr>
              <w:fldChar w:fldCharType="begin"/>
            </w:r>
            <w:r>
              <w:rPr>
                <w:color w:val="000000" w:themeColor="text1"/>
                <w:sz w:val="21"/>
                <w:szCs w:val="21"/>
                <w14:textFill>
                  <w14:solidFill>
                    <w14:schemeClr w14:val="tx1"/>
                  </w14:solidFill>
                </w14:textFill>
              </w:rPr>
              <w:instrText xml:space="preserve"> = 4 \* GB3 </w:instrText>
            </w:r>
            <w:r>
              <w:rPr>
                <w:color w:val="000000" w:themeColor="text1"/>
                <w:sz w:val="21"/>
                <w:szCs w:val="21"/>
                <w14:textFill>
                  <w14:solidFill>
                    <w14:schemeClr w14:val="tx1"/>
                  </w14:solidFill>
                </w14:textFill>
              </w:rPr>
              <w:fldChar w:fldCharType="separate"/>
            </w:r>
            <w:r>
              <w:rPr>
                <w:color w:val="000000" w:themeColor="text1"/>
                <w:sz w:val="21"/>
                <w:szCs w:val="21"/>
                <w14:textFill>
                  <w14:solidFill>
                    <w14:schemeClr w14:val="tx1"/>
                  </w14:solidFill>
                </w14:textFill>
              </w:rPr>
              <w:t>④</w:t>
            </w:r>
            <w:r>
              <w:rPr>
                <w:color w:val="000000" w:themeColor="text1"/>
                <w:sz w:val="21"/>
                <w:szCs w:val="21"/>
                <w14:textFill>
                  <w14:solidFill>
                    <w14:schemeClr w14:val="tx1"/>
                  </w14:solidFill>
                </w14:textFill>
              </w:rPr>
              <w:fldChar w:fldCharType="end"/>
            </w:r>
            <w:r>
              <w:rPr>
                <w:color w:val="000000" w:themeColor="text1"/>
                <w:sz w:val="21"/>
                <w:szCs w:val="21"/>
                <w14:textFill>
                  <w14:solidFill>
                    <w14:schemeClr w14:val="tx1"/>
                  </w14:solidFill>
                </w14:textFill>
              </w:rPr>
              <w:t>加强各类储罐及放喷管线的日常管理及安全检查；</w:t>
            </w:r>
            <w:r>
              <w:rPr>
                <w:color w:val="000000" w:themeColor="text1"/>
                <w:sz w:val="21"/>
                <w:szCs w:val="21"/>
                <w14:textFill>
                  <w14:solidFill>
                    <w14:schemeClr w14:val="tx1"/>
                  </w14:solidFill>
                </w14:textFill>
              </w:rPr>
              <w:fldChar w:fldCharType="begin"/>
            </w:r>
            <w:r>
              <w:rPr>
                <w:color w:val="000000" w:themeColor="text1"/>
                <w:sz w:val="21"/>
                <w:szCs w:val="21"/>
                <w14:textFill>
                  <w14:solidFill>
                    <w14:schemeClr w14:val="tx1"/>
                  </w14:solidFill>
                </w14:textFill>
              </w:rPr>
              <w:instrText xml:space="preserve"> = 5 \* GB3 </w:instrText>
            </w:r>
            <w:r>
              <w:rPr>
                <w:color w:val="000000" w:themeColor="text1"/>
                <w:sz w:val="21"/>
                <w:szCs w:val="21"/>
                <w14:textFill>
                  <w14:solidFill>
                    <w14:schemeClr w14:val="tx1"/>
                  </w14:solidFill>
                </w14:textFill>
              </w:rPr>
              <w:fldChar w:fldCharType="separate"/>
            </w:r>
            <w:r>
              <w:rPr>
                <w:color w:val="000000" w:themeColor="text1"/>
                <w:sz w:val="21"/>
                <w:szCs w:val="21"/>
                <w14:textFill>
                  <w14:solidFill>
                    <w14:schemeClr w14:val="tx1"/>
                  </w14:solidFill>
                </w14:textFill>
              </w:rPr>
              <w:t>⑤</w:t>
            </w:r>
            <w:r>
              <w:rPr>
                <w:color w:val="000000" w:themeColor="text1"/>
                <w:sz w:val="21"/>
                <w:szCs w:val="21"/>
                <w14:textFill>
                  <w14:solidFill>
                    <w14:schemeClr w14:val="tx1"/>
                  </w14:solidFill>
                </w14:textFill>
              </w:rPr>
              <w:fldChar w:fldCharType="end"/>
            </w:r>
            <w:r>
              <w:rPr>
                <w:color w:val="000000" w:themeColor="text1"/>
                <w:sz w:val="21"/>
                <w:szCs w:val="21"/>
                <w14:textFill>
                  <w14:solidFill>
                    <w14:schemeClr w14:val="tx1"/>
                  </w14:solidFill>
                </w14:textFill>
              </w:rPr>
              <w:t>应将本项目纳入</w:t>
            </w:r>
            <w:r>
              <w:rPr>
                <w:rFonts w:hint="eastAsia"/>
                <w:color w:val="000000" w:themeColor="text1"/>
                <w:sz w:val="21"/>
                <w:szCs w:val="21"/>
                <w14:textFill>
                  <w14:solidFill>
                    <w14:schemeClr w14:val="tx1"/>
                  </w14:solidFill>
                </w14:textFill>
              </w:rPr>
              <w:t>《中国石油天然气股份有限公司吐哈油田分公司准东采油管理区突发环境事件应急预案》</w:t>
            </w:r>
            <w:r>
              <w:rPr>
                <w:color w:val="000000" w:themeColor="text1"/>
                <w:sz w:val="21"/>
                <w:szCs w:val="21"/>
                <w14:textFill>
                  <w14:solidFill>
                    <w14:schemeClr w14:val="tx1"/>
                  </w14:solidFill>
                </w14:textFill>
              </w:rPr>
              <w:t>。</w:t>
            </w:r>
          </w:p>
        </w:tc>
        <w:tc>
          <w:tcPr>
            <w:tcW w:w="1252" w:type="pct"/>
            <w:vAlign w:val="center"/>
          </w:tcPr>
          <w:p w14:paraId="7C9F126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7D92B46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0020380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F20E6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25443D1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环境监测</w:t>
            </w:r>
          </w:p>
        </w:tc>
        <w:tc>
          <w:tcPr>
            <w:tcW w:w="1276" w:type="pct"/>
            <w:vAlign w:val="center"/>
          </w:tcPr>
          <w:p w14:paraId="45E7DDB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52" w:type="pct"/>
            <w:vAlign w:val="center"/>
          </w:tcPr>
          <w:p w14:paraId="6B30965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42041C3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32BB1BA9">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DAEE6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3C2F215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其他</w:t>
            </w:r>
          </w:p>
        </w:tc>
        <w:tc>
          <w:tcPr>
            <w:tcW w:w="1276" w:type="pct"/>
            <w:vAlign w:val="center"/>
          </w:tcPr>
          <w:p w14:paraId="771FB204">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单位应建立环境保护档案，保存施工前后项目区的影像资料，使施工全过程各类污染物产生、去向和各个污染措施及实施情况均记录在案。建设单位对施工单位钻井期间进行环保日常检查并做好记录；完工交井前，建设单位主管部门现场验收，合格后方可记录为完工，做到工完料净场地清，并做好记录。</w:t>
            </w:r>
          </w:p>
        </w:tc>
        <w:tc>
          <w:tcPr>
            <w:tcW w:w="1252" w:type="pct"/>
            <w:vAlign w:val="center"/>
          </w:tcPr>
          <w:p w14:paraId="15FD3D5D">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环境管理制度是否建立并完善，环保机构及人员是否设置到位；是否保留必要的影像资料。</w:t>
            </w:r>
          </w:p>
        </w:tc>
        <w:tc>
          <w:tcPr>
            <w:tcW w:w="931" w:type="pct"/>
            <w:vAlign w:val="center"/>
          </w:tcPr>
          <w:p w14:paraId="2F27E0A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27E1D4D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bl>
    <w:p w14:paraId="59D6C80F">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1FC5DAC4">
      <w:pPr>
        <w:keepNext/>
        <w:overflowPunct w:val="0"/>
        <w:spacing w:before="120" w:after="160" w:line="259" w:lineRule="auto"/>
        <w:ind w:firstLine="0" w:firstLineChars="0"/>
        <w:jc w:val="center"/>
        <w:outlineLvl w:val="0"/>
        <w:rPr>
          <w:rFonts w:eastAsia="黑体"/>
          <w:b/>
          <w:bCs/>
          <w:color w:val="000000" w:themeColor="text1"/>
          <w:kern w:val="44"/>
          <w:sz w:val="30"/>
          <w:szCs w:val="30"/>
          <w14:textFill>
            <w14:solidFill>
              <w14:schemeClr w14:val="tx1"/>
            </w14:solidFill>
          </w14:textFill>
        </w:rPr>
      </w:pPr>
      <w:bookmarkStart w:id="43" w:name="_Toc20585"/>
      <w:r>
        <w:rPr>
          <w:rFonts w:eastAsia="黑体"/>
          <w:b/>
          <w:bCs/>
          <w:color w:val="000000" w:themeColor="text1"/>
          <w:kern w:val="44"/>
          <w:sz w:val="30"/>
          <w:szCs w:val="30"/>
          <w14:textFill>
            <w14:solidFill>
              <w14:schemeClr w14:val="tx1"/>
            </w14:solidFill>
          </w14:textFill>
        </w:rPr>
        <w:t>七、结论</w:t>
      </w:r>
      <w:bookmarkEnd w:id="43"/>
    </w:p>
    <w:tbl>
      <w:tblPr>
        <w:tblStyle w:val="16"/>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65879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vAlign w:val="center"/>
          </w:tcPr>
          <w:p w14:paraId="04665996">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符合国家有关产业政策，项目建设符合达标排放、总量控制及维持环境质量原则；符合风险防范措施要求。通过加强管理，污染物无害处理，及时恢复原貌等措施，在各项污染治理措施实施且确保全部污染物达标排放的前提下，本次项目的建设从环境影响角度而言，项目实施是可行的。</w:t>
            </w:r>
          </w:p>
        </w:tc>
      </w:tr>
    </w:tbl>
    <w:p w14:paraId="1D6456FD">
      <w:pPr>
        <w:widowControl/>
        <w:spacing w:before="192" w:beforeLines="80"/>
        <w:ind w:firstLine="480"/>
        <w:jc w:val="left"/>
        <w:rPr>
          <w:color w:val="000000" w:themeColor="text1"/>
          <w14:textFill>
            <w14:solidFill>
              <w14:schemeClr w14:val="tx1"/>
            </w14:solidFill>
          </w14:textFill>
        </w:rPr>
      </w:pPr>
    </w:p>
    <w:p w14:paraId="0CAE555F">
      <w:pPr>
        <w:ind w:left="0" w:leftChars="0" w:firstLine="0" w:firstLineChars="0"/>
        <w:rPr>
          <w:color w:val="000000" w:themeColor="text1"/>
          <w14:textFill>
            <w14:solidFill>
              <w14:schemeClr w14:val="tx1"/>
            </w14:solidFill>
          </w14:textFill>
        </w:rPr>
      </w:pPr>
    </w:p>
    <w:sectPr>
      <w:pgSz w:w="11906" w:h="16838"/>
      <w:pgMar w:top="1440" w:right="1800" w:bottom="1440" w:left="1800" w:header="851" w:footer="1077"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67666B-E199-4C05-8895-43F893F166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DA45D06-4047-4FBB-8B6C-FE7F028933D7}"/>
  </w:font>
  <w:font w:name="楷体_GB2312">
    <w:panose1 w:val="02010609030101010101"/>
    <w:charset w:val="86"/>
    <w:family w:val="modern"/>
    <w:pitch w:val="default"/>
    <w:sig w:usb0="00000001" w:usb1="080E0000" w:usb2="00000000" w:usb3="00000000" w:csb0="00040000" w:csb1="00000000"/>
    <w:embedRegular r:id="rId3" w:fontKey="{ACA0DF28-0141-423E-A711-8F7B85C29CDB}"/>
  </w:font>
  <w:font w:name="仿宋_GB2312">
    <w:panose1 w:val="02010609030101010101"/>
    <w:charset w:val="86"/>
    <w:family w:val="modern"/>
    <w:pitch w:val="default"/>
    <w:sig w:usb0="00000001" w:usb1="080E0000" w:usb2="00000000" w:usb3="00000000" w:csb0="00040000" w:csb1="00000000"/>
    <w:embedRegular r:id="rId4" w:fontKey="{C8DDAE85-696E-4090-8884-F5059AF509BC}"/>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5" w:fontKey="{69556702-4C56-4976-BD50-660363DF8C1D}"/>
  </w:font>
  <w:font w:name="仿宋">
    <w:panose1 w:val="02010609060101010101"/>
    <w:charset w:val="86"/>
    <w:family w:val="modern"/>
    <w:pitch w:val="default"/>
    <w:sig w:usb0="800002BF" w:usb1="38CF7CFA" w:usb2="00000016" w:usb3="00000000" w:csb0="00040001" w:csb1="00000000"/>
    <w:embedRegular r:id="rId6" w:fontKey="{2A86CD38-2C83-4749-A562-3B2FA8A4909C}"/>
  </w:font>
  <w:font w:name="瀹嬩綋">
    <w:altName w:val="Calibri"/>
    <w:panose1 w:val="00000000000000000000"/>
    <w:charset w:val="00"/>
    <w:family w:val="auto"/>
    <w:pitch w:val="default"/>
    <w:sig w:usb0="00000000" w:usb1="00000000" w:usb2="00000000" w:usb3="00000000" w:csb0="00000000" w:csb1="00000000"/>
    <w:embedRegular r:id="rId7" w:fontKey="{4AD55AF9-BCA6-46CF-9BCE-A26056F1CD5C}"/>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1ABFC">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14A3D">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3D4F6">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7B010">
    <w:pPr>
      <w:pStyle w:val="11"/>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1038E9">
                          <w:pPr>
                            <w:pStyle w:val="11"/>
                            <w:ind w:firstLine="560"/>
                            <w:rPr>
                              <w:rStyle w:val="20"/>
                              <w:rFonts w:hint="eastAsia" w:ascii="宋体" w:hAnsi="宋体"/>
                              <w:sz w:val="28"/>
                              <w:szCs w:val="28"/>
                            </w:rPr>
                          </w:pPr>
                          <w:r>
                            <w:rPr>
                              <w:rStyle w:val="20"/>
                              <w:rFonts w:hint="eastAsia" w:ascii="宋体" w:hAnsi="宋体"/>
                              <w:sz w:val="28"/>
                              <w:szCs w:val="28"/>
                            </w:rPr>
                            <w:t>—</w:t>
                          </w:r>
                          <w:r>
                            <w:rPr>
                              <w:rStyle w:val="20"/>
                              <w:rFonts w:hint="eastAsia" w:ascii="宋体" w:hAnsi="宋体"/>
                              <w:sz w:val="20"/>
                              <w:szCs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34</w:t>
                          </w:r>
                          <w:r>
                            <w:rPr>
                              <w:rFonts w:ascii="宋体" w:hAnsi="宋体"/>
                              <w:sz w:val="26"/>
                              <w:szCs w:val="26"/>
                            </w:rPr>
                            <w:fldChar w:fldCharType="end"/>
                          </w:r>
                          <w:r>
                            <w:rPr>
                              <w:rStyle w:val="20"/>
                              <w:rFonts w:hint="eastAsia" w:ascii="宋体" w:hAnsi="宋体"/>
                              <w:sz w:val="20"/>
                              <w:szCs w:val="20"/>
                            </w:rPr>
                            <w:t xml:space="preserve">  </w:t>
                          </w:r>
                          <w:r>
                            <w:rPr>
                              <w:rStyle w:val="20"/>
                              <w:rFonts w:hint="eastAsia" w:ascii="宋体" w:hAnsi="宋体"/>
                              <w:sz w:val="28"/>
                              <w:szCs w:val="28"/>
                            </w:rPr>
                            <w:t>—</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zXHcGsQBAACQAwAADgAAAAAAAAABACAAAAAeAQAAZHJzL2Uyb0RvYy54bWxQ&#10;SwUGAAAAAAYABgBZAQAAVAUAAAAA&#10;">
              <v:fill on="f" focussize="0,0"/>
              <v:stroke on="f"/>
              <v:imagedata o:title=""/>
              <o:lock v:ext="edit" aspectratio="f"/>
              <v:textbox inset="0mm,0mm,0mm,0mm" style="mso-fit-shape-to-text:t;">
                <w:txbxContent>
                  <w:p w14:paraId="361038E9">
                    <w:pPr>
                      <w:pStyle w:val="11"/>
                      <w:ind w:firstLine="560"/>
                      <w:rPr>
                        <w:rStyle w:val="20"/>
                        <w:rFonts w:hint="eastAsia" w:ascii="宋体" w:hAnsi="宋体"/>
                        <w:sz w:val="28"/>
                        <w:szCs w:val="28"/>
                      </w:rPr>
                    </w:pPr>
                    <w:r>
                      <w:rPr>
                        <w:rStyle w:val="20"/>
                        <w:rFonts w:hint="eastAsia" w:ascii="宋体" w:hAnsi="宋体"/>
                        <w:sz w:val="28"/>
                        <w:szCs w:val="28"/>
                      </w:rPr>
                      <w:t>—</w:t>
                    </w:r>
                    <w:r>
                      <w:rPr>
                        <w:rStyle w:val="20"/>
                        <w:rFonts w:hint="eastAsia" w:ascii="宋体" w:hAnsi="宋体"/>
                        <w:sz w:val="20"/>
                        <w:szCs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34</w:t>
                    </w:r>
                    <w:r>
                      <w:rPr>
                        <w:rFonts w:ascii="宋体" w:hAnsi="宋体"/>
                        <w:sz w:val="26"/>
                        <w:szCs w:val="26"/>
                      </w:rPr>
                      <w:fldChar w:fldCharType="end"/>
                    </w:r>
                    <w:r>
                      <w:rPr>
                        <w:rStyle w:val="20"/>
                        <w:rFonts w:hint="eastAsia" w:ascii="宋体" w:hAnsi="宋体"/>
                        <w:sz w:val="20"/>
                        <w:szCs w:val="20"/>
                      </w:rPr>
                      <w:t xml:space="preserve">  </w:t>
                    </w:r>
                    <w:r>
                      <w:rPr>
                        <w:rStyle w:val="20"/>
                        <w:rFonts w:hint="eastAsia" w:ascii="宋体" w:hAnsi="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518F1">
    <w:pPr>
      <w:pStyle w:val="12"/>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CACFD">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C6485">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0EDFD"/>
    <w:multiLevelType w:val="singleLevel"/>
    <w:tmpl w:val="FBB0EDFD"/>
    <w:lvl w:ilvl="0" w:tentative="0">
      <w:start w:val="1"/>
      <w:numFmt w:val="decimal"/>
      <w:suff w:val="nothing"/>
      <w:lvlText w:val="（%1）"/>
      <w:lvlJc w:val="left"/>
    </w:lvl>
  </w:abstractNum>
  <w:abstractNum w:abstractNumId="1">
    <w:nsid w:val="2C07D16A"/>
    <w:multiLevelType w:val="singleLevel"/>
    <w:tmpl w:val="2C07D16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15BBC"/>
    <w:rsid w:val="32E91BA2"/>
    <w:rsid w:val="421429DA"/>
    <w:rsid w:val="55660F1E"/>
    <w:rsid w:val="7AE15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2"/>
    <w:basedOn w:val="1"/>
    <w:next w:val="1"/>
    <w:qFormat/>
    <w:uiPriority w:val="0"/>
    <w:pPr>
      <w:keepNext/>
      <w:keepLines/>
      <w:spacing w:line="480" w:lineRule="auto"/>
      <w:ind w:firstLine="0" w:firstLineChars="0"/>
      <w:jc w:val="center"/>
      <w:outlineLvl w:val="1"/>
    </w:pPr>
    <w:rPr>
      <w:rFonts w:eastAsia="黑体"/>
      <w:bCs/>
      <w:sz w:val="32"/>
      <w:szCs w:val="32"/>
    </w:rPr>
  </w:style>
  <w:style w:type="paragraph" w:styleId="3">
    <w:name w:val="heading 3"/>
    <w:basedOn w:val="1"/>
    <w:next w:val="1"/>
    <w:qFormat/>
    <w:uiPriority w:val="0"/>
    <w:pPr>
      <w:keepNext/>
      <w:keepLines/>
      <w:jc w:val="left"/>
      <w:outlineLvl w:val="2"/>
    </w:pPr>
    <w:rPr>
      <w:b/>
      <w:bCs/>
      <w:szCs w:val="32"/>
    </w:rPr>
  </w:style>
  <w:style w:type="paragraph" w:styleId="4">
    <w:name w:val="heading 4"/>
    <w:basedOn w:val="1"/>
    <w:next w:val="5"/>
    <w:link w:val="37"/>
    <w:unhideWhenUsed/>
    <w:qFormat/>
    <w:uiPriority w:val="0"/>
    <w:pPr>
      <w:keepNext/>
      <w:keepLines/>
      <w:wordWrap w:val="0"/>
      <w:outlineLvl w:val="3"/>
    </w:pPr>
    <w:rPr>
      <w:b/>
    </w:rPr>
  </w:style>
  <w:style w:type="character" w:default="1" w:styleId="18">
    <w:name w:val="Default Paragraph Font"/>
    <w:semiHidden/>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宋体" w:hAnsi="Calibri"/>
      <w:sz w:val="28"/>
      <w:szCs w:val="22"/>
    </w:rPr>
  </w:style>
  <w:style w:type="paragraph" w:styleId="6">
    <w:name w:val="caption"/>
    <w:basedOn w:val="1"/>
    <w:next w:val="1"/>
    <w:qFormat/>
    <w:uiPriority w:val="0"/>
    <w:pPr>
      <w:spacing w:line="500" w:lineRule="exact"/>
      <w:jc w:val="center"/>
    </w:pPr>
    <w:rPr>
      <w:rFonts w:ascii="黑体" w:hAnsi="黑体" w:eastAsia="黑体"/>
      <w:szCs w:val="20"/>
    </w:rPr>
  </w:style>
  <w:style w:type="paragraph" w:styleId="7">
    <w:name w:val="annotation text"/>
    <w:basedOn w:val="1"/>
    <w:qFormat/>
    <w:uiPriority w:val="0"/>
    <w:pPr>
      <w:jc w:val="left"/>
    </w:pPr>
  </w:style>
  <w:style w:type="paragraph" w:styleId="8">
    <w:name w:val="Body Text"/>
    <w:basedOn w:val="1"/>
    <w:unhideWhenUsed/>
    <w:qFormat/>
    <w:uiPriority w:val="99"/>
    <w:pPr>
      <w:spacing w:after="120"/>
    </w:pPr>
  </w:style>
  <w:style w:type="paragraph" w:styleId="9">
    <w:name w:val="Body Text Indent"/>
    <w:basedOn w:val="1"/>
    <w:qFormat/>
    <w:uiPriority w:val="0"/>
    <w:pPr>
      <w:ind w:firstLine="480"/>
    </w:pPr>
    <w:rPr>
      <w:rFonts w:ascii="楷体_GB2312" w:hAnsi="宋体" w:eastAsia="楷体_GB2312"/>
      <w:sz w:val="30"/>
    </w:rPr>
  </w:style>
  <w:style w:type="paragraph" w:styleId="10">
    <w:name w:val="Block Text"/>
    <w:basedOn w:val="1"/>
    <w:next w:val="1"/>
    <w:qFormat/>
    <w:uiPriority w:val="0"/>
    <w:pPr>
      <w:ind w:left="-70" w:leftChars="-33" w:right="-108" w:rightChars="-51"/>
      <w:jc w:val="center"/>
    </w:pPr>
  </w:style>
  <w:style w:type="paragraph" w:styleId="11">
    <w:name w:val="footer"/>
    <w:basedOn w:val="1"/>
    <w:qFormat/>
    <w:uiPriority w:val="0"/>
    <w:pPr>
      <w:tabs>
        <w:tab w:val="center" w:pos="4153"/>
        <w:tab w:val="right" w:pos="8306"/>
      </w:tabs>
      <w:jc w:val="left"/>
    </w:pPr>
    <w:rPr>
      <w:sz w:val="18"/>
      <w:szCs w:val="18"/>
    </w:rPr>
  </w:style>
  <w:style w:type="paragraph" w:styleId="12">
    <w:name w:val="header"/>
    <w:basedOn w:val="1"/>
    <w:qFormat/>
    <w:uiPriority w:val="0"/>
    <w:pPr>
      <w:pBdr>
        <w:bottom w:val="single" w:color="auto" w:sz="6" w:space="1"/>
      </w:pBdr>
      <w:tabs>
        <w:tab w:val="center" w:pos="4153"/>
        <w:tab w:val="right" w:pos="8306"/>
      </w:tabs>
      <w:jc w:val="center"/>
    </w:pPr>
    <w:rPr>
      <w:sz w:val="18"/>
      <w:szCs w:val="18"/>
    </w:rPr>
  </w:style>
  <w:style w:type="paragraph" w:styleId="13">
    <w:name w:val="List"/>
    <w:basedOn w:val="1"/>
    <w:next w:val="1"/>
    <w:qFormat/>
    <w:uiPriority w:val="0"/>
    <w:pPr>
      <w:spacing w:line="240" w:lineRule="auto"/>
      <w:ind w:left="198" w:hanging="198" w:firstLineChars="0"/>
      <w:contextualSpacing/>
    </w:pPr>
    <w:rPr>
      <w:sz w:val="21"/>
    </w:rPr>
  </w:style>
  <w:style w:type="paragraph" w:styleId="14">
    <w:name w:val="Normal (Web)"/>
    <w:basedOn w:val="1"/>
    <w:qFormat/>
    <w:uiPriority w:val="0"/>
    <w:pPr>
      <w:widowControl/>
      <w:spacing w:before="100" w:beforeAutospacing="1" w:after="100" w:afterAutospacing="1"/>
      <w:jc w:val="left"/>
    </w:pPr>
    <w:rPr>
      <w:rFonts w:ascii="宋体" w:hAnsi="宋体"/>
      <w:kern w:val="0"/>
    </w:rPr>
  </w:style>
  <w:style w:type="paragraph" w:styleId="15">
    <w:name w:val="Body Text First Indent 2"/>
    <w:basedOn w:val="9"/>
    <w:qFormat/>
    <w:uiPriority w:val="0"/>
    <w:pPr>
      <w:ind w:firstLine="420"/>
    </w:p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rPr>
  </w:style>
  <w:style w:type="character" w:styleId="20">
    <w:name w:val="page number"/>
    <w:qFormat/>
    <w:uiPriority w:val="0"/>
  </w:style>
  <w:style w:type="character" w:styleId="21">
    <w:name w:val="annotation reference"/>
    <w:basedOn w:val="18"/>
    <w:qFormat/>
    <w:uiPriority w:val="0"/>
    <w:rPr>
      <w:sz w:val="21"/>
      <w:szCs w:val="21"/>
    </w:rPr>
  </w:style>
  <w:style w:type="paragraph" w:customStyle="1" w:styleId="22">
    <w:name w:val="表格内容"/>
    <w:basedOn w:val="23"/>
    <w:next w:val="1"/>
    <w:autoRedefine/>
    <w:qFormat/>
    <w:uiPriority w:val="0"/>
    <w:rPr>
      <w:rFonts w:ascii="Calibri" w:hAnsi="Calibri"/>
      <w:szCs w:val="22"/>
    </w:rPr>
  </w:style>
  <w:style w:type="paragraph" w:customStyle="1" w:styleId="23">
    <w:name w:val="表头"/>
    <w:basedOn w:val="24"/>
    <w:next w:val="1"/>
    <w:autoRedefine/>
    <w:qFormat/>
    <w:uiPriority w:val="0"/>
    <w:pPr>
      <w:overflowPunct w:val="0"/>
      <w:ind w:firstLine="0" w:firstLineChars="0"/>
      <w:jc w:val="center"/>
    </w:pPr>
    <w:rPr>
      <w:sz w:val="24"/>
    </w:rPr>
  </w:style>
  <w:style w:type="paragraph" w:customStyle="1" w:styleId="24">
    <w:name w:val="表外"/>
    <w:basedOn w:val="1"/>
    <w:autoRedefine/>
    <w:qFormat/>
    <w:uiPriority w:val="0"/>
    <w:rPr>
      <w:b/>
      <w:sz w:val="32"/>
    </w:rPr>
  </w:style>
  <w:style w:type="paragraph" w:customStyle="1" w:styleId="25">
    <w:name w:val="表头图头"/>
    <w:basedOn w:val="1"/>
    <w:next w:val="1"/>
    <w:autoRedefine/>
    <w:qFormat/>
    <w:uiPriority w:val="0"/>
    <w:pPr>
      <w:widowControl/>
      <w:spacing w:line="240" w:lineRule="auto"/>
      <w:ind w:firstLine="0" w:firstLineChars="0"/>
      <w:jc w:val="center"/>
    </w:pPr>
    <w:rPr>
      <w:rFonts w:hint="eastAsia"/>
      <w:b/>
      <w:bCs/>
      <w:sz w:val="21"/>
      <w:szCs w:val="21"/>
    </w:rPr>
  </w:style>
  <w:style w:type="paragraph" w:customStyle="1" w:styleId="26">
    <w:name w:val="表格"/>
    <w:basedOn w:val="13"/>
    <w:next w:val="1"/>
    <w:autoRedefine/>
    <w:qFormat/>
    <w:uiPriority w:val="0"/>
    <w:pPr>
      <w:framePr w:hSpace="180" w:wrap="around" w:vAnchor="text" w:hAnchor="page" w:x="1542" w:y="647"/>
      <w:suppressOverlap/>
      <w:ind w:left="0" w:firstLine="0"/>
      <w:jc w:val="center"/>
    </w:pPr>
    <w:rPr>
      <w:kern w:val="0"/>
      <w:szCs w:val="21"/>
    </w:rPr>
  </w:style>
  <w:style w:type="paragraph" w:customStyle="1" w:styleId="27">
    <w:name w:val="Default"/>
    <w:basedOn w:val="28"/>
    <w:next w:val="1"/>
    <w:autoRedefine/>
    <w:qFormat/>
    <w:uiPriority w:val="0"/>
    <w:pPr>
      <w:autoSpaceDE w:val="0"/>
      <w:autoSpaceDN w:val="0"/>
    </w:pPr>
    <w:rPr>
      <w:rFonts w:ascii="宋体" w:cs="宋体"/>
      <w:sz w:val="24"/>
      <w:szCs w:val="24"/>
    </w:rPr>
  </w:style>
  <w:style w:type="paragraph" w:customStyle="1" w:styleId="28">
    <w:name w:val="1 表头"/>
    <w:basedOn w:val="1"/>
    <w:autoRedefine/>
    <w:qFormat/>
    <w:uiPriority w:val="0"/>
    <w:pPr>
      <w:spacing w:line="240" w:lineRule="auto"/>
      <w:ind w:firstLine="0" w:firstLineChars="0"/>
      <w:jc w:val="center"/>
    </w:pPr>
    <w:rPr>
      <w:b/>
      <w:color w:val="000000"/>
      <w:sz w:val="21"/>
      <w:szCs w:val="21"/>
    </w:rPr>
  </w:style>
  <w:style w:type="paragraph" w:customStyle="1" w:styleId="29">
    <w:name w:val="表头名称"/>
    <w:basedOn w:val="30"/>
    <w:autoRedefine/>
    <w:qFormat/>
    <w:uiPriority w:val="0"/>
    <w:pPr>
      <w:spacing w:line="500" w:lineRule="exact"/>
      <w:ind w:firstLine="200" w:firstLineChars="200"/>
      <w:jc w:val="both"/>
    </w:pPr>
    <w:rPr>
      <w:rFonts w:ascii="Times New Roman" w:eastAsia="宋体"/>
      <w:sz w:val="21"/>
    </w:rPr>
  </w:style>
  <w:style w:type="paragraph" w:customStyle="1" w:styleId="30">
    <w:name w:val="图名"/>
    <w:next w:val="1"/>
    <w:autoRedefine/>
    <w:qFormat/>
    <w:uiPriority w:val="0"/>
    <w:pPr>
      <w:adjustRightInd w:val="0"/>
      <w:snapToGrid w:val="0"/>
      <w:jc w:val="center"/>
    </w:pPr>
    <w:rPr>
      <w:rFonts w:ascii="仿宋_GB2312" w:hAnsi="Times New Roman" w:eastAsia="仿宋_GB2312" w:cs="Times New Roman"/>
      <w:b/>
      <w:bCs/>
      <w:snapToGrid w:val="0"/>
      <w:sz w:val="28"/>
      <w:szCs w:val="24"/>
      <w:lang w:val="en-US" w:eastAsia="zh-CN" w:bidi="ar-SA"/>
    </w:rPr>
  </w:style>
  <w:style w:type="character" w:customStyle="1" w:styleId="31">
    <w:name w:val="font21"/>
    <w:basedOn w:val="18"/>
    <w:qFormat/>
    <w:uiPriority w:val="0"/>
    <w:rPr>
      <w:rFonts w:hint="default" w:ascii="Times New Roman" w:hAnsi="Times New Roman" w:cs="Times New Roman"/>
      <w:color w:val="000000"/>
      <w:sz w:val="22"/>
      <w:szCs w:val="22"/>
      <w:u w:val="none"/>
    </w:rPr>
  </w:style>
  <w:style w:type="paragraph" w:customStyle="1" w:styleId="32">
    <w:name w:val="文本"/>
    <w:basedOn w:val="5"/>
    <w:autoRedefine/>
    <w:qFormat/>
    <w:uiPriority w:val="0"/>
    <w:pPr>
      <w:ind w:firstLine="480"/>
      <w:jc w:val="left"/>
    </w:pPr>
  </w:style>
  <w:style w:type="paragraph" w:customStyle="1" w:styleId="33">
    <w:name w:val="Table Paragraph"/>
    <w:basedOn w:val="1"/>
    <w:qFormat/>
    <w:uiPriority w:val="1"/>
    <w:pPr>
      <w:autoSpaceDE w:val="0"/>
      <w:autoSpaceDN w:val="0"/>
      <w:jc w:val="center"/>
    </w:pPr>
    <w:rPr>
      <w:rFonts w:cs="Arial"/>
      <w:kern w:val="0"/>
      <w:sz w:val="21"/>
      <w:szCs w:val="22"/>
    </w:rPr>
  </w:style>
  <w:style w:type="paragraph" w:customStyle="1" w:styleId="34">
    <w:name w:val="图片"/>
    <w:basedOn w:val="1"/>
    <w:next w:val="5"/>
    <w:qFormat/>
    <w:uiPriority w:val="0"/>
    <w:pPr>
      <w:tabs>
        <w:tab w:val="center" w:pos="4252"/>
      </w:tabs>
      <w:jc w:val="center"/>
    </w:pPr>
    <w:rPr>
      <w:rFonts w:cs="Arial"/>
    </w:rPr>
  </w:style>
  <w:style w:type="paragraph" w:customStyle="1" w:styleId="35">
    <w:name w:val="0文本"/>
    <w:basedOn w:val="1"/>
    <w:autoRedefine/>
    <w:qFormat/>
    <w:uiPriority w:val="0"/>
    <w:pPr>
      <w:ind w:firstLine="200"/>
      <w:contextualSpacing/>
    </w:pPr>
    <w:rPr>
      <w:kern w:val="0"/>
    </w:rPr>
  </w:style>
  <w:style w:type="paragraph" w:customStyle="1" w:styleId="36">
    <w:name w:val="MEL表字-书"/>
    <w:basedOn w:val="1"/>
    <w:qFormat/>
    <w:uiPriority w:val="0"/>
    <w:pPr>
      <w:spacing w:line="240" w:lineRule="exact"/>
      <w:jc w:val="center"/>
    </w:pPr>
    <w:rPr>
      <w:rFonts w:ascii="宋体" w:hAnsi="宋体"/>
      <w:kern w:val="0"/>
      <w:sz w:val="21"/>
      <w:szCs w:val="21"/>
    </w:rPr>
  </w:style>
  <w:style w:type="character" w:customStyle="1" w:styleId="37">
    <w:name w:val="标题 4 字符"/>
    <w:link w:val="4"/>
    <w:autoRedefine/>
    <w:qFormat/>
    <w:uiPriority w:val="0"/>
    <w:rPr>
      <w:b/>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222222"/>
    <w:basedOn w:val="1"/>
    <w:next w:val="1"/>
    <w:qFormat/>
    <w:uiPriority w:val="0"/>
    <w:rPr>
      <w:b/>
    </w:rPr>
  </w:style>
  <w:style w:type="paragraph" w:customStyle="1" w:styleId="40">
    <w:name w:val="表格内"/>
    <w:basedOn w:val="1"/>
    <w:qFormat/>
    <w:uiPriority w:val="0"/>
    <w:pPr>
      <w:widowControl/>
      <w:spacing w:after="200" w:line="360" w:lineRule="exact"/>
      <w:jc w:val="center"/>
    </w:pPr>
    <w:rPr>
      <w:rFonts w:eastAsia="微软雅黑"/>
      <w:snapToGrid w:val="0"/>
      <w:kern w:val="0"/>
      <w:sz w:val="22"/>
      <w:szCs w:val="21"/>
    </w:rPr>
  </w:style>
  <w:style w:type="paragraph" w:customStyle="1" w:styleId="41">
    <w:name w:val="wyc正文"/>
    <w:basedOn w:val="1"/>
    <w:qFormat/>
    <w:uiPriority w:val="0"/>
    <w:pPr>
      <w:ind w:firstLine="480"/>
    </w:pPr>
    <w:rPr>
      <w:szCs w:val="20"/>
    </w:rPr>
  </w:style>
  <w:style w:type="paragraph" w:customStyle="1" w:styleId="42">
    <w:name w:val="表头A"/>
    <w:basedOn w:val="23"/>
    <w:autoRedefine/>
    <w:qFormat/>
    <w:uiPriority w:val="0"/>
    <w:pPr>
      <w:spacing w:after="100" w:line="480" w:lineRule="exact"/>
    </w:pPr>
    <w:rPr>
      <w:rFonts w:ascii="Times New Roman" w:hAnsi="Times New Roman" w:eastAsia="宋体" w:cs="Times New Roman"/>
    </w:rPr>
  </w:style>
  <w:style w:type="paragraph" w:customStyle="1" w:styleId="43">
    <w:name w:val="【表中文字"/>
    <w:basedOn w:val="44"/>
    <w:qFormat/>
    <w:uiPriority w:val="5"/>
    <w:pPr>
      <w:adjustRightInd w:val="0"/>
      <w:ind w:firstLine="0" w:firstLineChars="0"/>
      <w:jc w:val="center"/>
      <w:textAlignment w:val="baseline"/>
    </w:pPr>
    <w:rPr>
      <w:rFonts w:ascii="Times New Roman" w:hAnsi="Times New Roman" w:eastAsia="宋体"/>
      <w:bCs/>
      <w:kern w:val="0"/>
      <w:szCs w:val="21"/>
    </w:rPr>
  </w:style>
  <w:style w:type="paragraph" w:customStyle="1" w:styleId="44">
    <w:name w:val="表样式"/>
    <w:basedOn w:val="45"/>
    <w:qFormat/>
    <w:uiPriority w:val="0"/>
    <w:pPr>
      <w:keepNext w:val="0"/>
      <w:spacing w:before="0" w:beforeLines="0" w:after="0" w:afterLines="0" w:line="240" w:lineRule="auto"/>
    </w:pPr>
    <w:rPr>
      <w:rFonts w:ascii="仿宋_GB2312" w:eastAsia="黑体"/>
      <w:sz w:val="21"/>
    </w:rPr>
  </w:style>
  <w:style w:type="paragraph" w:customStyle="1" w:styleId="45">
    <w:name w:val="表头样式"/>
    <w:basedOn w:val="1"/>
    <w:qFormat/>
    <w:uiPriority w:val="0"/>
    <w:pPr>
      <w:keepNext/>
      <w:spacing w:before="156" w:beforeLines="50" w:after="156" w:afterLines="50" w:line="520" w:lineRule="exact"/>
      <w:ind w:firstLine="280" w:firstLineChars="100"/>
    </w:pPr>
    <w:rPr>
      <w:rFonts w:ascii="宋体" w:hAnsi="宋体"/>
      <w:sz w:val="28"/>
      <w:szCs w:val="28"/>
    </w:rPr>
  </w:style>
  <w:style w:type="paragraph" w:customStyle="1" w:styleId="46">
    <w:name w:val="YJ正文*"/>
    <w:basedOn w:val="1"/>
    <w:autoRedefine/>
    <w:qFormat/>
    <w:uiPriority w:val="0"/>
    <w:pPr>
      <w:spacing w:line="500" w:lineRule="exact"/>
      <w:ind w:firstLine="200"/>
    </w:pPr>
    <w:rPr>
      <w:rFonts w:ascii="宋体" w:hAnsi="宋体"/>
      <w:kern w:val="0"/>
    </w:rPr>
  </w:style>
  <w:style w:type="paragraph" w:customStyle="1" w:styleId="47">
    <w:name w:val="Table Text"/>
    <w:basedOn w:val="1"/>
    <w:unhideWhenUsed/>
    <w:qFormat/>
    <w:uiPriority w:val="0"/>
    <w:pPr>
      <w:spacing w:beforeLines="0" w:afterLines="0"/>
    </w:pPr>
    <w:rPr>
      <w:rFonts w:hint="default"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18947</Words>
  <Characters>19754</Characters>
  <Lines>0</Lines>
  <Paragraphs>0</Paragraphs>
  <TotalTime>7</TotalTime>
  <ScaleCrop>false</ScaleCrop>
  <LinksUpToDate>false</LinksUpToDate>
  <CharactersWithSpaces>19901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2026-08-10T11:19:00Z</dcterms:created>
  <dc:creator>njgh</dc:creator>
  <cp:lastModifiedBy>小麦啾</cp:lastModifiedBy>
  <dcterms:modified xsi:type="dcterms:W3CDTF">2026-08-17T04:08:02Z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0E5F268A110F4B2BB0AD5AD891730CCE_11</vt:lpwstr>
  </property>
  <property fmtid="{D5CDD505-2E9C-101B-9397-08002B2CF9AE}" pid="4" name="KSOTemplateDocerSaveRecord">
    <vt:lpwstr>eyJoZGlkIjoiM2Q5NDlmNDc3N2ZkYzk3ZGJmOTUwNTM0Mzc5MTVlNDMiLCJ1c2VySWQiOiIzMjQ5NjUzODcifQ==</vt:lpwstr>
  </property>
</Properties>
</file>