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48BFE">
      <w:pPr>
        <w:adjustRightInd w:val="0"/>
        <w:snapToGrid w:val="0"/>
        <w:spacing w:line="288" w:lineRule="auto"/>
        <w:ind w:firstLine="1040"/>
        <w:rPr>
          <w:rFonts w:ascii="方正小标宋_GBK" w:eastAsia="方正小标宋_GBK"/>
          <w:bCs/>
          <w:color w:val="0D0D0D" w:themeColor="text1" w:themeTint="F2"/>
          <w:sz w:val="72"/>
          <w:szCs w:val="72"/>
          <w14:textFill>
            <w14:solidFill>
              <w14:schemeClr w14:val="tx1">
                <w14:lumMod w14:val="95000"/>
                <w14:lumOff w14:val="5000"/>
              </w14:schemeClr>
            </w14:solidFill>
          </w14:textFill>
        </w:rPr>
      </w:pPr>
    </w:p>
    <w:p w14:paraId="756B66A3">
      <w:pPr>
        <w:adjustRightInd w:val="0"/>
        <w:snapToGrid w:val="0"/>
        <w:jc w:val="center"/>
        <w:outlineLvl w:val="0"/>
        <w:rPr>
          <w:rFonts w:ascii="方正小标宋_GBK" w:eastAsia="方正小标宋_GBK"/>
          <w:bCs/>
          <w:color w:val="0D0D0D" w:themeColor="text1" w:themeTint="F2"/>
          <w:sz w:val="72"/>
          <w:szCs w:val="72"/>
          <w14:textFill>
            <w14:solidFill>
              <w14:schemeClr w14:val="tx1">
                <w14:lumMod w14:val="95000"/>
                <w14:lumOff w14:val="5000"/>
              </w14:schemeClr>
            </w14:solidFill>
          </w14:textFill>
        </w:rPr>
      </w:pPr>
      <w:r>
        <w:rPr>
          <w:rFonts w:hint="eastAsia" w:ascii="方正小标宋_GBK" w:eastAsia="方正小标宋_GBK"/>
          <w:bCs/>
          <w:color w:val="0D0D0D" w:themeColor="text1" w:themeTint="F2"/>
          <w:sz w:val="72"/>
          <w:szCs w:val="72"/>
          <w14:textFill>
            <w14:solidFill>
              <w14:schemeClr w14:val="tx1">
                <w14:lumMod w14:val="95000"/>
                <w14:lumOff w14:val="5000"/>
              </w14:schemeClr>
            </w14:solidFill>
          </w14:textFill>
        </w:rPr>
        <w:t>建设项目环境影响报告表</w:t>
      </w:r>
    </w:p>
    <w:p w14:paraId="344D737A">
      <w:pPr>
        <w:adjustRightInd w:val="0"/>
        <w:snapToGrid w:val="0"/>
        <w:spacing w:before="192" w:beforeLines="80"/>
        <w:jc w:val="center"/>
        <w:rPr>
          <w:rFonts w:ascii="楷体_GB2312" w:eastAsia="楷体_GB2312"/>
          <w:bCs/>
          <w:color w:val="0D0D0D" w:themeColor="text1" w:themeTint="F2"/>
          <w:sz w:val="48"/>
          <w:szCs w:val="48"/>
          <w14:textFill>
            <w14:solidFill>
              <w14:schemeClr w14:val="tx1">
                <w14:lumMod w14:val="95000"/>
                <w14:lumOff w14:val="5000"/>
              </w14:schemeClr>
            </w14:solidFill>
          </w14:textFill>
        </w:rPr>
      </w:pPr>
      <w:r>
        <w:rPr>
          <w:rFonts w:hint="eastAsia" w:ascii="楷体_GB2312" w:eastAsia="楷体_GB2312"/>
          <w:bCs/>
          <w:color w:val="0D0D0D" w:themeColor="text1" w:themeTint="F2"/>
          <w:sz w:val="48"/>
          <w:szCs w:val="48"/>
          <w14:textFill>
            <w14:solidFill>
              <w14:schemeClr w14:val="tx1">
                <w14:lumMod w14:val="95000"/>
                <w14:lumOff w14:val="5000"/>
              </w14:schemeClr>
            </w14:solidFill>
          </w14:textFill>
        </w:rPr>
        <w:t>（生态影响类）</w:t>
      </w:r>
    </w:p>
    <w:p w14:paraId="660D86B8">
      <w:pPr>
        <w:adjustRightInd w:val="0"/>
        <w:snapToGrid w:val="0"/>
        <w:spacing w:before="192" w:beforeLines="80"/>
        <w:jc w:val="center"/>
        <w:rPr>
          <w:rFonts w:ascii="楷体_GB2312" w:eastAsia="楷体_GB2312"/>
          <w:bCs/>
          <w:color w:val="0D0D0D" w:themeColor="text1" w:themeTint="F2"/>
          <w:sz w:val="40"/>
          <w:szCs w:val="40"/>
          <w14:textFill>
            <w14:solidFill>
              <w14:schemeClr w14:val="tx1">
                <w14:lumMod w14:val="95000"/>
                <w14:lumOff w14:val="5000"/>
              </w14:schemeClr>
            </w14:solidFill>
          </w14:textFill>
        </w:rPr>
      </w:pPr>
      <w:r>
        <w:rPr>
          <w:rFonts w:hint="eastAsia" w:ascii="楷体_GB2312" w:eastAsia="楷体_GB2312"/>
          <w:bCs/>
          <w:color w:val="0D0D0D" w:themeColor="text1" w:themeTint="F2"/>
          <w:sz w:val="40"/>
          <w:szCs w:val="40"/>
          <w14:textFill>
            <w14:solidFill>
              <w14:schemeClr w14:val="tx1">
                <w14:lumMod w14:val="95000"/>
                <w14:lumOff w14:val="5000"/>
              </w14:schemeClr>
            </w14:solidFill>
          </w14:textFill>
        </w:rPr>
        <w:t>（送审版）</w:t>
      </w:r>
    </w:p>
    <w:p w14:paraId="1A53D754">
      <w:pPr>
        <w:ind w:firstLine="1040"/>
        <w:rPr>
          <w:rFonts w:eastAsia="仿宋"/>
          <w:color w:val="0D0D0D" w:themeColor="text1" w:themeTint="F2"/>
          <w:sz w:val="44"/>
          <w:szCs w:val="44"/>
          <w14:textFill>
            <w14:solidFill>
              <w14:schemeClr w14:val="tx1">
                <w14:lumMod w14:val="95000"/>
                <w14:lumOff w14:val="5000"/>
              </w14:schemeClr>
            </w14:solidFill>
          </w14:textFill>
        </w:rPr>
      </w:pPr>
      <w:bookmarkStart w:id="0" w:name="_Hlk57883728"/>
    </w:p>
    <w:p w14:paraId="1D787A59">
      <w:pPr>
        <w:pStyle w:val="14"/>
        <w:rPr>
          <w:color w:val="0D0D0D" w:themeColor="text1" w:themeTint="F2"/>
          <w14:textFill>
            <w14:solidFill>
              <w14:schemeClr w14:val="tx1">
                <w14:lumMod w14:val="95000"/>
                <w14:lumOff w14:val="5000"/>
              </w14:schemeClr>
            </w14:solidFill>
          </w14:textFill>
        </w:rPr>
      </w:pPr>
    </w:p>
    <w:p w14:paraId="31FA7117">
      <w:pPr>
        <w:ind w:firstLine="1040"/>
        <w:rPr>
          <w:rFonts w:eastAsia="仿宋"/>
          <w:color w:val="0D0D0D" w:themeColor="text1" w:themeTint="F2"/>
          <w:sz w:val="44"/>
          <w:szCs w:val="44"/>
          <w14:textFill>
            <w14:solidFill>
              <w14:schemeClr w14:val="tx1">
                <w14:lumMod w14:val="95000"/>
                <w14:lumOff w14:val="5000"/>
              </w14:schemeClr>
            </w14:solidFill>
          </w14:textFill>
        </w:rPr>
      </w:pPr>
    </w:p>
    <w:p w14:paraId="6FD14124">
      <w:pPr>
        <w:ind w:firstLine="1040"/>
        <w:rPr>
          <w:rFonts w:eastAsia="仿宋"/>
          <w:color w:val="0D0D0D" w:themeColor="text1" w:themeTint="F2"/>
          <w:sz w:val="44"/>
          <w:szCs w:val="44"/>
          <w14:textFill>
            <w14:solidFill>
              <w14:schemeClr w14:val="tx1">
                <w14:lumMod w14:val="95000"/>
                <w14:lumOff w14:val="5000"/>
              </w14:schemeClr>
            </w14:solidFill>
          </w14:textFill>
        </w:rPr>
      </w:pPr>
    </w:p>
    <w:p w14:paraId="49BCEE59">
      <w:pPr>
        <w:ind w:firstLine="1040"/>
        <w:rPr>
          <w:rFonts w:eastAsia="仿宋"/>
          <w:color w:val="0D0D0D" w:themeColor="text1" w:themeTint="F2"/>
          <w:sz w:val="44"/>
          <w:szCs w:val="44"/>
          <w14:textFill>
            <w14:solidFill>
              <w14:schemeClr w14:val="tx1">
                <w14:lumMod w14:val="95000"/>
                <w14:lumOff w14:val="5000"/>
              </w14:schemeClr>
            </w14:solidFill>
          </w14:textFill>
        </w:rPr>
      </w:pPr>
    </w:p>
    <w:p w14:paraId="7010B84D">
      <w:pPr>
        <w:ind w:firstLine="1040"/>
        <w:rPr>
          <w:rFonts w:eastAsia="仿宋"/>
          <w:color w:val="0D0D0D" w:themeColor="text1" w:themeTint="F2"/>
          <w:sz w:val="44"/>
          <w:szCs w:val="44"/>
          <w14:textFill>
            <w14:solidFill>
              <w14:schemeClr w14:val="tx1">
                <w14:lumMod w14:val="95000"/>
                <w14:lumOff w14:val="5000"/>
              </w14:schemeClr>
            </w14:solidFill>
          </w14:textFill>
        </w:rPr>
      </w:pPr>
    </w:p>
    <w:p w14:paraId="4C7B585C">
      <w:pPr>
        <w:ind w:firstLine="1040"/>
        <w:rPr>
          <w:rFonts w:eastAsia="仿宋"/>
          <w:color w:val="0D0D0D" w:themeColor="text1" w:themeTint="F2"/>
          <w:sz w:val="44"/>
          <w:szCs w:val="44"/>
          <w14:textFill>
            <w14:solidFill>
              <w14:schemeClr w14:val="tx1">
                <w14:lumMod w14:val="95000"/>
                <w14:lumOff w14:val="5000"/>
              </w14:schemeClr>
            </w14:solidFill>
          </w14:textFill>
        </w:rPr>
      </w:pPr>
    </w:p>
    <w:p w14:paraId="32F99AF6">
      <w:pPr>
        <w:ind w:firstLine="1040"/>
        <w:rPr>
          <w:rFonts w:eastAsia="仿宋"/>
          <w:color w:val="0D0D0D" w:themeColor="text1" w:themeTint="F2"/>
          <w:sz w:val="44"/>
          <w:szCs w:val="44"/>
          <w14:textFill>
            <w14:solidFill>
              <w14:schemeClr w14:val="tx1">
                <w14:lumMod w14:val="95000"/>
                <w14:lumOff w14:val="5000"/>
              </w14:schemeClr>
            </w14:solidFill>
          </w14:textFill>
        </w:rPr>
      </w:pPr>
    </w:p>
    <w:bookmarkEnd w:id="0"/>
    <w:p w14:paraId="2CBAAB88">
      <w:pPr>
        <w:adjustRightInd w:val="0"/>
        <w:snapToGrid w:val="0"/>
        <w:spacing w:line="360" w:lineRule="auto"/>
        <w:ind w:firstLine="640" w:firstLineChars="200"/>
        <w:rPr>
          <w:rFonts w:ascii="仿宋_GB2312" w:eastAsia="仿宋_GB2312"/>
          <w:color w:val="0D0D0D" w:themeColor="text1" w:themeTint="F2"/>
          <w:sz w:val="32"/>
          <w:szCs w:val="32"/>
          <w:u w:val="single"/>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项目名称：</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曙探1井勘探钻探工程 </w:t>
      </w:r>
      <w:r>
        <w:rPr>
          <w:rFonts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  </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               </w:t>
      </w:r>
      <w:r>
        <w:rPr>
          <w:rFonts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  </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 </w:t>
      </w:r>
    </w:p>
    <w:p w14:paraId="1FA1D695">
      <w:pPr>
        <w:adjustRightInd w:val="0"/>
        <w:snapToGrid w:val="0"/>
        <w:spacing w:line="360" w:lineRule="auto"/>
        <w:ind w:firstLine="640" w:firstLineChars="200"/>
        <w:rPr>
          <w:rFonts w:ascii="仿宋_GB2312" w:eastAsia="仿宋_GB2312"/>
          <w:color w:val="0D0D0D" w:themeColor="text1" w:themeTint="F2"/>
          <w:sz w:val="32"/>
          <w:szCs w:val="32"/>
          <w:u w:val="single"/>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建设单位（盖章）：</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中国石油天然气股份有限公司新疆油田分公</w:t>
      </w:r>
    </w:p>
    <w:p w14:paraId="105343EB">
      <w:pPr>
        <w:adjustRightInd w:val="0"/>
        <w:snapToGrid w:val="0"/>
        <w:spacing w:line="360" w:lineRule="auto"/>
        <w:ind w:firstLine="3260" w:firstLineChars="1019"/>
        <w:rPr>
          <w:rFonts w:ascii="仿宋_GB2312" w:eastAsia="仿宋_GB2312"/>
          <w:color w:val="0D0D0D" w:themeColor="text1" w:themeTint="F2"/>
          <w:sz w:val="32"/>
          <w:szCs w:val="32"/>
          <w:u w:val="single"/>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司（中国石油新疆油田分公司勘探事业部） </w:t>
      </w:r>
    </w:p>
    <w:p w14:paraId="65615B19">
      <w:pPr>
        <w:adjustRightInd w:val="0"/>
        <w:snapToGrid w:val="0"/>
        <w:spacing w:line="360" w:lineRule="auto"/>
        <w:ind w:firstLine="640" w:firstLineChars="200"/>
        <w:rPr>
          <w:rFonts w:ascii="仿宋_GB2312" w:eastAsia="仿宋_GB2312"/>
          <w:color w:val="0D0D0D" w:themeColor="text1" w:themeTint="F2"/>
          <w:sz w:val="32"/>
          <w:szCs w:val="32"/>
          <w:u w:val="single"/>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编制日期：</w:t>
      </w:r>
      <w:r>
        <w:rPr>
          <w:rFonts w:ascii="仿宋_GB2312" w:eastAsia="仿宋_GB2312"/>
          <w:color w:val="0D0D0D" w:themeColor="text1" w:themeTint="F2"/>
          <w:sz w:val="32"/>
          <w:szCs w:val="32"/>
          <w:u w:val="single"/>
          <w14:textFill>
            <w14:solidFill>
              <w14:schemeClr w14:val="tx1">
                <w14:lumMod w14:val="95000"/>
                <w14:lumOff w14:val="5000"/>
              </w14:schemeClr>
            </w14:solidFill>
          </w14:textFill>
        </w:rPr>
        <w:t>202</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6年6月 </w:t>
      </w:r>
      <w:r>
        <w:rPr>
          <w:rFonts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                </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             </w:t>
      </w:r>
    </w:p>
    <w:p w14:paraId="62F0A7EB">
      <w:pPr>
        <w:adjustRightInd w:val="0"/>
        <w:snapToGrid w:val="0"/>
        <w:spacing w:line="288" w:lineRule="auto"/>
        <w:ind w:firstLine="1040"/>
        <w:rPr>
          <w:rFonts w:ascii="仿宋_GB2312" w:eastAsia="仿宋_GB2312"/>
          <w:color w:val="0D0D0D" w:themeColor="text1" w:themeTint="F2"/>
          <w:sz w:val="36"/>
          <w:szCs w:val="36"/>
          <w:u w:val="single"/>
          <w14:textFill>
            <w14:solidFill>
              <w14:schemeClr w14:val="tx1">
                <w14:lumMod w14:val="95000"/>
                <w14:lumOff w14:val="5000"/>
              </w14:schemeClr>
            </w14:solidFill>
          </w14:textFill>
        </w:rPr>
      </w:pPr>
    </w:p>
    <w:p w14:paraId="4566DA68">
      <w:pPr>
        <w:adjustRightInd w:val="0"/>
        <w:snapToGrid w:val="0"/>
        <w:spacing w:line="288" w:lineRule="auto"/>
        <w:ind w:firstLine="1040"/>
        <w:rPr>
          <w:rFonts w:ascii="仿宋_GB2312" w:eastAsia="仿宋_GB2312"/>
          <w:color w:val="0D0D0D" w:themeColor="text1" w:themeTint="F2"/>
          <w:sz w:val="36"/>
          <w:szCs w:val="36"/>
          <w14:textFill>
            <w14:solidFill>
              <w14:schemeClr w14:val="tx1">
                <w14:lumMod w14:val="95000"/>
                <w14:lumOff w14:val="5000"/>
              </w14:schemeClr>
            </w14:solidFill>
          </w14:textFill>
        </w:rPr>
      </w:pPr>
    </w:p>
    <w:p w14:paraId="15D5A12C">
      <w:pPr>
        <w:adjustRightInd w:val="0"/>
        <w:snapToGrid w:val="0"/>
        <w:spacing w:line="288" w:lineRule="auto"/>
        <w:ind w:firstLine="1040"/>
        <w:rPr>
          <w:rFonts w:ascii="仿宋_GB2312" w:eastAsia="仿宋_GB2312"/>
          <w:color w:val="0D0D0D" w:themeColor="text1" w:themeTint="F2"/>
          <w:sz w:val="36"/>
          <w:szCs w:val="36"/>
          <w14:textFill>
            <w14:solidFill>
              <w14:schemeClr w14:val="tx1">
                <w14:lumMod w14:val="95000"/>
                <w14:lumOff w14:val="5000"/>
              </w14:schemeClr>
            </w14:solidFill>
          </w14:textFill>
        </w:rPr>
      </w:pPr>
    </w:p>
    <w:p w14:paraId="3F94E336">
      <w:pPr>
        <w:adjustRightInd w:val="0"/>
        <w:snapToGrid w:val="0"/>
        <w:spacing w:line="288" w:lineRule="auto"/>
        <w:ind w:firstLine="1040"/>
        <w:rPr>
          <w:rFonts w:ascii="仿宋_GB2312" w:eastAsia="仿宋_GB2312"/>
          <w:color w:val="0D0D0D" w:themeColor="text1" w:themeTint="F2"/>
          <w:sz w:val="36"/>
          <w:szCs w:val="36"/>
          <w14:textFill>
            <w14:solidFill>
              <w14:schemeClr w14:val="tx1">
                <w14:lumMod w14:val="95000"/>
                <w14:lumOff w14:val="5000"/>
              </w14:schemeClr>
            </w14:solidFill>
          </w14:textFill>
        </w:rPr>
      </w:pPr>
    </w:p>
    <w:p w14:paraId="4DDD5A5F">
      <w:pPr>
        <w:adjustRightInd w:val="0"/>
        <w:snapToGrid w:val="0"/>
        <w:spacing w:line="288" w:lineRule="auto"/>
        <w:ind w:firstLine="1040"/>
        <w:rPr>
          <w:rFonts w:ascii="仿宋_GB2312" w:eastAsia="仿宋_GB2312"/>
          <w:color w:val="0D0D0D" w:themeColor="text1" w:themeTint="F2"/>
          <w:sz w:val="36"/>
          <w:szCs w:val="36"/>
          <w14:textFill>
            <w14:solidFill>
              <w14:schemeClr w14:val="tx1">
                <w14:lumMod w14:val="95000"/>
                <w14:lumOff w14:val="5000"/>
              </w14:schemeClr>
            </w14:solidFill>
          </w14:textFill>
        </w:rPr>
      </w:pPr>
    </w:p>
    <w:p w14:paraId="3FE0BA7D">
      <w:pPr>
        <w:adjustRightInd w:val="0"/>
        <w:spacing w:line="288" w:lineRule="auto"/>
        <w:jc w:val="center"/>
        <w:rPr>
          <w:color w:val="0D0D0D" w:themeColor="text1" w:themeTint="F2"/>
          <w14:textFill>
            <w14:solidFill>
              <w14:schemeClr w14:val="tx1">
                <w14:lumMod w14:val="95000"/>
                <w14:lumOff w14:val="5000"/>
              </w14:schemeClr>
            </w14:solidFill>
          </w14:textFill>
        </w:rPr>
      </w:pPr>
      <w:r>
        <w:rPr>
          <w:rFonts w:hint="eastAsia" w:ascii="楷体_GB2312" w:eastAsia="楷体_GB2312"/>
          <w:color w:val="0D0D0D" w:themeColor="text1" w:themeTint="F2"/>
          <w:sz w:val="36"/>
          <w:szCs w:val="36"/>
          <w14:textFill>
            <w14:solidFill>
              <w14:schemeClr w14:val="tx1">
                <w14:lumMod w14:val="95000"/>
                <w14:lumOff w14:val="5000"/>
              </w14:schemeClr>
            </w14:solidFill>
          </w14:textFill>
        </w:rPr>
        <w:t>中华人民共和国生态环境部制</w:t>
      </w:r>
    </w:p>
    <w:p w14:paraId="2B5F2E4B">
      <w:pPr>
        <w:widowControl/>
        <w:spacing w:line="343" w:lineRule="auto"/>
        <w:rPr>
          <w:color w:val="0D0D0D" w:themeColor="text1" w:themeTint="F2"/>
          <w14:textFill>
            <w14:solidFill>
              <w14:schemeClr w14:val="tx1">
                <w14:lumMod w14:val="95000"/>
                <w14:lumOff w14:val="5000"/>
              </w14:schemeClr>
            </w14:solidFill>
          </w14:textFill>
        </w:rPr>
        <w:sectPr>
          <w:footerReference r:id="rId5" w:type="first"/>
          <w:footerReference r:id="rId3" w:type="default"/>
          <w:footerReference r:id="rId4" w:type="even"/>
          <w:pgSz w:w="11910" w:h="16840"/>
          <w:pgMar w:top="1582" w:right="1247" w:bottom="1242" w:left="1247" w:header="720" w:footer="1055" w:gutter="0"/>
          <w:pgNumType w:start="1"/>
          <w:cols w:space="720" w:num="1"/>
        </w:sectPr>
      </w:pPr>
    </w:p>
    <w:p w14:paraId="7D7FC7C3">
      <w:pPr>
        <w:rPr>
          <w:color w:val="0D0D0D" w:themeColor="text1" w:themeTint="F2"/>
          <w14:textFill>
            <w14:solidFill>
              <w14:schemeClr w14:val="tx1">
                <w14:lumMod w14:val="95000"/>
                <w14:lumOff w14:val="5000"/>
              </w14:schemeClr>
            </w14:solidFill>
          </w14:textFill>
        </w:rPr>
        <w:sectPr>
          <w:pgSz w:w="11906" w:h="16838"/>
          <w:pgMar w:top="1440" w:right="1800" w:bottom="1440" w:left="1800" w:header="851" w:footer="992" w:gutter="0"/>
          <w:cols w:space="425" w:num="1"/>
          <w:docGrid w:type="lines" w:linePitch="312" w:charSpace="0"/>
        </w:sectPr>
      </w:pPr>
      <w:r>
        <w:rPr>
          <w:color w:val="0D0D0D" w:themeColor="text1" w:themeTint="F2"/>
          <w14:textFill>
            <w14:solidFill>
              <w14:schemeClr w14:val="tx1">
                <w14:lumMod w14:val="95000"/>
                <w14:lumOff w14:val="5000"/>
              </w14:schemeClr>
            </w14:solidFill>
          </w14:textFill>
        </w:rPr>
        <w:drawing>
          <wp:inline distT="0" distB="0" distL="0" distR="0">
            <wp:extent cx="5295265" cy="7071360"/>
            <wp:effectExtent l="0" t="0" r="635" b="0"/>
            <wp:docPr id="15139111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91118" name="图片 42"/>
                    <pic:cNvPicPr>
                      <a:picLocks noChangeAspect="1" noChangeArrowheads="1"/>
                    </pic:cNvPicPr>
                  </pic:nvPicPr>
                  <pic:blipFill>
                    <a:blip r:embed="rId8" cstate="print">
                      <a:extLst>
                        <a:ext uri="{28A0092B-C50C-407E-A947-70E740481C1C}">
                          <a14:useLocalDpi xmlns:a14="http://schemas.microsoft.com/office/drawing/2010/main" val="0"/>
                        </a:ext>
                      </a:extLst>
                    </a:blip>
                    <a:srcRect l="6854" t="5830" r="6850" b="12745"/>
                    <a:stretch>
                      <a:fillRect/>
                    </a:stretch>
                  </pic:blipFill>
                  <pic:spPr>
                    <a:xfrm>
                      <a:off x="0" y="0"/>
                      <a:ext cx="5302418" cy="7081349"/>
                    </a:xfrm>
                    <a:prstGeom prst="rect">
                      <a:avLst/>
                    </a:prstGeom>
                    <a:noFill/>
                    <a:ln>
                      <a:noFill/>
                    </a:ln>
                  </pic:spPr>
                </pic:pic>
              </a:graphicData>
            </a:graphic>
          </wp:inline>
        </w:drawing>
      </w:r>
    </w:p>
    <w:p w14:paraId="2A1F7FD9">
      <w:pPr>
        <w:pStyle w:val="2"/>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pPr>
      <w:r>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t>一、建设项目基本情况</w:t>
      </w:r>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04"/>
        <w:gridCol w:w="456"/>
        <w:gridCol w:w="473"/>
        <w:gridCol w:w="463"/>
        <w:gridCol w:w="778"/>
        <w:gridCol w:w="1574"/>
        <w:gridCol w:w="2132"/>
        <w:gridCol w:w="2142"/>
      </w:tblGrid>
      <w:tr w14:paraId="5699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96" w:type="dxa"/>
            <w:gridSpan w:val="4"/>
            <w:vAlign w:val="center"/>
          </w:tcPr>
          <w:p w14:paraId="157872FD">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建设项目名称</w:t>
            </w:r>
          </w:p>
        </w:tc>
        <w:tc>
          <w:tcPr>
            <w:tcW w:w="6626" w:type="dxa"/>
            <w:gridSpan w:val="4"/>
            <w:vAlign w:val="center"/>
          </w:tcPr>
          <w:p w14:paraId="48E00E81">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曙探1井勘探钻探工程</w:t>
            </w:r>
          </w:p>
        </w:tc>
      </w:tr>
      <w:tr w14:paraId="1DC3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96" w:type="dxa"/>
            <w:gridSpan w:val="4"/>
            <w:vAlign w:val="center"/>
          </w:tcPr>
          <w:p w14:paraId="512CBC37">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项目代码</w:t>
            </w:r>
          </w:p>
        </w:tc>
        <w:tc>
          <w:tcPr>
            <w:tcW w:w="6626" w:type="dxa"/>
            <w:gridSpan w:val="4"/>
            <w:vAlign w:val="center"/>
          </w:tcPr>
          <w:p w14:paraId="3C3D7BCC">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无</w:t>
            </w:r>
          </w:p>
        </w:tc>
      </w:tr>
      <w:tr w14:paraId="7CF6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96" w:type="dxa"/>
            <w:gridSpan w:val="4"/>
            <w:vAlign w:val="center"/>
          </w:tcPr>
          <w:p w14:paraId="606C53C4">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spacing w:val="-11"/>
                <w14:textFill>
                  <w14:solidFill>
                    <w14:schemeClr w14:val="tx1">
                      <w14:lumMod w14:val="95000"/>
                      <w14:lumOff w14:val="5000"/>
                    </w14:schemeClr>
                  </w14:solidFill>
                </w14:textFill>
              </w:rPr>
              <w:t>建设单位联系人</w:t>
            </w:r>
          </w:p>
        </w:tc>
        <w:tc>
          <w:tcPr>
            <w:tcW w:w="2352" w:type="dxa"/>
            <w:gridSpan w:val="2"/>
            <w:vAlign w:val="center"/>
          </w:tcPr>
          <w:p w14:paraId="36D67F96">
            <w:pPr>
              <w:snapToGrid w:val="0"/>
              <w:spacing w:line="400" w:lineRule="exact"/>
              <w:jc w:val="center"/>
              <w:rPr>
                <w:rFonts w:hint="eastAsia" w:ascii="宋体" w:hAnsi="宋体" w:cs="宋体"/>
                <w:bCs/>
                <w:color w:val="0D0D0D" w:themeColor="text1" w:themeTint="F2"/>
                <w:spacing w:val="-11"/>
                <w14:textFill>
                  <w14:solidFill>
                    <w14:schemeClr w14:val="tx1">
                      <w14:lumMod w14:val="95000"/>
                      <w14:lumOff w14:val="5000"/>
                    </w14:schemeClr>
                  </w14:solidFill>
                </w14:textFill>
              </w:rPr>
            </w:pPr>
          </w:p>
        </w:tc>
        <w:tc>
          <w:tcPr>
            <w:tcW w:w="2132" w:type="dxa"/>
            <w:vAlign w:val="center"/>
          </w:tcPr>
          <w:p w14:paraId="5DE98138">
            <w:pPr>
              <w:snapToGrid w:val="0"/>
              <w:spacing w:line="400" w:lineRule="exact"/>
              <w:jc w:val="center"/>
              <w:rPr>
                <w:rFonts w:hint="eastAsia" w:ascii="宋体" w:hAnsi="宋体" w:cs="宋体"/>
                <w:bCs/>
                <w:color w:val="0D0D0D" w:themeColor="text1" w:themeTint="F2"/>
                <w:spacing w:val="-11"/>
                <w14:textFill>
                  <w14:solidFill>
                    <w14:schemeClr w14:val="tx1">
                      <w14:lumMod w14:val="95000"/>
                      <w14:lumOff w14:val="5000"/>
                    </w14:schemeClr>
                  </w14:solidFill>
                </w14:textFill>
              </w:rPr>
            </w:pPr>
            <w:r>
              <w:rPr>
                <w:rFonts w:hint="eastAsia" w:ascii="宋体" w:hAnsi="宋体" w:cs="宋体"/>
                <w:bCs/>
                <w:color w:val="0D0D0D" w:themeColor="text1" w:themeTint="F2"/>
                <w:spacing w:val="-11"/>
                <w14:textFill>
                  <w14:solidFill>
                    <w14:schemeClr w14:val="tx1">
                      <w14:lumMod w14:val="95000"/>
                      <w14:lumOff w14:val="5000"/>
                    </w14:schemeClr>
                  </w14:solidFill>
                </w14:textFill>
              </w:rPr>
              <w:t>联系方式</w:t>
            </w:r>
          </w:p>
        </w:tc>
        <w:tc>
          <w:tcPr>
            <w:tcW w:w="2142" w:type="dxa"/>
            <w:vAlign w:val="center"/>
          </w:tcPr>
          <w:p w14:paraId="620F387A">
            <w:pPr>
              <w:snapToGrid w:val="0"/>
              <w:spacing w:line="400" w:lineRule="exact"/>
              <w:jc w:val="center"/>
              <w:rPr>
                <w:rFonts w:hint="eastAsia" w:ascii="宋体" w:hAnsi="宋体" w:cs="宋体"/>
                <w:bCs/>
                <w:color w:val="0D0D0D" w:themeColor="text1" w:themeTint="F2"/>
                <w:spacing w:val="-11"/>
                <w14:textFill>
                  <w14:solidFill>
                    <w14:schemeClr w14:val="tx1">
                      <w14:lumMod w14:val="95000"/>
                      <w14:lumOff w14:val="5000"/>
                    </w14:schemeClr>
                  </w14:solidFill>
                </w14:textFill>
              </w:rPr>
            </w:pPr>
          </w:p>
        </w:tc>
      </w:tr>
      <w:tr w14:paraId="47A2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96" w:type="dxa"/>
            <w:gridSpan w:val="4"/>
            <w:vAlign w:val="center"/>
          </w:tcPr>
          <w:p w14:paraId="1B5F5307">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建设地点</w:t>
            </w:r>
          </w:p>
        </w:tc>
        <w:tc>
          <w:tcPr>
            <w:tcW w:w="6626" w:type="dxa"/>
            <w:gridSpan w:val="4"/>
            <w:vAlign w:val="center"/>
          </w:tcPr>
          <w:p w14:paraId="3300FACD">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新疆维吾尔自治区昌吉回族自治州呼图壁县</w:t>
            </w:r>
            <w:r>
              <w:rPr>
                <w:rFonts w:ascii="宋体" w:hAnsi="宋体" w:cs="宋体"/>
                <w:color w:val="0D0D0D" w:themeColor="text1" w:themeTint="F2"/>
                <w14:textFill>
                  <w14:solidFill>
                    <w14:schemeClr w14:val="tx1">
                      <w14:lumMod w14:val="95000"/>
                      <w14:lumOff w14:val="5000"/>
                    </w14:schemeClr>
                  </w14:solidFill>
                </w14:textFill>
              </w:rPr>
              <w:t>石梯子哈萨克族乡白杨河村</w:t>
            </w:r>
          </w:p>
        </w:tc>
      </w:tr>
      <w:tr w14:paraId="5202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96" w:type="dxa"/>
            <w:gridSpan w:val="4"/>
            <w:vAlign w:val="center"/>
          </w:tcPr>
          <w:p w14:paraId="3A70D3EF">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地理坐标</w:t>
            </w:r>
          </w:p>
        </w:tc>
        <w:tc>
          <w:tcPr>
            <w:tcW w:w="6626" w:type="dxa"/>
            <w:gridSpan w:val="4"/>
            <w:vAlign w:val="center"/>
          </w:tcPr>
          <w:p w14:paraId="157F5C3B">
            <w:pPr>
              <w:adjustRightInd w:val="0"/>
              <w:snapToGrid w:val="0"/>
              <w:spacing w:line="400" w:lineRule="exact"/>
              <w:jc w:val="center"/>
              <w:rPr>
                <w:rFonts w:hint="eastAsia" w:ascii="宋体" w:hAnsi="宋体" w:cs="宋体"/>
                <w:color w:val="0D0D0D" w:themeColor="text1" w:themeTint="F2"/>
                <w:spacing w:val="-17"/>
                <w:highlight w:val="yellow"/>
                <w14:textFill>
                  <w14:solidFill>
                    <w14:schemeClr w14:val="tx1">
                      <w14:lumMod w14:val="95000"/>
                      <w14:lumOff w14:val="5000"/>
                    </w14:schemeClr>
                  </w14:solidFill>
                </w14:textFill>
              </w:rPr>
            </w:pPr>
            <w:r>
              <w:rPr>
                <w:rFonts w:hint="eastAsia" w:ascii="宋体" w:hAnsi="宋体" w:cs="宋体"/>
                <w:color w:val="0D0D0D" w:themeColor="text1" w:themeTint="F2"/>
                <w:spacing w:val="-10"/>
                <w14:textFill>
                  <w14:solidFill>
                    <w14:schemeClr w14:val="tx1">
                      <w14:lumMod w14:val="95000"/>
                      <w14:lumOff w14:val="5000"/>
                    </w14:schemeClr>
                  </w14:solidFill>
                </w14:textFill>
              </w:rPr>
              <w:t>**</w:t>
            </w:r>
          </w:p>
        </w:tc>
      </w:tr>
      <w:tr w14:paraId="4549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96" w:type="dxa"/>
            <w:gridSpan w:val="4"/>
            <w:vAlign w:val="center"/>
          </w:tcPr>
          <w:p w14:paraId="32B47FEF">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建设项目</w:t>
            </w:r>
          </w:p>
          <w:p w14:paraId="519CD083">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行业类别</w:t>
            </w:r>
          </w:p>
        </w:tc>
        <w:tc>
          <w:tcPr>
            <w:tcW w:w="2352" w:type="dxa"/>
            <w:gridSpan w:val="2"/>
            <w:vAlign w:val="center"/>
          </w:tcPr>
          <w:p w14:paraId="50124132">
            <w:pPr>
              <w:adjustRightInd w:val="0"/>
              <w:snapToGrid w:val="0"/>
              <w:spacing w:line="400" w:lineRule="exact"/>
              <w:ind w:left="-62" w:leftChars="-26" w:right="-7" w:rightChars="-3" w:firstLine="24" w:firstLineChars="10"/>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四十六、专业技术服务业99陆地矿产资源地质勘查（含油气资源勘探）</w:t>
            </w:r>
          </w:p>
        </w:tc>
        <w:tc>
          <w:tcPr>
            <w:tcW w:w="2132" w:type="dxa"/>
            <w:vAlign w:val="center"/>
          </w:tcPr>
          <w:p w14:paraId="675BF7A0">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用地面积（m</w:t>
            </w:r>
            <w:r>
              <w:rPr>
                <w:rFonts w:hint="eastAsia" w:ascii="宋体" w:hAnsi="宋体" w:cs="宋体"/>
                <w:color w:val="0D0D0D" w:themeColor="text1" w:themeTint="F2"/>
                <w:vertAlign w:val="superscript"/>
                <w14:textFill>
                  <w14:solidFill>
                    <w14:schemeClr w14:val="tx1">
                      <w14:lumMod w14:val="95000"/>
                      <w14:lumOff w14:val="5000"/>
                    </w14:schemeClr>
                  </w14:solidFill>
                </w14:textFill>
              </w:rPr>
              <w:t>2</w:t>
            </w:r>
            <w:r>
              <w:rPr>
                <w:rFonts w:hint="eastAsia" w:ascii="宋体" w:hAnsi="宋体" w:cs="宋体"/>
                <w:color w:val="0D0D0D" w:themeColor="text1" w:themeTint="F2"/>
                <w14:textFill>
                  <w14:solidFill>
                    <w14:schemeClr w14:val="tx1">
                      <w14:lumMod w14:val="95000"/>
                      <w14:lumOff w14:val="5000"/>
                    </w14:schemeClr>
                  </w14:solidFill>
                </w14:textFill>
              </w:rPr>
              <w:t>）/长度（km）</w:t>
            </w:r>
          </w:p>
        </w:tc>
        <w:tc>
          <w:tcPr>
            <w:tcW w:w="2142" w:type="dxa"/>
            <w:vAlign w:val="center"/>
          </w:tcPr>
          <w:p w14:paraId="4E379482">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26580（临时用地）</w:t>
            </w:r>
          </w:p>
        </w:tc>
      </w:tr>
      <w:tr w14:paraId="63B1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96" w:type="dxa"/>
            <w:gridSpan w:val="4"/>
            <w:vAlign w:val="center"/>
          </w:tcPr>
          <w:p w14:paraId="21A3C3B8">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建设性质</w:t>
            </w:r>
          </w:p>
        </w:tc>
        <w:tc>
          <w:tcPr>
            <w:tcW w:w="2352" w:type="dxa"/>
            <w:gridSpan w:val="2"/>
            <w:vAlign w:val="center"/>
          </w:tcPr>
          <w:p w14:paraId="22982D6E">
            <w:pPr>
              <w:adjustRightInd w:val="0"/>
              <w:snapToGrid w:val="0"/>
              <w:spacing w:line="400" w:lineRule="exact"/>
              <w:jc w:val="left"/>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sym w:font="Wingdings 2" w:char="0052"/>
            </w:r>
            <w:r>
              <w:rPr>
                <w:rFonts w:hint="eastAsia" w:ascii="宋体" w:hAnsi="宋体" w:cs="宋体"/>
                <w:color w:val="0D0D0D" w:themeColor="text1" w:themeTint="F2"/>
                <w14:textFill>
                  <w14:solidFill>
                    <w14:schemeClr w14:val="tx1">
                      <w14:lumMod w14:val="95000"/>
                      <w14:lumOff w14:val="5000"/>
                    </w14:schemeClr>
                  </w14:solidFill>
                </w14:textFill>
              </w:rPr>
              <w:t>新建（迁建）</w:t>
            </w:r>
          </w:p>
          <w:p w14:paraId="4313A8A8">
            <w:pPr>
              <w:adjustRightInd w:val="0"/>
              <w:snapToGrid w:val="0"/>
              <w:spacing w:line="400" w:lineRule="exact"/>
              <w:jc w:val="left"/>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□改建</w:t>
            </w:r>
          </w:p>
          <w:p w14:paraId="643A0ABF">
            <w:pPr>
              <w:adjustRightInd w:val="0"/>
              <w:snapToGrid w:val="0"/>
              <w:spacing w:line="400" w:lineRule="exact"/>
              <w:jc w:val="left"/>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□扩建</w:t>
            </w:r>
          </w:p>
          <w:p w14:paraId="21BB39CC">
            <w:pPr>
              <w:adjustRightInd w:val="0"/>
              <w:snapToGrid w:val="0"/>
              <w:spacing w:line="400" w:lineRule="exact"/>
              <w:jc w:val="left"/>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□技术改造</w:t>
            </w:r>
          </w:p>
        </w:tc>
        <w:tc>
          <w:tcPr>
            <w:tcW w:w="2132" w:type="dxa"/>
            <w:vAlign w:val="center"/>
          </w:tcPr>
          <w:p w14:paraId="26A51CFB">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建设项目</w:t>
            </w:r>
          </w:p>
          <w:p w14:paraId="275582CE">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申报情形</w:t>
            </w:r>
          </w:p>
        </w:tc>
        <w:tc>
          <w:tcPr>
            <w:tcW w:w="2142" w:type="dxa"/>
            <w:vAlign w:val="center"/>
          </w:tcPr>
          <w:p w14:paraId="1687E677">
            <w:pPr>
              <w:adjustRightInd w:val="0"/>
              <w:snapToGrid w:val="0"/>
              <w:spacing w:line="400" w:lineRule="exact"/>
              <w:jc w:val="left"/>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spacing w:val="-11"/>
                <w14:textFill>
                  <w14:solidFill>
                    <w14:schemeClr w14:val="tx1">
                      <w14:lumMod w14:val="95000"/>
                      <w14:lumOff w14:val="5000"/>
                    </w14:schemeClr>
                  </w14:solidFill>
                </w14:textFill>
              </w:rPr>
              <w:sym w:font="Wingdings 2" w:char="0052"/>
            </w:r>
            <w:r>
              <w:rPr>
                <w:rFonts w:hint="eastAsia" w:ascii="宋体" w:hAnsi="宋体" w:cs="宋体"/>
                <w:color w:val="0D0D0D" w:themeColor="text1" w:themeTint="F2"/>
                <w14:textFill>
                  <w14:solidFill>
                    <w14:schemeClr w14:val="tx1">
                      <w14:lumMod w14:val="95000"/>
                      <w14:lumOff w14:val="5000"/>
                    </w14:schemeClr>
                  </w14:solidFill>
                </w14:textFill>
              </w:rPr>
              <w:t>首次申报项目</w:t>
            </w:r>
          </w:p>
          <w:p w14:paraId="76A11D99">
            <w:pPr>
              <w:adjustRightInd w:val="0"/>
              <w:snapToGrid w:val="0"/>
              <w:spacing w:line="400" w:lineRule="exact"/>
              <w:jc w:val="left"/>
              <w:rPr>
                <w:rFonts w:hint="eastAsia" w:ascii="宋体" w:hAnsi="宋体" w:cs="宋体"/>
                <w:color w:val="0D0D0D" w:themeColor="text1" w:themeTint="F2"/>
                <w:spacing w:val="-23"/>
                <w14:textFill>
                  <w14:solidFill>
                    <w14:schemeClr w14:val="tx1">
                      <w14:lumMod w14:val="95000"/>
                      <w14:lumOff w14:val="5000"/>
                    </w14:schemeClr>
                  </w14:solidFill>
                </w14:textFill>
              </w:rPr>
            </w:pPr>
            <w:r>
              <w:rPr>
                <w:rFonts w:hint="eastAsia" w:ascii="宋体" w:hAnsi="宋体" w:cs="宋体"/>
                <w:color w:val="0D0D0D" w:themeColor="text1" w:themeTint="F2"/>
                <w:spacing w:val="-23"/>
                <w14:textFill>
                  <w14:solidFill>
                    <w14:schemeClr w14:val="tx1">
                      <w14:lumMod w14:val="95000"/>
                      <w14:lumOff w14:val="5000"/>
                    </w14:schemeClr>
                  </w14:solidFill>
                </w14:textFill>
              </w:rPr>
              <w:t>□不予批准后再次申报项目</w:t>
            </w:r>
          </w:p>
          <w:p w14:paraId="1DF96388">
            <w:pPr>
              <w:adjustRightInd w:val="0"/>
              <w:snapToGrid w:val="0"/>
              <w:spacing w:line="400" w:lineRule="exact"/>
              <w:jc w:val="left"/>
              <w:rPr>
                <w:rFonts w:hint="eastAsia" w:ascii="宋体" w:hAnsi="宋体" w:cs="宋体"/>
                <w:color w:val="0D0D0D" w:themeColor="text1" w:themeTint="F2"/>
                <w:spacing w:val="-6"/>
                <w14:textFill>
                  <w14:solidFill>
                    <w14:schemeClr w14:val="tx1">
                      <w14:lumMod w14:val="95000"/>
                      <w14:lumOff w14:val="5000"/>
                    </w14:schemeClr>
                  </w14:solidFill>
                </w14:textFill>
              </w:rPr>
            </w:pPr>
            <w:r>
              <w:rPr>
                <w:rFonts w:hint="eastAsia" w:ascii="宋体" w:hAnsi="宋体" w:cs="宋体"/>
                <w:color w:val="0D0D0D" w:themeColor="text1" w:themeTint="F2"/>
                <w:spacing w:val="-6"/>
                <w14:textFill>
                  <w14:solidFill>
                    <w14:schemeClr w14:val="tx1">
                      <w14:lumMod w14:val="95000"/>
                      <w14:lumOff w14:val="5000"/>
                    </w14:schemeClr>
                  </w14:solidFill>
                </w14:textFill>
              </w:rPr>
              <w:t>□超五年重新审核项目</w:t>
            </w:r>
          </w:p>
          <w:p w14:paraId="036C1015">
            <w:pPr>
              <w:adjustRightInd w:val="0"/>
              <w:snapToGrid w:val="0"/>
              <w:spacing w:line="400" w:lineRule="exact"/>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spacing w:val="-23"/>
                <w14:textFill>
                  <w14:solidFill>
                    <w14:schemeClr w14:val="tx1">
                      <w14:lumMod w14:val="95000"/>
                      <w14:lumOff w14:val="5000"/>
                    </w14:schemeClr>
                  </w14:solidFill>
                </w14:textFill>
              </w:rPr>
              <w:t>□</w:t>
            </w:r>
            <w:r>
              <w:rPr>
                <w:rFonts w:hint="eastAsia" w:ascii="宋体" w:hAnsi="宋体" w:cs="宋体"/>
                <w:color w:val="0D0D0D" w:themeColor="text1" w:themeTint="F2"/>
                <w:spacing w:val="-11"/>
                <w14:textFill>
                  <w14:solidFill>
                    <w14:schemeClr w14:val="tx1">
                      <w14:lumMod w14:val="95000"/>
                      <w14:lumOff w14:val="5000"/>
                    </w14:schemeClr>
                  </w14:solidFill>
                </w14:textFill>
              </w:rPr>
              <w:t>重大变动重新报批项目</w:t>
            </w:r>
          </w:p>
        </w:tc>
      </w:tr>
      <w:tr w14:paraId="7BFE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96" w:type="dxa"/>
            <w:gridSpan w:val="4"/>
            <w:vAlign w:val="center"/>
          </w:tcPr>
          <w:p w14:paraId="3174E533">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项目审批（核准/备案）部门</w:t>
            </w:r>
          </w:p>
        </w:tc>
        <w:tc>
          <w:tcPr>
            <w:tcW w:w="2352" w:type="dxa"/>
            <w:gridSpan w:val="2"/>
            <w:vAlign w:val="center"/>
          </w:tcPr>
          <w:p w14:paraId="6C89925E">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无</w:t>
            </w:r>
          </w:p>
        </w:tc>
        <w:tc>
          <w:tcPr>
            <w:tcW w:w="2132" w:type="dxa"/>
            <w:vAlign w:val="center"/>
          </w:tcPr>
          <w:p w14:paraId="74C10CDE">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项目审批（核准/备案）文号</w:t>
            </w:r>
          </w:p>
        </w:tc>
        <w:tc>
          <w:tcPr>
            <w:tcW w:w="2142" w:type="dxa"/>
            <w:vAlign w:val="center"/>
          </w:tcPr>
          <w:p w14:paraId="2D179011">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无</w:t>
            </w:r>
          </w:p>
        </w:tc>
      </w:tr>
      <w:tr w14:paraId="1C9C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1896" w:type="dxa"/>
            <w:gridSpan w:val="4"/>
            <w:vAlign w:val="center"/>
          </w:tcPr>
          <w:p w14:paraId="047BEC7C">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总投资（万元）</w:t>
            </w:r>
          </w:p>
        </w:tc>
        <w:tc>
          <w:tcPr>
            <w:tcW w:w="2352" w:type="dxa"/>
            <w:gridSpan w:val="2"/>
            <w:vAlign w:val="center"/>
          </w:tcPr>
          <w:p w14:paraId="212BF40A">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15000</w:t>
            </w:r>
          </w:p>
        </w:tc>
        <w:tc>
          <w:tcPr>
            <w:tcW w:w="2132" w:type="dxa"/>
            <w:vAlign w:val="center"/>
          </w:tcPr>
          <w:p w14:paraId="1A320824">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环保投资（万元）</w:t>
            </w:r>
          </w:p>
        </w:tc>
        <w:tc>
          <w:tcPr>
            <w:tcW w:w="2142" w:type="dxa"/>
            <w:vAlign w:val="center"/>
          </w:tcPr>
          <w:p w14:paraId="0C6F159D">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237</w:t>
            </w:r>
          </w:p>
        </w:tc>
      </w:tr>
      <w:tr w14:paraId="1EAA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96" w:type="dxa"/>
            <w:gridSpan w:val="4"/>
            <w:vAlign w:val="center"/>
          </w:tcPr>
          <w:p w14:paraId="47A10DA4">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环保投资占比（%）</w:t>
            </w:r>
          </w:p>
        </w:tc>
        <w:tc>
          <w:tcPr>
            <w:tcW w:w="2352" w:type="dxa"/>
            <w:gridSpan w:val="2"/>
            <w:vAlign w:val="center"/>
          </w:tcPr>
          <w:p w14:paraId="0895375B">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1.58</w:t>
            </w:r>
          </w:p>
        </w:tc>
        <w:tc>
          <w:tcPr>
            <w:tcW w:w="2132" w:type="dxa"/>
            <w:vAlign w:val="center"/>
          </w:tcPr>
          <w:p w14:paraId="5F794B50">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施工工期</w:t>
            </w:r>
          </w:p>
        </w:tc>
        <w:tc>
          <w:tcPr>
            <w:tcW w:w="2142" w:type="dxa"/>
            <w:vAlign w:val="center"/>
          </w:tcPr>
          <w:p w14:paraId="4B4B312D">
            <w:pPr>
              <w:adjustRightInd w:val="0"/>
              <w:snapToGrid w:val="0"/>
              <w:spacing w:line="400" w:lineRule="exact"/>
              <w:rPr>
                <w:rFonts w:hint="eastAsia" w:ascii="宋体" w:hAnsi="宋体" w:cs="宋体"/>
                <w:color w:val="0D0D0D" w:themeColor="text1" w:themeTint="F2"/>
                <w:spacing w:val="-4"/>
                <w14:textFill>
                  <w14:solidFill>
                    <w14:schemeClr w14:val="tx1">
                      <w14:lumMod w14:val="95000"/>
                      <w14:lumOff w14:val="5000"/>
                    </w14:schemeClr>
                  </w14:solidFill>
                </w14:textFill>
              </w:rPr>
            </w:pPr>
            <w:r>
              <w:rPr>
                <w:rFonts w:hint="eastAsia" w:ascii="宋体" w:hAnsi="宋体" w:cs="宋体"/>
                <w:color w:val="0D0D0D" w:themeColor="text1" w:themeTint="F2"/>
                <w:spacing w:val="-8"/>
                <w14:textFill>
                  <w14:solidFill>
                    <w14:schemeClr w14:val="tx1">
                      <w14:lumMod w14:val="95000"/>
                      <w14:lumOff w14:val="5000"/>
                    </w14:schemeClr>
                  </w14:solidFill>
                </w14:textFill>
              </w:rPr>
              <w:t>钻井期246天，试油期180天</w:t>
            </w:r>
            <w:r>
              <w:rPr>
                <w:rFonts w:hint="eastAsia" w:ascii="宋体" w:hAnsi="宋体" w:cs="宋体"/>
                <w:color w:val="0D0D0D" w:themeColor="text1" w:themeTint="F2"/>
                <w:spacing w:val="-4"/>
                <w14:textFill>
                  <w14:solidFill>
                    <w14:schemeClr w14:val="tx1">
                      <w14:lumMod w14:val="95000"/>
                      <w14:lumOff w14:val="5000"/>
                    </w14:schemeClr>
                  </w14:solidFill>
                </w14:textFill>
              </w:rPr>
              <w:t>。</w:t>
            </w:r>
          </w:p>
        </w:tc>
      </w:tr>
      <w:tr w14:paraId="315E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96" w:type="dxa"/>
            <w:gridSpan w:val="4"/>
            <w:vAlign w:val="center"/>
          </w:tcPr>
          <w:p w14:paraId="096BDA73">
            <w:pPr>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是否开工建设</w:t>
            </w:r>
          </w:p>
        </w:tc>
        <w:tc>
          <w:tcPr>
            <w:tcW w:w="6626" w:type="dxa"/>
            <w:gridSpan w:val="4"/>
            <w:vAlign w:val="center"/>
          </w:tcPr>
          <w:p w14:paraId="09A82AEC">
            <w:pPr>
              <w:adjustRightInd w:val="0"/>
              <w:snapToGrid w:val="0"/>
              <w:spacing w:line="400" w:lineRule="exact"/>
              <w:ind w:firstLine="105"/>
              <w:jc w:val="left"/>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sym w:font="Wingdings 2" w:char="0052"/>
            </w:r>
            <w:r>
              <w:rPr>
                <w:rFonts w:hint="eastAsia" w:ascii="宋体" w:hAnsi="宋体" w:cs="宋体"/>
                <w:color w:val="0D0D0D" w:themeColor="text1" w:themeTint="F2"/>
                <w14:textFill>
                  <w14:solidFill>
                    <w14:schemeClr w14:val="tx1">
                      <w14:lumMod w14:val="95000"/>
                      <w14:lumOff w14:val="5000"/>
                    </w14:schemeClr>
                  </w14:solidFill>
                </w14:textFill>
              </w:rPr>
              <w:t>否</w:t>
            </w:r>
          </w:p>
          <w:p w14:paraId="13835B9B">
            <w:pPr>
              <w:adjustRightInd w:val="0"/>
              <w:snapToGrid w:val="0"/>
              <w:spacing w:line="400" w:lineRule="exact"/>
              <w:ind w:firstLine="92"/>
              <w:jc w:val="left"/>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□是：</w:t>
            </w:r>
            <w:r>
              <w:rPr>
                <w:rFonts w:hint="eastAsia" w:ascii="宋体" w:hAnsi="宋体" w:cs="宋体"/>
                <w:color w:val="0D0D0D" w:themeColor="text1" w:themeTint="F2"/>
                <w:u w:val="single"/>
                <w14:textFill>
                  <w14:solidFill>
                    <w14:schemeClr w14:val="tx1">
                      <w14:lumMod w14:val="95000"/>
                      <w14:lumOff w14:val="5000"/>
                    </w14:schemeClr>
                  </w14:solidFill>
                </w14:textFill>
              </w:rPr>
              <w:t xml:space="preserve">                             </w:t>
            </w:r>
          </w:p>
        </w:tc>
      </w:tr>
      <w:tr w14:paraId="507C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trPr>
        <w:tc>
          <w:tcPr>
            <w:tcW w:w="1896" w:type="dxa"/>
            <w:gridSpan w:val="4"/>
            <w:vAlign w:val="center"/>
          </w:tcPr>
          <w:p w14:paraId="7E781406">
            <w:pPr>
              <w:autoSpaceDE w:val="0"/>
              <w:autoSpaceDN w:val="0"/>
              <w:adjustRightInd w:val="0"/>
              <w:snapToGrid w:val="0"/>
              <w:spacing w:line="30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r>
              <w:rPr>
                <w:rFonts w:hint="eastAsia" w:ascii="宋体" w:hAnsi="宋体" w:cs="宋体"/>
                <w:color w:val="0D0D0D" w:themeColor="text1" w:themeTint="F2"/>
                <w:kern w:val="0"/>
                <w14:textFill>
                  <w14:solidFill>
                    <w14:schemeClr w14:val="tx1">
                      <w14:lumMod w14:val="95000"/>
                      <w14:lumOff w14:val="5000"/>
                    </w14:schemeClr>
                  </w14:solidFill>
                </w14:textFill>
              </w:rPr>
              <w:t>专项评价</w:t>
            </w:r>
          </w:p>
          <w:p w14:paraId="5FA5225D">
            <w:pPr>
              <w:autoSpaceDE w:val="0"/>
              <w:autoSpaceDN w:val="0"/>
              <w:adjustRightInd w:val="0"/>
              <w:snapToGrid w:val="0"/>
              <w:spacing w:line="3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kern w:val="0"/>
                <w14:textFill>
                  <w14:solidFill>
                    <w14:schemeClr w14:val="tx1">
                      <w14:lumMod w14:val="95000"/>
                      <w14:lumOff w14:val="5000"/>
                    </w14:schemeClr>
                  </w14:solidFill>
                </w14:textFill>
              </w:rPr>
              <w:t>设置情况</w:t>
            </w:r>
          </w:p>
        </w:tc>
        <w:tc>
          <w:tcPr>
            <w:tcW w:w="6626" w:type="dxa"/>
            <w:gridSpan w:val="4"/>
            <w:vAlign w:val="center"/>
          </w:tcPr>
          <w:p w14:paraId="5D24311C">
            <w:pPr>
              <w:autoSpaceDE w:val="0"/>
              <w:autoSpaceDN w:val="0"/>
              <w:adjustRightInd w:val="0"/>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kern w:val="0"/>
                <w14:textFill>
                  <w14:solidFill>
                    <w14:schemeClr w14:val="tx1">
                      <w14:lumMod w14:val="95000"/>
                      <w14:lumOff w14:val="5000"/>
                    </w14:schemeClr>
                  </w14:solidFill>
                </w14:textFill>
              </w:rPr>
              <w:t>无</w:t>
            </w:r>
          </w:p>
        </w:tc>
      </w:tr>
      <w:tr w14:paraId="2242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896" w:type="dxa"/>
            <w:gridSpan w:val="4"/>
            <w:vAlign w:val="center"/>
          </w:tcPr>
          <w:p w14:paraId="636419D1">
            <w:pPr>
              <w:autoSpaceDE w:val="0"/>
              <w:autoSpaceDN w:val="0"/>
              <w:adjustRightInd w:val="0"/>
              <w:snapToGrid w:val="0"/>
              <w:spacing w:line="3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规划情况</w:t>
            </w:r>
          </w:p>
        </w:tc>
        <w:tc>
          <w:tcPr>
            <w:tcW w:w="6626" w:type="dxa"/>
            <w:gridSpan w:val="4"/>
            <w:vAlign w:val="center"/>
          </w:tcPr>
          <w:p w14:paraId="371461D5">
            <w:pPr>
              <w:snapToGrid w:val="0"/>
              <w:spacing w:line="400" w:lineRule="exact"/>
              <w:jc w:val="left"/>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规划名称：《新疆油田公司“十四五”发展规划》。</w:t>
            </w:r>
          </w:p>
          <w:p w14:paraId="23F9FC13">
            <w:pPr>
              <w:snapToGrid w:val="0"/>
              <w:spacing w:line="400" w:lineRule="exact"/>
              <w:jc w:val="left"/>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审批机关：该规划为油田内部规划，无审批机关。</w:t>
            </w:r>
          </w:p>
          <w:p w14:paraId="123F523A">
            <w:pPr>
              <w:snapToGrid w:val="0"/>
              <w:spacing w:line="400" w:lineRule="exact"/>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审批文件名称及文号：该规划为油田内部规划，无审批文号。</w:t>
            </w:r>
          </w:p>
        </w:tc>
      </w:tr>
      <w:tr w14:paraId="7561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96" w:type="dxa"/>
            <w:gridSpan w:val="4"/>
            <w:vAlign w:val="center"/>
          </w:tcPr>
          <w:p w14:paraId="60A17B4A">
            <w:pPr>
              <w:autoSpaceDE w:val="0"/>
              <w:autoSpaceDN w:val="0"/>
              <w:adjustRightInd w:val="0"/>
              <w:snapToGrid w:val="0"/>
              <w:spacing w:line="3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规划环境影响</w:t>
            </w:r>
          </w:p>
          <w:p w14:paraId="2E039EAD">
            <w:pPr>
              <w:autoSpaceDE w:val="0"/>
              <w:autoSpaceDN w:val="0"/>
              <w:adjustRightInd w:val="0"/>
              <w:snapToGrid w:val="0"/>
              <w:spacing w:line="3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评价情况</w:t>
            </w:r>
          </w:p>
        </w:tc>
        <w:tc>
          <w:tcPr>
            <w:tcW w:w="6626" w:type="dxa"/>
            <w:gridSpan w:val="4"/>
            <w:vAlign w:val="center"/>
          </w:tcPr>
          <w:p w14:paraId="5BEB0FB0">
            <w:pPr>
              <w:snapToGrid w:val="0"/>
              <w:spacing w:line="400" w:lineRule="exact"/>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规划环评文件名称：《新疆油田公司“十四五”发展规划环境影响报告书》。</w:t>
            </w:r>
          </w:p>
          <w:p w14:paraId="63C5BFA8">
            <w:pPr>
              <w:snapToGrid w:val="0"/>
              <w:spacing w:line="400" w:lineRule="exact"/>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审查机关：新疆维吾尔自治区生态环境厅。</w:t>
            </w:r>
          </w:p>
          <w:p w14:paraId="34567F60">
            <w:pPr>
              <w:snapToGrid w:val="0"/>
              <w:spacing w:line="400" w:lineRule="exact"/>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审查文件名称及文号：关于《新疆油田公司“十四五”发展规划环境影响报告书》的审查意见（新环审〔2022〕252号）。</w:t>
            </w:r>
          </w:p>
        </w:tc>
      </w:tr>
      <w:tr w14:paraId="1820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trPr>
        <w:tc>
          <w:tcPr>
            <w:tcW w:w="1433" w:type="dxa"/>
            <w:gridSpan w:val="3"/>
            <w:vAlign w:val="center"/>
          </w:tcPr>
          <w:p w14:paraId="33290696">
            <w:pPr>
              <w:autoSpaceDE w:val="0"/>
              <w:autoSpaceDN w:val="0"/>
              <w:adjustRightInd w:val="0"/>
              <w:snapToGrid w:val="0"/>
              <w:spacing w:line="3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kern w:val="0"/>
                <w14:textFill>
                  <w14:solidFill>
                    <w14:schemeClr w14:val="tx1">
                      <w14:lumMod w14:val="95000"/>
                      <w14:lumOff w14:val="5000"/>
                    </w14:schemeClr>
                  </w14:solidFill>
                </w14:textFill>
              </w:rPr>
              <w:t>规划及</w:t>
            </w:r>
            <w:r>
              <w:rPr>
                <w:rFonts w:hint="eastAsia" w:ascii="宋体" w:hAnsi="宋体" w:cs="宋体"/>
                <w:color w:val="0D0D0D" w:themeColor="text1" w:themeTint="F2"/>
                <w14:textFill>
                  <w14:solidFill>
                    <w14:schemeClr w14:val="tx1">
                      <w14:lumMod w14:val="95000"/>
                      <w14:lumOff w14:val="5000"/>
                    </w14:schemeClr>
                  </w14:solidFill>
                </w14:textFill>
              </w:rPr>
              <w:t>规划环境影响评价</w:t>
            </w:r>
            <w:r>
              <w:rPr>
                <w:rFonts w:hint="eastAsia" w:ascii="宋体" w:hAnsi="宋体" w:cs="宋体"/>
                <w:color w:val="0D0D0D" w:themeColor="text1" w:themeTint="F2"/>
                <w:kern w:val="0"/>
                <w14:textFill>
                  <w14:solidFill>
                    <w14:schemeClr w14:val="tx1">
                      <w14:lumMod w14:val="95000"/>
                      <w14:lumOff w14:val="5000"/>
                    </w14:schemeClr>
                  </w14:solidFill>
                </w14:textFill>
              </w:rPr>
              <w:t>符合性分析</w:t>
            </w:r>
          </w:p>
        </w:tc>
        <w:tc>
          <w:tcPr>
            <w:tcW w:w="7089" w:type="dxa"/>
            <w:gridSpan w:val="5"/>
            <w:vAlign w:val="center"/>
          </w:tcPr>
          <w:p w14:paraId="47EE6F26">
            <w:pPr>
              <w:pStyle w:val="38"/>
              <w:spacing w:line="400" w:lineRule="exact"/>
              <w:ind w:firstLine="482"/>
              <w:rPr>
                <w:rFonts w:hint="eastAsia"/>
                <w:b/>
                <w:bCs/>
                <w:color w:val="0D0D0D" w:themeColor="text1" w:themeTint="F2"/>
                <w14:textFill>
                  <w14:solidFill>
                    <w14:schemeClr w14:val="tx1">
                      <w14:lumMod w14:val="95000"/>
                      <w14:lumOff w14:val="5000"/>
                    </w14:schemeClr>
                  </w14:solidFill>
                </w14:textFill>
              </w:rPr>
            </w:pPr>
            <w:bookmarkStart w:id="1" w:name="OLE_LINK19"/>
            <w:r>
              <w:rPr>
                <w:rFonts w:hint="eastAsia"/>
                <w:b/>
                <w:bCs/>
                <w:color w:val="0D0D0D" w:themeColor="text1" w:themeTint="F2"/>
                <w14:textFill>
                  <w14:solidFill>
                    <w14:schemeClr w14:val="tx1">
                      <w14:lumMod w14:val="95000"/>
                      <w14:lumOff w14:val="5000"/>
                    </w14:schemeClr>
                  </w14:solidFill>
                </w14:textFill>
              </w:rPr>
              <w:t>1、与《新疆油田公司“十四五”发展规划》及规划环评的符合性分析</w:t>
            </w:r>
          </w:p>
          <w:bookmarkEnd w:id="1"/>
          <w:p w14:paraId="212AE9A9">
            <w:pPr>
              <w:pStyle w:val="38"/>
              <w:spacing w:line="400" w:lineRule="exact"/>
              <w:ind w:firstLine="480"/>
              <w:contextualSpacing/>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本次部署的曙探1井位于《新疆油田公司“十四五”发展规划》中的南缘片区，符合规划要求。规划环评要求对产生的污染物采取相应的治理措施，对实施过程中产生的生态影响采取有效的减缓措施。本项目属于陆地石油勘探，对施工期产生的“三废”、噪声及生态影响均提出了相应的治理或减缓措施，符合规划及规划环评结论相关要求。具体如下：</w:t>
            </w:r>
          </w:p>
          <w:p w14:paraId="5FBE0C36">
            <w:pPr>
              <w:pStyle w:val="8"/>
              <w:rPr>
                <w:rFonts w:hint="eastAsia"/>
                <w:color w:val="0D0D0D" w:themeColor="text1" w:themeTint="F2"/>
                <w14:textFill>
                  <w14:solidFill>
                    <w14:schemeClr w14:val="tx1">
                      <w14:lumMod w14:val="95000"/>
                      <w14:lumOff w14:val="5000"/>
                    </w14:schemeClr>
                  </w14:solidFill>
                </w14:textFill>
              </w:rPr>
            </w:pPr>
            <w:bookmarkStart w:id="2" w:name="OLE_LINK5"/>
            <w:r>
              <w:rPr>
                <w:rFonts w:hint="eastAsia"/>
                <w:color w:val="0D0D0D" w:themeColor="text1" w:themeTint="F2"/>
                <w14:textFill>
                  <w14:solidFill>
                    <w14:schemeClr w14:val="tx1">
                      <w14:lumMod w14:val="95000"/>
                      <w14:lumOff w14:val="5000"/>
                    </w14:schemeClr>
                  </w14:solidFill>
                </w14:textFill>
              </w:rPr>
              <w:t>表</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SEQ 表 \* ARABIC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1</w:t>
            </w:r>
            <w:r>
              <w:rPr>
                <w:rFonts w:hint="eastAsia"/>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 xml:space="preserve">    </w:t>
            </w:r>
            <w:bookmarkEnd w:id="2"/>
            <w:r>
              <w:rPr>
                <w:rFonts w:hint="eastAsia"/>
                <w:color w:val="0D0D0D" w:themeColor="text1" w:themeTint="F2"/>
                <w14:textFill>
                  <w14:solidFill>
                    <w14:schemeClr w14:val="tx1">
                      <w14:lumMod w14:val="95000"/>
                      <w14:lumOff w14:val="5000"/>
                    </w14:schemeClr>
                  </w14:solidFill>
                </w14:textFill>
              </w:rPr>
              <w:t>与《新疆油田公司“十四五”发展规划环境影响报告书》污染防治措施的符合性分析</w:t>
            </w:r>
          </w:p>
          <w:tbl>
            <w:tblPr>
              <w:tblStyle w:val="10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459"/>
              <w:gridCol w:w="2908"/>
              <w:gridCol w:w="2920"/>
              <w:gridCol w:w="792"/>
            </w:tblGrid>
            <w:tr w14:paraId="128C2D1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24" w:type="pct"/>
                  <w:vAlign w:val="center"/>
                </w:tcPr>
                <w:p w14:paraId="2F66FB5A">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序号</w:t>
                  </w:r>
                </w:p>
              </w:tc>
              <w:tc>
                <w:tcPr>
                  <w:tcW w:w="2054" w:type="pct"/>
                  <w:vAlign w:val="center"/>
                </w:tcPr>
                <w:p w14:paraId="1CC58AA2">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规划环评规定</w:t>
                  </w:r>
                </w:p>
              </w:tc>
              <w:tc>
                <w:tcPr>
                  <w:tcW w:w="2062" w:type="pct"/>
                  <w:vAlign w:val="center"/>
                </w:tcPr>
                <w:p w14:paraId="616421A5">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拟采取的相关措施</w:t>
                  </w:r>
                </w:p>
              </w:tc>
              <w:tc>
                <w:tcPr>
                  <w:tcW w:w="559" w:type="pct"/>
                  <w:vAlign w:val="center"/>
                </w:tcPr>
                <w:p w14:paraId="31BE45F1">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相符性</w:t>
                  </w:r>
                </w:p>
                <w:p w14:paraId="596BAB01">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分析</w:t>
                  </w:r>
                </w:p>
              </w:tc>
            </w:tr>
            <w:tr w14:paraId="2B3D61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24" w:type="pct"/>
                  <w:vAlign w:val="center"/>
                </w:tcPr>
                <w:p w14:paraId="26A9A7A4">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w:t>
                  </w:r>
                </w:p>
              </w:tc>
              <w:tc>
                <w:tcPr>
                  <w:tcW w:w="2054" w:type="pct"/>
                  <w:vAlign w:val="center"/>
                </w:tcPr>
                <w:p w14:paraId="5590F679">
                  <w:pPr>
                    <w:pStyle w:val="51"/>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井下作业带罐作业，产生的井下作业废水采用专用收集罐集中收集后送至就近已有或配套新建的联合站污水处理系统处理。井下作业过程中所使用的各种化学药剂严格控制落地，落地残液要彻底清理干净，不得向环境排放。</w:t>
                  </w:r>
                </w:p>
              </w:tc>
              <w:tc>
                <w:tcPr>
                  <w:tcW w:w="2062" w:type="pct"/>
                  <w:vAlign w:val="center"/>
                </w:tcPr>
                <w:p w14:paraId="354C6D21">
                  <w:pPr>
                    <w:pStyle w:val="51"/>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本项目钻试期间洗井废水和压裂返排液由地面储罐收集后，依托采油一厂红山嘴原油处理站采出水处理系统处理，处理达标后回注油藏。</w:t>
                  </w:r>
                </w:p>
              </w:tc>
              <w:tc>
                <w:tcPr>
                  <w:tcW w:w="559" w:type="pct"/>
                  <w:vAlign w:val="center"/>
                </w:tcPr>
                <w:p w14:paraId="5003576A">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6EFC2F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24" w:type="pct"/>
                  <w:vAlign w:val="center"/>
                </w:tcPr>
                <w:p w14:paraId="6CDF30E5">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w:t>
                  </w:r>
                </w:p>
              </w:tc>
              <w:tc>
                <w:tcPr>
                  <w:tcW w:w="2054" w:type="pct"/>
                  <w:vAlign w:val="center"/>
                </w:tcPr>
                <w:p w14:paraId="4963BF72">
                  <w:pPr>
                    <w:pStyle w:val="51"/>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根据《环境影响评价技术导则地下水环境》（HJ610-2016）表7和《石油化工防渗工程技术规范》（GB/T50934-2013）对项目区进行防渗分区，防渗应满足相应防渗等级的防渗要求，并布设一定数量的长期监测井。</w:t>
                  </w:r>
                </w:p>
              </w:tc>
              <w:tc>
                <w:tcPr>
                  <w:tcW w:w="2062" w:type="pct"/>
                  <w:vAlign w:val="center"/>
                </w:tcPr>
                <w:p w14:paraId="12B454CE">
                  <w:pPr>
                    <w:pStyle w:val="51"/>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本项目无运营期。为防止施工期各类污染物对项目区地下水造成污染，建设单位在施工期间应对钻试井场和生活营地进行分区防渗，具体如下：施工期间钻井井场划分重点防渗区、一般防渗区和简单防渗区。其中柴油储罐、发电房、废料场、不落地系统、钻井液储罐区、岩屑储罐区、钻井井口、危险废物贮存点和应急放喷池（应急放喷池仅在事故状态下开挖）区域为重点防渗区；化工爬犁、材料爬犁、材料房和生活营地生活污水收集池区域为一般防渗区；水罐区、地质房、录井房和值班房等其他区域为简单防渗区。试油井场划分重点防渗区和简单防渗区。其中发电房、采出液储罐、试油废水罐和应急放喷池（应急放喷池仅在事故状态下开挖）为重点防渗区；值班房为简单防渗区。</w:t>
                  </w:r>
                </w:p>
              </w:tc>
              <w:tc>
                <w:tcPr>
                  <w:tcW w:w="559" w:type="pct"/>
                  <w:vAlign w:val="center"/>
                </w:tcPr>
                <w:p w14:paraId="2B2614E4">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104A93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24" w:type="pct"/>
                  <w:vAlign w:val="center"/>
                </w:tcPr>
                <w:p w14:paraId="5BAB45C3">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3</w:t>
                  </w:r>
                </w:p>
              </w:tc>
              <w:tc>
                <w:tcPr>
                  <w:tcW w:w="2054" w:type="pct"/>
                  <w:vAlign w:val="center"/>
                </w:tcPr>
                <w:p w14:paraId="54A03776">
                  <w:pPr>
                    <w:pStyle w:val="51"/>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含油污泥、废分子筛等危险废物交由有相应处置资质的单位进行无害化处置。危险废物贮存设施必须满足存场所必须满足《危险废物贮存污染控制标准》（GB 18597-2023）的相关要求，并按照《环境保护图形标志—固体废物贮存（处置）场》《危险废物标志牌式样》设置明显标志。）工作人员的生活垃圾设置垃圾桶集中收集后交由当地的环卫部门及时清运。</w:t>
                  </w:r>
                </w:p>
              </w:tc>
              <w:tc>
                <w:tcPr>
                  <w:tcW w:w="2062" w:type="pct"/>
                  <w:vAlign w:val="center"/>
                </w:tcPr>
                <w:p w14:paraId="217C79BE">
                  <w:pPr>
                    <w:pStyle w:val="51"/>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钻井井场设1套钻井液不落地设备，水基钻井岩屑暂存于岩屑方罐中，钻井结束后委托岩屑处置单位处置；</w:t>
                  </w:r>
                  <w:r>
                    <w:rPr>
                      <w:color w:val="0D0D0D" w:themeColor="text1" w:themeTint="F2"/>
                      <w14:textFill>
                        <w14:solidFill>
                          <w14:schemeClr w14:val="tx1">
                            <w14:lumMod w14:val="95000"/>
                            <w14:lumOff w14:val="5000"/>
                          </w14:schemeClr>
                        </w14:solidFill>
                      </w14:textFill>
                    </w:rPr>
                    <w:t>油基钻井岩屑采用专用储罐进行收集，定期交由有相应危险废物处置资质的单位接收、转运和处置</w:t>
                  </w:r>
                  <w:r>
                    <w:rPr>
                      <w:rFonts w:hint="eastAsia"/>
                      <w:color w:val="0D0D0D" w:themeColor="text1" w:themeTint="F2"/>
                      <w14:textFill>
                        <w14:solidFill>
                          <w14:schemeClr w14:val="tx1">
                            <w14:lumMod w14:val="95000"/>
                            <w14:lumOff w14:val="5000"/>
                          </w14:schemeClr>
                        </w14:solidFill>
                      </w14:textFill>
                    </w:rPr>
                    <w:t>。钻井井场设置1座危险废物贮存点，用于暂存施工过程中产生的沾油废防渗材料、废润滑油及废润滑油桶，各类危险废物定期交由有相应危险废物处置资质的单位进行接收、转运和处置。生活垃圾箱集中收集，定期清运至呼图壁县生活垃圾填埋场处置。优先回收利用，无法回收利用的由钻井队负责清运。</w:t>
                  </w:r>
                </w:p>
              </w:tc>
              <w:tc>
                <w:tcPr>
                  <w:tcW w:w="559" w:type="pct"/>
                  <w:vAlign w:val="center"/>
                </w:tcPr>
                <w:p w14:paraId="3F5739A0">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5E26FF7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24" w:type="pct"/>
                  <w:vAlign w:val="center"/>
                </w:tcPr>
                <w:p w14:paraId="180A8B2C">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4</w:t>
                  </w:r>
                </w:p>
              </w:tc>
              <w:tc>
                <w:tcPr>
                  <w:tcW w:w="2054" w:type="pct"/>
                  <w:vAlign w:val="center"/>
                </w:tcPr>
                <w:p w14:paraId="6789C464">
                  <w:pPr>
                    <w:pStyle w:val="51"/>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井场清理等工作还会产生部分废弃管线、废弃建筑残渣等固体废物，对这些废弃管线、残渣等进行集中清理收集，管线外运经清洗后可回收再利用，废弃建筑残渣外运至指定处理场填埋处理。运输过程中，运输车辆均加盖篷布，以防止行驶过程中固体废物的散落。</w:t>
                  </w:r>
                </w:p>
              </w:tc>
              <w:tc>
                <w:tcPr>
                  <w:tcW w:w="2062" w:type="pct"/>
                  <w:vAlign w:val="center"/>
                </w:tcPr>
                <w:p w14:paraId="2B400D04">
                  <w:pPr>
                    <w:pStyle w:val="51"/>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钻试工程结束后，井场清理等工作中会产生废弃建筑残渣，应集中清理收集。优先回收利用，无法回收利用的由钻井队负责清运，不得遗留在场地内影响土壤环境质量。运输过程中，运输车辆加盖篷布，以防止行驶过程中固体废物的散落。</w:t>
                  </w:r>
                </w:p>
              </w:tc>
              <w:tc>
                <w:tcPr>
                  <w:tcW w:w="559" w:type="pct"/>
                  <w:vAlign w:val="center"/>
                </w:tcPr>
                <w:p w14:paraId="53402061">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4627F30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24" w:type="pct"/>
                  <w:vAlign w:val="center"/>
                </w:tcPr>
                <w:p w14:paraId="1923EE26">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5</w:t>
                  </w:r>
                </w:p>
              </w:tc>
              <w:tc>
                <w:tcPr>
                  <w:tcW w:w="2054" w:type="pct"/>
                  <w:vAlign w:val="center"/>
                </w:tcPr>
                <w:p w14:paraId="1273E0D4">
                  <w:pPr>
                    <w:pStyle w:val="51"/>
                    <w:jc w:val="both"/>
                    <w:rPr>
                      <w:rFonts w:hint="eastAsia"/>
                      <w:color w:val="0D0D0D" w:themeColor="text1" w:themeTint="F2"/>
                      <w:spacing w:val="-2"/>
                      <w14:textFill>
                        <w14:solidFill>
                          <w14:schemeClr w14:val="tx1">
                            <w14:lumMod w14:val="95000"/>
                            <w14:lumOff w14:val="5000"/>
                          </w14:schemeClr>
                        </w14:solidFill>
                      </w14:textFill>
                    </w:rPr>
                  </w:pPr>
                  <w:r>
                    <w:rPr>
                      <w:rFonts w:hint="eastAsia"/>
                      <w:color w:val="0D0D0D" w:themeColor="text1" w:themeTint="F2"/>
                      <w:spacing w:val="-2"/>
                      <w14:textFill>
                        <w14:solidFill>
                          <w14:schemeClr w14:val="tx1">
                            <w14:lumMod w14:val="95000"/>
                            <w14:lumOff w14:val="5000"/>
                          </w14:schemeClr>
                        </w14:solidFill>
                      </w14:textFill>
                    </w:rPr>
                    <w:t>尽量选用低噪声设备，对噪声强度较大的设备进行减噪处理；定期给机泵等设备加润滑油和减振垫，对各种机械设备定期保养。</w:t>
                  </w:r>
                </w:p>
              </w:tc>
              <w:tc>
                <w:tcPr>
                  <w:tcW w:w="2062" w:type="pct"/>
                  <w:vAlign w:val="center"/>
                </w:tcPr>
                <w:p w14:paraId="0284E143">
                  <w:pPr>
                    <w:pStyle w:val="51"/>
                    <w:jc w:val="both"/>
                    <w:rPr>
                      <w:rFonts w:hint="eastAsia"/>
                      <w:color w:val="0D0D0D" w:themeColor="text1" w:themeTint="F2"/>
                      <w:spacing w:val="-2"/>
                      <w14:textFill>
                        <w14:solidFill>
                          <w14:schemeClr w14:val="tx1">
                            <w14:lumMod w14:val="95000"/>
                            <w14:lumOff w14:val="5000"/>
                          </w14:schemeClr>
                        </w14:solidFill>
                      </w14:textFill>
                    </w:rPr>
                  </w:pPr>
                  <w:r>
                    <w:rPr>
                      <w:rFonts w:hint="eastAsia"/>
                      <w:color w:val="0D0D0D" w:themeColor="text1" w:themeTint="F2"/>
                      <w:spacing w:val="-2"/>
                      <w14:textFill>
                        <w14:solidFill>
                          <w14:schemeClr w14:val="tx1">
                            <w14:lumMod w14:val="95000"/>
                            <w14:lumOff w14:val="5000"/>
                          </w14:schemeClr>
                        </w14:solidFill>
                      </w14:textFill>
                    </w:rPr>
                    <w:t>采用低噪声设备；加强设备维护及保养，对噪声较大的设备采取基础减振措施；加强施工场地管理，合理疏导进入施工区的车辆，禁止运输车辆随意高声鸣笛。</w:t>
                  </w:r>
                </w:p>
              </w:tc>
              <w:tc>
                <w:tcPr>
                  <w:tcW w:w="559" w:type="pct"/>
                  <w:vAlign w:val="center"/>
                </w:tcPr>
                <w:p w14:paraId="3EC27C51">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3BB120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24" w:type="pct"/>
                  <w:vAlign w:val="center"/>
                </w:tcPr>
                <w:p w14:paraId="05A2A4CB">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6</w:t>
                  </w:r>
                </w:p>
              </w:tc>
              <w:tc>
                <w:tcPr>
                  <w:tcW w:w="2054" w:type="pct"/>
                  <w:vAlign w:val="center"/>
                </w:tcPr>
                <w:p w14:paraId="4B98A609">
                  <w:pPr>
                    <w:pStyle w:val="51"/>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合理规划占地，严格控制占地面积，尽量选择在植被稀少或荒漠的区域布设，避让梭梭、白梭梭等保护植物；严格控制管线施工作业带宽度，管沟分层开挖、分层堆放、分层回填；施工过程中严格规定车辆和各类工作人员的活动范围，使之限于在施工区范围内活动，最大限度减少对荒漠植物生存环境的踩踏破坏，避免破坏荒漠植物；开展环境监理；永久占地进行砾石铺垫，定期检查管线、井场等。</w:t>
                  </w:r>
                </w:p>
              </w:tc>
              <w:tc>
                <w:tcPr>
                  <w:tcW w:w="2062" w:type="pct"/>
                  <w:vAlign w:val="center"/>
                </w:tcPr>
                <w:p w14:paraId="3A267A24">
                  <w:pPr>
                    <w:pStyle w:val="51"/>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井场、生活营地等选址，探临道路选线时应提前踏勘，在满足勘探设计和施工要求的前提下，对井场、生活营地位置等临时占地进行适当调整，避开野生植物生长密集地带，加强施工管理，严格控制施工作业范围；缩短施工时间；施工前需对占地范围内进行清理平整，便于铺垫砂石料；施工结束后应及时对施工区进行平整、清理，恢复临时占地；建设单位应按照有关规定，依法办理占地手续，足额缴纳生态补偿费。</w:t>
                  </w:r>
                </w:p>
              </w:tc>
              <w:tc>
                <w:tcPr>
                  <w:tcW w:w="559" w:type="pct"/>
                  <w:vAlign w:val="center"/>
                </w:tcPr>
                <w:p w14:paraId="71288CDE">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bl>
          <w:p w14:paraId="15267E4B">
            <w:pPr>
              <w:pStyle w:val="8"/>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表</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SEQ 表 \* ARABIC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2</w:t>
            </w:r>
            <w:r>
              <w:rPr>
                <w:rFonts w:hint="eastAsia"/>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 xml:space="preserve">    与《新疆油田公司“十四五”发展规划环境影响报告书》结论的符合性分析</w:t>
            </w:r>
          </w:p>
          <w:tbl>
            <w:tblPr>
              <w:tblStyle w:val="29"/>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85"/>
              <w:gridCol w:w="3442"/>
              <w:gridCol w:w="2693"/>
              <w:gridCol w:w="656"/>
            </w:tblGrid>
            <w:tr w14:paraId="6BE758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trPr>
              <w:tc>
                <w:tcPr>
                  <w:tcW w:w="201" w:type="pct"/>
                  <w:tcBorders>
                    <w:top w:val="single" w:color="auto" w:sz="12" w:space="0"/>
                    <w:left w:val="nil"/>
                    <w:bottom w:val="single" w:color="auto" w:sz="4" w:space="0"/>
                    <w:right w:val="single" w:color="auto" w:sz="4" w:space="0"/>
                  </w:tcBorders>
                  <w:tcMar>
                    <w:top w:w="0" w:type="dxa"/>
                    <w:left w:w="0" w:type="dxa"/>
                    <w:bottom w:w="0" w:type="dxa"/>
                    <w:right w:w="0" w:type="dxa"/>
                  </w:tcMar>
                  <w:vAlign w:val="center"/>
                </w:tcPr>
                <w:p w14:paraId="00C7BD3F">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序号</w:t>
                  </w:r>
                </w:p>
              </w:tc>
              <w:tc>
                <w:tcPr>
                  <w:tcW w:w="2431" w:type="pct"/>
                  <w:tcBorders>
                    <w:top w:val="single" w:color="auto" w:sz="12" w:space="0"/>
                    <w:left w:val="single" w:color="auto" w:sz="4" w:space="0"/>
                    <w:bottom w:val="single" w:color="auto" w:sz="4" w:space="0"/>
                    <w:right w:val="single" w:color="auto" w:sz="4" w:space="0"/>
                  </w:tcBorders>
                  <w:tcMar>
                    <w:top w:w="0" w:type="dxa"/>
                    <w:left w:w="0" w:type="dxa"/>
                    <w:bottom w:w="0" w:type="dxa"/>
                    <w:right w:w="0" w:type="dxa"/>
                  </w:tcMar>
                  <w:vAlign w:val="center"/>
                </w:tcPr>
                <w:p w14:paraId="09B3BDA2">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规划环评结论</w:t>
                  </w:r>
                </w:p>
              </w:tc>
              <w:tc>
                <w:tcPr>
                  <w:tcW w:w="1902" w:type="pct"/>
                  <w:tcBorders>
                    <w:top w:val="single" w:color="auto" w:sz="12" w:space="0"/>
                    <w:left w:val="single" w:color="auto" w:sz="4" w:space="0"/>
                    <w:bottom w:val="single" w:color="auto" w:sz="4" w:space="0"/>
                    <w:right w:val="single" w:color="auto" w:sz="4" w:space="0"/>
                  </w:tcBorders>
                  <w:tcMar>
                    <w:top w:w="0" w:type="dxa"/>
                    <w:left w:w="0" w:type="dxa"/>
                    <w:bottom w:w="0" w:type="dxa"/>
                    <w:right w:w="0" w:type="dxa"/>
                  </w:tcMar>
                  <w:vAlign w:val="center"/>
                </w:tcPr>
                <w:p w14:paraId="4F7E959E">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拟采取的相关措施</w:t>
                  </w:r>
                </w:p>
              </w:tc>
              <w:tc>
                <w:tcPr>
                  <w:tcW w:w="463" w:type="pct"/>
                  <w:tcBorders>
                    <w:top w:val="single" w:color="auto" w:sz="12" w:space="0"/>
                    <w:left w:val="single" w:color="auto" w:sz="4" w:space="0"/>
                    <w:bottom w:val="single" w:color="auto" w:sz="4" w:space="0"/>
                    <w:right w:val="nil"/>
                  </w:tcBorders>
                  <w:tcMar>
                    <w:top w:w="0" w:type="dxa"/>
                    <w:left w:w="0" w:type="dxa"/>
                    <w:bottom w:w="0" w:type="dxa"/>
                    <w:right w:w="0" w:type="dxa"/>
                  </w:tcMar>
                  <w:vAlign w:val="center"/>
                </w:tcPr>
                <w:p w14:paraId="463EA25B">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相符性分析</w:t>
                  </w:r>
                </w:p>
              </w:tc>
            </w:tr>
            <w:tr w14:paraId="5DF68B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01" w:type="pct"/>
                  <w:tcBorders>
                    <w:top w:val="single" w:color="auto" w:sz="4" w:space="0"/>
                    <w:left w:val="nil"/>
                    <w:bottom w:val="single" w:color="auto" w:sz="4" w:space="0"/>
                    <w:right w:val="single" w:color="auto" w:sz="4" w:space="0"/>
                  </w:tcBorders>
                  <w:tcMar>
                    <w:top w:w="0" w:type="dxa"/>
                    <w:left w:w="0" w:type="dxa"/>
                    <w:bottom w:w="0" w:type="dxa"/>
                    <w:right w:w="0" w:type="dxa"/>
                  </w:tcMar>
                  <w:vAlign w:val="center"/>
                </w:tcPr>
                <w:p w14:paraId="2528A54A">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1</w:t>
                  </w:r>
                </w:p>
              </w:tc>
              <w:tc>
                <w:tcPr>
                  <w:tcW w:w="2431"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359C9E6">
                  <w:pPr>
                    <w:autoSpaceDE w:val="0"/>
                    <w:autoSpaceDN w:val="0"/>
                    <w:adjustRightInd w:val="0"/>
                    <w:snapToGrid w:val="0"/>
                    <w:spacing w:line="300" w:lineRule="exact"/>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规划生产运营期废气主要各燃气设备产生的燃烧尾气，油气集输及各类储罐暂存过程中无组织逸散的烃类等，主要大气污染物为烟尘、</w:t>
                  </w:r>
                  <w:r>
                    <w:rPr>
                      <w:rFonts w:hint="eastAsia" w:ascii="宋体" w:hAnsi="宋体" w:cs="TimesNewRomanPSMT"/>
                      <w:color w:val="0D0D0D" w:themeColor="text1" w:themeTint="F2"/>
                      <w:kern w:val="0"/>
                      <w:sz w:val="21"/>
                      <w:szCs w:val="21"/>
                      <w14:textFill>
                        <w14:solidFill>
                          <w14:schemeClr w14:val="tx1">
                            <w14:lumMod w14:val="95000"/>
                            <w14:lumOff w14:val="5000"/>
                          </w14:schemeClr>
                        </w14:solidFill>
                      </w14:textFill>
                    </w:rPr>
                    <w:t>SO</w:t>
                  </w:r>
                  <w:r>
                    <w:rPr>
                      <w:rFonts w:hint="eastAsia" w:ascii="宋体" w:hAnsi="宋体" w:cs="TimesNewRomanPSMT"/>
                      <w:color w:val="0D0D0D" w:themeColor="text1" w:themeTint="F2"/>
                      <w:kern w:val="0"/>
                      <w:sz w:val="21"/>
                      <w:szCs w:val="21"/>
                      <w:vertAlign w:val="subscript"/>
                      <w14:textFill>
                        <w14:solidFill>
                          <w14:schemeClr w14:val="tx1">
                            <w14:lumMod w14:val="95000"/>
                            <w14:lumOff w14:val="5000"/>
                          </w14:schemeClr>
                        </w14:solidFill>
                      </w14:textFill>
                    </w:rPr>
                    <w:t>2</w:t>
                  </w:r>
                  <w:r>
                    <w:rPr>
                      <w:rFonts w:hint="eastAsia" w:ascii="宋体" w:hAnsi="宋体"/>
                      <w:color w:val="0D0D0D" w:themeColor="text1" w:themeTint="F2"/>
                      <w:kern w:val="0"/>
                      <w:sz w:val="21"/>
                      <w:szCs w:val="21"/>
                      <w14:textFill>
                        <w14:solidFill>
                          <w14:schemeClr w14:val="tx1">
                            <w14:lumMod w14:val="95000"/>
                            <w14:lumOff w14:val="5000"/>
                          </w14:schemeClr>
                        </w14:solidFill>
                      </w14:textFill>
                    </w:rPr>
                    <w:t>和</w:t>
                  </w:r>
                  <w:r>
                    <w:rPr>
                      <w:rFonts w:hint="eastAsia" w:ascii="宋体" w:hAnsi="宋体" w:cs="TimesNewRomanPSMT"/>
                      <w:color w:val="0D0D0D" w:themeColor="text1" w:themeTint="F2"/>
                      <w:kern w:val="0"/>
                      <w:sz w:val="21"/>
                      <w:szCs w:val="21"/>
                      <w14:textFill>
                        <w14:solidFill>
                          <w14:schemeClr w14:val="tx1">
                            <w14:lumMod w14:val="95000"/>
                            <w14:lumOff w14:val="5000"/>
                          </w14:schemeClr>
                        </w14:solidFill>
                      </w14:textFill>
                    </w:rPr>
                    <w:t>NO</w:t>
                  </w:r>
                  <w:r>
                    <w:rPr>
                      <w:rFonts w:hint="eastAsia" w:ascii="宋体" w:hAnsi="宋体" w:cs="TimesNewRomanPSMT"/>
                      <w:color w:val="0D0D0D" w:themeColor="text1" w:themeTint="F2"/>
                      <w:kern w:val="0"/>
                      <w:sz w:val="21"/>
                      <w:szCs w:val="21"/>
                      <w:vertAlign w:val="subscript"/>
                      <w14:textFill>
                        <w14:solidFill>
                          <w14:schemeClr w14:val="tx1">
                            <w14:lumMod w14:val="95000"/>
                            <w14:lumOff w14:val="5000"/>
                          </w14:schemeClr>
                        </w14:solidFill>
                      </w14:textFill>
                    </w:rPr>
                    <w:t>2</w:t>
                  </w:r>
                  <w:r>
                    <w:rPr>
                      <w:rFonts w:hint="eastAsia" w:ascii="宋体" w:hAnsi="宋体"/>
                      <w:color w:val="0D0D0D" w:themeColor="text1" w:themeTint="F2"/>
                      <w:kern w:val="0"/>
                      <w:sz w:val="21"/>
                      <w:szCs w:val="21"/>
                      <w14:textFill>
                        <w14:solidFill>
                          <w14:schemeClr w14:val="tx1">
                            <w14:lumMod w14:val="95000"/>
                            <w14:lumOff w14:val="5000"/>
                          </w14:schemeClr>
                        </w14:solidFill>
                      </w14:textFill>
                    </w:rPr>
                    <w:t>、非甲烷总烃。规划所用各燃气设备（燃气加热炉、相变炉、锅炉等）燃料均为天然气，为清洁能源。燃烧后污染物排放量少，对环境影响较小。燃气设备排放的</w:t>
                  </w:r>
                  <w:r>
                    <w:rPr>
                      <w:rFonts w:hint="eastAsia" w:ascii="宋体" w:hAnsi="宋体" w:cs="TimesNewRomanPSMT"/>
                      <w:color w:val="0D0D0D" w:themeColor="text1" w:themeTint="F2"/>
                      <w:kern w:val="0"/>
                      <w:sz w:val="21"/>
                      <w:szCs w:val="21"/>
                      <w14:textFill>
                        <w14:solidFill>
                          <w14:schemeClr w14:val="tx1">
                            <w14:lumMod w14:val="95000"/>
                            <w14:lumOff w14:val="5000"/>
                          </w14:schemeClr>
                        </w14:solidFill>
                      </w14:textFill>
                    </w:rPr>
                    <w:t>SO</w:t>
                  </w:r>
                  <w:r>
                    <w:rPr>
                      <w:rFonts w:hint="eastAsia" w:ascii="宋体" w:hAnsi="宋体" w:cs="TimesNewRomanPSMT"/>
                      <w:color w:val="0D0D0D" w:themeColor="text1" w:themeTint="F2"/>
                      <w:kern w:val="0"/>
                      <w:sz w:val="21"/>
                      <w:szCs w:val="21"/>
                      <w:vertAlign w:val="subscript"/>
                      <w14:textFill>
                        <w14:solidFill>
                          <w14:schemeClr w14:val="tx1">
                            <w14:lumMod w14:val="95000"/>
                            <w14:lumOff w14:val="5000"/>
                          </w14:schemeClr>
                        </w14:solidFill>
                      </w14:textFill>
                    </w:rPr>
                    <w:t>2</w:t>
                  </w:r>
                  <w:r>
                    <w:rPr>
                      <w:rFonts w:hint="eastAsia" w:ascii="宋体" w:hAnsi="宋体"/>
                      <w:color w:val="0D0D0D" w:themeColor="text1" w:themeTint="F2"/>
                      <w:kern w:val="0"/>
                      <w:sz w:val="21"/>
                      <w:szCs w:val="21"/>
                      <w14:textFill>
                        <w14:solidFill>
                          <w14:schemeClr w14:val="tx1">
                            <w14:lumMod w14:val="95000"/>
                            <w14:lumOff w14:val="5000"/>
                          </w14:schemeClr>
                        </w14:solidFill>
                      </w14:textFill>
                    </w:rPr>
                    <w:t>、</w:t>
                  </w:r>
                  <w:r>
                    <w:rPr>
                      <w:rFonts w:hint="eastAsia" w:ascii="宋体" w:hAnsi="宋体" w:cs="TimesNewRomanPSMT"/>
                      <w:color w:val="0D0D0D" w:themeColor="text1" w:themeTint="F2"/>
                      <w:kern w:val="0"/>
                      <w:sz w:val="21"/>
                      <w:szCs w:val="21"/>
                      <w14:textFill>
                        <w14:solidFill>
                          <w14:schemeClr w14:val="tx1">
                            <w14:lumMod w14:val="95000"/>
                            <w14:lumOff w14:val="5000"/>
                          </w14:schemeClr>
                        </w14:solidFill>
                      </w14:textFill>
                    </w:rPr>
                    <w:t>NO</w:t>
                  </w:r>
                  <w:r>
                    <w:rPr>
                      <w:rFonts w:hint="eastAsia" w:ascii="宋体" w:hAnsi="宋体" w:cs="TimesNewRomanPSMT"/>
                      <w:color w:val="0D0D0D" w:themeColor="text1" w:themeTint="F2"/>
                      <w:kern w:val="0"/>
                      <w:sz w:val="21"/>
                      <w:szCs w:val="21"/>
                      <w:vertAlign w:val="subscript"/>
                      <w14:textFill>
                        <w14:solidFill>
                          <w14:schemeClr w14:val="tx1">
                            <w14:lumMod w14:val="95000"/>
                            <w14:lumOff w14:val="5000"/>
                          </w14:schemeClr>
                        </w14:solidFill>
                      </w14:textFill>
                    </w:rPr>
                    <w:t>x</w:t>
                  </w:r>
                  <w:r>
                    <w:rPr>
                      <w:rFonts w:hint="eastAsia" w:ascii="宋体" w:hAnsi="宋体"/>
                      <w:color w:val="0D0D0D" w:themeColor="text1" w:themeTint="F2"/>
                      <w:kern w:val="0"/>
                      <w:sz w:val="21"/>
                      <w:szCs w:val="21"/>
                      <w14:textFill>
                        <w14:solidFill>
                          <w14:schemeClr w14:val="tx1">
                            <w14:lumMod w14:val="95000"/>
                            <w14:lumOff w14:val="5000"/>
                          </w14:schemeClr>
                        </w14:solidFill>
                      </w14:textFill>
                    </w:rPr>
                    <w:t>均可符合《锅炉大气污染物排放标准》标准限值，对周围环境造成的影响较小。油气集输过程及各类储罐暂存过程中产生的烃类挥发是影响规划区域环境空气的主要污染源。油气集输及处理采用全密闭流程，井口密封并设紧急截断阀，可有效减少烃类气体的挥发。严格按照</w:t>
                  </w:r>
                  <w:r>
                    <w:rPr>
                      <w:rFonts w:hint="eastAsia" w:ascii="宋体" w:hAnsi="宋体" w:cs="TimesNewRomanPSMT"/>
                      <w:color w:val="0D0D0D" w:themeColor="text1" w:themeTint="F2"/>
                      <w:kern w:val="0"/>
                      <w:sz w:val="21"/>
                      <w:szCs w:val="21"/>
                      <w14:textFill>
                        <w14:solidFill>
                          <w14:schemeClr w14:val="tx1">
                            <w14:lumMod w14:val="95000"/>
                            <w14:lumOff w14:val="5000"/>
                          </w14:schemeClr>
                        </w14:solidFill>
                      </w14:textFill>
                    </w:rPr>
                    <w:t>GB39728</w:t>
                  </w:r>
                  <w:r>
                    <w:rPr>
                      <w:rFonts w:hint="eastAsia" w:ascii="宋体" w:hAnsi="宋体"/>
                      <w:color w:val="0D0D0D" w:themeColor="text1" w:themeTint="F2"/>
                      <w:kern w:val="0"/>
                      <w:sz w:val="21"/>
                      <w:szCs w:val="21"/>
                      <w14:textFill>
                        <w14:solidFill>
                          <w14:schemeClr w14:val="tx1">
                            <w14:lumMod w14:val="95000"/>
                            <w14:lumOff w14:val="5000"/>
                          </w14:schemeClr>
                        </w14:solidFill>
                      </w14:textFill>
                    </w:rPr>
                    <w:t>标准要求，对部分不符合标准的储罐、装载系统等进行改造。通过采取相应的污染防治措施，能够有效控制无组织烃类的污染，在运行过程中严格管理，确保废气控制措施正常运转，各站场场界浓度和最大落地浓度可满足《陆上石油天然气开采工业大气污染物排放标准》（</w:t>
                  </w:r>
                  <w:r>
                    <w:rPr>
                      <w:rFonts w:hint="eastAsia" w:ascii="宋体" w:hAnsi="宋体" w:cs="TimesNewRomanPSMT"/>
                      <w:color w:val="0D0D0D" w:themeColor="text1" w:themeTint="F2"/>
                      <w:kern w:val="0"/>
                      <w:sz w:val="21"/>
                      <w:szCs w:val="21"/>
                      <w14:textFill>
                        <w14:solidFill>
                          <w14:schemeClr w14:val="tx1">
                            <w14:lumMod w14:val="95000"/>
                            <w14:lumOff w14:val="5000"/>
                          </w14:schemeClr>
                        </w14:solidFill>
                      </w14:textFill>
                    </w:rPr>
                    <w:t>GB39728-2020</w:t>
                  </w:r>
                  <w:r>
                    <w:rPr>
                      <w:rFonts w:hint="eastAsia" w:ascii="宋体" w:hAnsi="宋体"/>
                      <w:color w:val="0D0D0D" w:themeColor="text1" w:themeTint="F2"/>
                      <w:kern w:val="0"/>
                      <w:sz w:val="21"/>
                      <w:szCs w:val="21"/>
                      <w14:textFill>
                        <w14:solidFill>
                          <w14:schemeClr w14:val="tx1">
                            <w14:lumMod w14:val="95000"/>
                            <w14:lumOff w14:val="5000"/>
                          </w14:schemeClr>
                        </w14:solidFill>
                      </w14:textFill>
                    </w:rPr>
                    <w:t>）的场界标准限值（</w:t>
                  </w:r>
                  <w:r>
                    <w:rPr>
                      <w:rFonts w:hint="eastAsia" w:ascii="宋体" w:hAnsi="宋体" w:cs="TimesNewRomanPSMT"/>
                      <w:color w:val="0D0D0D" w:themeColor="text1" w:themeTint="F2"/>
                      <w:kern w:val="0"/>
                      <w:sz w:val="21"/>
                      <w:szCs w:val="21"/>
                      <w14:textFill>
                        <w14:solidFill>
                          <w14:schemeClr w14:val="tx1">
                            <w14:lumMod w14:val="95000"/>
                            <w14:lumOff w14:val="5000"/>
                          </w14:schemeClr>
                        </w14:solidFill>
                      </w14:textFill>
                    </w:rPr>
                    <w:t>4mg/m</w:t>
                  </w:r>
                  <w:r>
                    <w:rPr>
                      <w:rFonts w:hint="eastAsia" w:ascii="宋体" w:hAnsi="宋体" w:cs="TimesNewRomanPSMT"/>
                      <w:color w:val="0D0D0D" w:themeColor="text1" w:themeTint="F2"/>
                      <w:kern w:val="0"/>
                      <w:sz w:val="21"/>
                      <w:szCs w:val="21"/>
                      <w:vertAlign w:val="superscript"/>
                      <w14:textFill>
                        <w14:solidFill>
                          <w14:schemeClr w14:val="tx1">
                            <w14:lumMod w14:val="95000"/>
                            <w14:lumOff w14:val="5000"/>
                          </w14:schemeClr>
                        </w14:solidFill>
                      </w14:textFill>
                    </w:rPr>
                    <w:t>3</w:t>
                  </w:r>
                  <w:r>
                    <w:rPr>
                      <w:rFonts w:hint="eastAsia" w:ascii="宋体" w:hAnsi="宋体"/>
                      <w:color w:val="0D0D0D" w:themeColor="text1" w:themeTint="F2"/>
                      <w:kern w:val="0"/>
                      <w:sz w:val="21"/>
                      <w:szCs w:val="21"/>
                      <w14:textFill>
                        <w14:solidFill>
                          <w14:schemeClr w14:val="tx1">
                            <w14:lumMod w14:val="95000"/>
                            <w14:lumOff w14:val="5000"/>
                          </w14:schemeClr>
                        </w14:solidFill>
                      </w14:textFill>
                    </w:rPr>
                    <w:t>）。</w:t>
                  </w:r>
                </w:p>
              </w:tc>
              <w:tc>
                <w:tcPr>
                  <w:tcW w:w="1902"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6A33101">
                  <w:pPr>
                    <w:adjustRightInd w:val="0"/>
                    <w:snapToGrid w:val="0"/>
                    <w:spacing w:line="300" w:lineRule="exact"/>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本项目无运营期，施工期较短，对易起尘物料进行遮盖、加强车辆管理等措施；柴油储罐采用固定顶罐；钻井岩屑暂存于罐中，及时清运；使用符合国家标准的油品，加强机械、车辆的维护；试油期伴生气产生量不稳定，经排气管线充分燃烧后放空；加强采出液储罐管理，装卸必须采取密闭装载方式，柴油机、发电机、施工机械及施工车辆均使用高质量燃油，施工期废气随施工的结束而停止产生。</w:t>
                  </w:r>
                </w:p>
              </w:tc>
              <w:tc>
                <w:tcPr>
                  <w:tcW w:w="463" w:type="pct"/>
                  <w:tcBorders>
                    <w:top w:val="single" w:color="auto" w:sz="4" w:space="0"/>
                    <w:left w:val="single" w:color="auto" w:sz="4" w:space="0"/>
                    <w:bottom w:val="single" w:color="auto" w:sz="4" w:space="0"/>
                    <w:right w:val="nil"/>
                  </w:tcBorders>
                  <w:tcMar>
                    <w:top w:w="0" w:type="dxa"/>
                    <w:left w:w="0" w:type="dxa"/>
                    <w:bottom w:w="0" w:type="dxa"/>
                    <w:right w:w="0" w:type="dxa"/>
                  </w:tcMar>
                  <w:vAlign w:val="center"/>
                </w:tcPr>
                <w:p w14:paraId="7D9BD2E5">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符合</w:t>
                  </w:r>
                </w:p>
              </w:tc>
            </w:tr>
            <w:tr w14:paraId="2A330C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01" w:type="pct"/>
                  <w:tcBorders>
                    <w:top w:val="single" w:color="auto" w:sz="4" w:space="0"/>
                    <w:left w:val="nil"/>
                    <w:bottom w:val="single" w:color="auto" w:sz="12" w:space="0"/>
                    <w:right w:val="single" w:color="auto" w:sz="4" w:space="0"/>
                  </w:tcBorders>
                  <w:tcMar>
                    <w:top w:w="0" w:type="dxa"/>
                    <w:left w:w="0" w:type="dxa"/>
                    <w:bottom w:w="0" w:type="dxa"/>
                    <w:right w:w="0" w:type="dxa"/>
                  </w:tcMar>
                  <w:vAlign w:val="center"/>
                </w:tcPr>
                <w:p w14:paraId="565B7E8B">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2</w:t>
                  </w:r>
                </w:p>
              </w:tc>
              <w:tc>
                <w:tcPr>
                  <w:tcW w:w="2431" w:type="pct"/>
                  <w:tcBorders>
                    <w:top w:val="single" w:color="auto" w:sz="4" w:space="0"/>
                    <w:left w:val="single" w:color="auto" w:sz="4" w:space="0"/>
                    <w:bottom w:val="single" w:color="auto" w:sz="12" w:space="0"/>
                    <w:right w:val="single" w:color="auto" w:sz="4" w:space="0"/>
                  </w:tcBorders>
                  <w:tcMar>
                    <w:top w:w="0" w:type="dxa"/>
                    <w:left w:w="0" w:type="dxa"/>
                    <w:bottom w:w="0" w:type="dxa"/>
                    <w:right w:w="0" w:type="dxa"/>
                  </w:tcMar>
                  <w:vAlign w:val="center"/>
                </w:tcPr>
                <w:p w14:paraId="0F126CC5">
                  <w:pPr>
                    <w:autoSpaceDE w:val="0"/>
                    <w:autoSpaceDN w:val="0"/>
                    <w:adjustRightInd w:val="0"/>
                    <w:spacing w:line="300" w:lineRule="exact"/>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生产运营期产生的废水主要包括井场产生的井下作业废水、站场产生少量含油废水。井下作业严禁废水外排，井下作业废水采用专用废液收集罐收集后拉运至各自区块污水处理系统处理达到《碎屑岩油藏注水水质指标及分析方法》标准后，由各联合站统一调配，不外排进入环境，不会对地表水环境产生环境影响。生产运营期产生的采出水和井下作业废水拉运至各自区块污水处理系统处理，处理达标后回注地层。</w:t>
                  </w:r>
                </w:p>
              </w:tc>
              <w:tc>
                <w:tcPr>
                  <w:tcW w:w="1902" w:type="pct"/>
                  <w:tcBorders>
                    <w:top w:val="single" w:color="auto" w:sz="4" w:space="0"/>
                    <w:left w:val="single" w:color="auto" w:sz="4" w:space="0"/>
                    <w:bottom w:val="single" w:color="auto" w:sz="12" w:space="0"/>
                    <w:right w:val="single" w:color="auto" w:sz="4" w:space="0"/>
                  </w:tcBorders>
                  <w:tcMar>
                    <w:top w:w="0" w:type="dxa"/>
                    <w:left w:w="0" w:type="dxa"/>
                    <w:bottom w:w="0" w:type="dxa"/>
                    <w:right w:w="0" w:type="dxa"/>
                  </w:tcMar>
                  <w:vAlign w:val="center"/>
                </w:tcPr>
                <w:p w14:paraId="50E385FA">
                  <w:pPr>
                    <w:adjustRightInd w:val="0"/>
                    <w:snapToGrid w:val="0"/>
                    <w:spacing w:line="300" w:lineRule="exact"/>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本项目无运营期，</w:t>
                  </w:r>
                  <w:r>
                    <w:rPr>
                      <w:rFonts w:hint="eastAsia" w:ascii="宋体" w:hAnsi="宋体"/>
                      <w:color w:val="0D0D0D" w:themeColor="text1" w:themeTint="F2"/>
                      <w:sz w:val="21"/>
                      <w:szCs w:val="21"/>
                      <w14:textFill>
                        <w14:solidFill>
                          <w14:schemeClr w14:val="tx1">
                            <w14:lumMod w14:val="95000"/>
                            <w14:lumOff w14:val="5000"/>
                          </w14:schemeClr>
                        </w14:solidFill>
                      </w14:textFill>
                    </w:rPr>
                    <w:t>钻试期间洗井废水和压裂返排液由地面储罐收集后，拉运至采油一厂红山嘴原油处理站采出水处理系统处理，处理达标后回注油藏。</w:t>
                  </w:r>
                </w:p>
              </w:tc>
              <w:tc>
                <w:tcPr>
                  <w:tcW w:w="463" w:type="pct"/>
                  <w:tcBorders>
                    <w:top w:val="single" w:color="auto" w:sz="4" w:space="0"/>
                    <w:left w:val="single" w:color="auto" w:sz="4" w:space="0"/>
                    <w:bottom w:val="single" w:color="auto" w:sz="12" w:space="0"/>
                    <w:right w:val="nil"/>
                  </w:tcBorders>
                  <w:tcMar>
                    <w:top w:w="0" w:type="dxa"/>
                    <w:left w:w="0" w:type="dxa"/>
                    <w:bottom w:w="0" w:type="dxa"/>
                    <w:right w:w="0" w:type="dxa"/>
                  </w:tcMar>
                  <w:vAlign w:val="center"/>
                </w:tcPr>
                <w:p w14:paraId="43979B71">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符合</w:t>
                  </w:r>
                </w:p>
              </w:tc>
            </w:tr>
          </w:tbl>
          <w:p w14:paraId="037EEAA5">
            <w:pPr>
              <w:adjustRightInd w:val="0"/>
              <w:snapToGrid w:val="0"/>
              <w:spacing w:line="400" w:lineRule="exact"/>
              <w:ind w:firstLine="482" w:firstLineChars="200"/>
              <w:rPr>
                <w:rFonts w:hint="eastAsia" w:ascii="宋体" w:hAnsi="宋体" w:cs="宋体"/>
                <w:b/>
                <w:bCs/>
                <w:color w:val="0D0D0D" w:themeColor="text1" w:themeTint="F2"/>
                <w:kern w:val="0"/>
                <w14:textFill>
                  <w14:solidFill>
                    <w14:schemeClr w14:val="tx1">
                      <w14:lumMod w14:val="95000"/>
                      <w14:lumOff w14:val="5000"/>
                    </w14:schemeClr>
                  </w14:solidFill>
                </w14:textFill>
              </w:rPr>
            </w:pPr>
            <w:r>
              <w:rPr>
                <w:rFonts w:hint="eastAsia" w:ascii="宋体" w:hAnsi="宋体" w:cs="宋体"/>
                <w:b/>
                <w:bCs/>
                <w:color w:val="0D0D0D" w:themeColor="text1" w:themeTint="F2"/>
                <w:kern w:val="0"/>
                <w14:textFill>
                  <w14:solidFill>
                    <w14:schemeClr w14:val="tx1">
                      <w14:lumMod w14:val="95000"/>
                      <w14:lumOff w14:val="5000"/>
                    </w14:schemeClr>
                  </w14:solidFill>
                </w14:textFill>
              </w:rPr>
              <w:t>2、与《新疆油田公司“十四五”发展规划环境影响报告书》审查意见的符合性分析</w:t>
            </w:r>
          </w:p>
          <w:p w14:paraId="36FC6B12">
            <w:pPr>
              <w:adjustRightInd w:val="0"/>
              <w:snapToGrid w:val="0"/>
              <w:spacing w:line="400" w:lineRule="exact"/>
              <w:ind w:firstLine="480" w:firstLineChars="200"/>
              <w:rPr>
                <w:rFonts w:hint="eastAsia" w:ascii="宋体" w:hAnsi="宋体" w:cs="宋体"/>
                <w:color w:val="0D0D0D" w:themeColor="text1" w:themeTint="F2"/>
                <w:kern w:val="0"/>
                <w14:textFill>
                  <w14:solidFill>
                    <w14:schemeClr w14:val="tx1">
                      <w14:lumMod w14:val="95000"/>
                      <w14:lumOff w14:val="5000"/>
                    </w14:schemeClr>
                  </w14:solidFill>
                </w14:textFill>
              </w:rPr>
            </w:pPr>
            <w:r>
              <w:rPr>
                <w:rFonts w:hint="eastAsia" w:ascii="宋体" w:hAnsi="宋体" w:cs="宋体"/>
                <w:color w:val="0D0D0D" w:themeColor="text1" w:themeTint="F2"/>
                <w:kern w:val="0"/>
                <w14:textFill>
                  <w14:solidFill>
                    <w14:schemeClr w14:val="tx1">
                      <w14:lumMod w14:val="95000"/>
                      <w14:lumOff w14:val="5000"/>
                    </w14:schemeClr>
                  </w14:solidFill>
                </w14:textFill>
              </w:rPr>
              <w:t>本项目符合《新疆油田公司“十四五”发展规划环境影响报告书》审查意见的相关要求，具体如下：</w:t>
            </w:r>
          </w:p>
          <w:p w14:paraId="2C1B10C7">
            <w:pPr>
              <w:pStyle w:val="8"/>
              <w:rPr>
                <w:rFonts w:hint="eastAsia"/>
                <w:color w:val="0D0D0D" w:themeColor="text1" w:themeTint="F2"/>
                <w14:textFill>
                  <w14:solidFill>
                    <w14:schemeClr w14:val="tx1">
                      <w14:lumMod w14:val="95000"/>
                      <w14:lumOff w14:val="5000"/>
                    </w14:schemeClr>
                  </w14:solidFill>
                </w14:textFill>
              </w:rPr>
            </w:pPr>
            <w:bookmarkStart w:id="3" w:name="_Hlk188376208"/>
            <w:r>
              <w:rPr>
                <w:rFonts w:hint="eastAsia"/>
                <w:color w:val="0D0D0D" w:themeColor="text1" w:themeTint="F2"/>
                <w14:textFill>
                  <w14:solidFill>
                    <w14:schemeClr w14:val="tx1">
                      <w14:lumMod w14:val="95000"/>
                      <w14:lumOff w14:val="5000"/>
                    </w14:schemeClr>
                  </w14:solidFill>
                </w14:textFill>
              </w:rPr>
              <w:t>表</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SEQ 表 \* ARABIC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3</w:t>
            </w:r>
            <w:r>
              <w:rPr>
                <w:rFonts w:hint="eastAsia"/>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 xml:space="preserve">   </w:t>
            </w:r>
            <w:r>
              <w:rPr>
                <w:color w:val="0D0D0D" w:themeColor="text1" w:themeTint="F2"/>
                <w14:textFill>
                  <w14:solidFill>
                    <w14:schemeClr w14:val="tx1">
                      <w14:lumMod w14:val="95000"/>
                      <w14:lumOff w14:val="5000"/>
                    </w14:schemeClr>
                  </w14:solidFill>
                </w14:textFill>
              </w:rPr>
              <w:t xml:space="preserve"> </w:t>
            </w:r>
            <w:r>
              <w:rPr>
                <w:rFonts w:hint="eastAsia"/>
                <w:color w:val="0D0D0D" w:themeColor="text1" w:themeTint="F2"/>
                <w14:textFill>
                  <w14:solidFill>
                    <w14:schemeClr w14:val="tx1">
                      <w14:lumMod w14:val="95000"/>
                      <w14:lumOff w14:val="5000"/>
                    </w14:schemeClr>
                  </w14:solidFill>
                </w14:textFill>
              </w:rPr>
              <w:t>与《新疆油田公司“十四五”发展规划环境影响报告书》审查意见的符合性分析</w:t>
            </w:r>
          </w:p>
          <w:bookmarkEnd w:id="3"/>
          <w:tbl>
            <w:tblPr>
              <w:tblStyle w:val="29"/>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84"/>
              <w:gridCol w:w="3278"/>
              <w:gridCol w:w="2726"/>
              <w:gridCol w:w="788"/>
            </w:tblGrid>
            <w:tr w14:paraId="68E450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trPr>
              <w:tc>
                <w:tcPr>
                  <w:tcW w:w="201" w:type="pct"/>
                  <w:tcMar>
                    <w:left w:w="0" w:type="dxa"/>
                    <w:right w:w="0" w:type="dxa"/>
                  </w:tcMar>
                  <w:vAlign w:val="center"/>
                </w:tcPr>
                <w:p w14:paraId="1C2B093B">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序号</w:t>
                  </w:r>
                </w:p>
              </w:tc>
              <w:tc>
                <w:tcPr>
                  <w:tcW w:w="2316" w:type="pct"/>
                  <w:tcMar>
                    <w:left w:w="0" w:type="dxa"/>
                    <w:right w:w="0" w:type="dxa"/>
                  </w:tcMar>
                  <w:vAlign w:val="center"/>
                </w:tcPr>
                <w:p w14:paraId="3A0DD4EE">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规划环评审查意见</w:t>
                  </w:r>
                </w:p>
              </w:tc>
              <w:tc>
                <w:tcPr>
                  <w:tcW w:w="1926" w:type="pct"/>
                  <w:tcMar>
                    <w:left w:w="0" w:type="dxa"/>
                    <w:right w:w="0" w:type="dxa"/>
                  </w:tcMar>
                  <w:vAlign w:val="center"/>
                </w:tcPr>
                <w:p w14:paraId="3FAE86A7">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拟采取的相关措施</w:t>
                  </w:r>
                </w:p>
              </w:tc>
              <w:tc>
                <w:tcPr>
                  <w:tcW w:w="557" w:type="pct"/>
                  <w:tcMar>
                    <w:left w:w="0" w:type="dxa"/>
                    <w:right w:w="0" w:type="dxa"/>
                  </w:tcMar>
                  <w:vAlign w:val="center"/>
                </w:tcPr>
                <w:p w14:paraId="2570867E">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相符性分析</w:t>
                  </w:r>
                </w:p>
              </w:tc>
            </w:tr>
            <w:tr w14:paraId="777842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01" w:type="pct"/>
                  <w:tcMar>
                    <w:left w:w="0" w:type="dxa"/>
                    <w:right w:w="0" w:type="dxa"/>
                  </w:tcMar>
                  <w:vAlign w:val="center"/>
                </w:tcPr>
                <w:p w14:paraId="19FA28A5">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1</w:t>
                  </w:r>
                </w:p>
              </w:tc>
              <w:tc>
                <w:tcPr>
                  <w:tcW w:w="2316" w:type="pct"/>
                  <w:tcMar>
                    <w:left w:w="0" w:type="dxa"/>
                    <w:right w:w="0" w:type="dxa"/>
                  </w:tcMar>
                  <w:vAlign w:val="center"/>
                </w:tcPr>
                <w:p w14:paraId="2CF60E72">
                  <w:pPr>
                    <w:autoSpaceDE w:val="0"/>
                    <w:autoSpaceDN w:val="0"/>
                    <w:adjustRightInd w:val="0"/>
                    <w:snapToGrid w:val="0"/>
                    <w:spacing w:line="300" w:lineRule="exact"/>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一）严守生态保护红线，加强空间管控。坚持以习近平生态文明思想为指导，严守生态保护红线，严格维护区域主导生态功能，积极推动绿色发展，促进人与自然和谐共生。主动对接国土空间规划，进一步做好与“三线一单”生态环境分区管控方案、主体功能区划、生态功能区划等有关要求的有序衔接和细化分解，严格落实各项生态环境保护要求，协同推进石油天然气开发和生态环境保护相协调，切实维护区域生态系统的完整性和稳定性。加强规划区内环境敏感区和重要环境保护目标的生态环境保护工作，开展项目环评时应将油气开发对环境敏感区影响作为重点评价内容，并采取合理、有效的保护措施，确保规划涉及环境敏感区和重要环境保护目标不因油气开发而造成环境污染和生态破坏。</w:t>
                  </w:r>
                </w:p>
              </w:tc>
              <w:tc>
                <w:tcPr>
                  <w:tcW w:w="1926" w:type="pct"/>
                  <w:tcMar>
                    <w:left w:w="0" w:type="dxa"/>
                    <w:right w:w="0" w:type="dxa"/>
                  </w:tcMar>
                  <w:vAlign w:val="center"/>
                </w:tcPr>
                <w:p w14:paraId="7694F058">
                  <w:pPr>
                    <w:adjustRightInd w:val="0"/>
                    <w:snapToGrid w:val="0"/>
                    <w:spacing w:line="300" w:lineRule="exact"/>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本项目不涉及生态敏感区，不涉及生态保护红线，项目建设符合“三线一单”、《新疆维吾尔自治区主体功能区规划》要求；本项目</w:t>
                  </w:r>
                  <w:r>
                    <w:rPr>
                      <w:rFonts w:hint="eastAsia" w:ascii="宋体" w:hAnsi="宋体"/>
                      <w:color w:val="0D0D0D" w:themeColor="text1" w:themeTint="F2"/>
                      <w:sz w:val="21"/>
                      <w:szCs w:val="21"/>
                      <w14:textFill>
                        <w14:solidFill>
                          <w14:schemeClr w14:val="tx1">
                            <w14:lumMod w14:val="95000"/>
                            <w14:lumOff w14:val="5000"/>
                          </w14:schemeClr>
                        </w14:solidFill>
                      </w14:textFill>
                    </w:rPr>
                    <w:t>施工期较短，采取</w:t>
                  </w:r>
                  <w:r>
                    <w:rPr>
                      <w:rFonts w:hint="eastAsia" w:ascii="宋体" w:hAnsi="宋体"/>
                      <w:color w:val="0D0D0D" w:themeColor="text1" w:themeTint="F2"/>
                      <w:kern w:val="0"/>
                      <w:sz w:val="21"/>
                      <w:szCs w:val="21"/>
                      <w14:textFill>
                        <w14:solidFill>
                          <w14:schemeClr w14:val="tx1">
                            <w14:lumMod w14:val="95000"/>
                            <w14:lumOff w14:val="5000"/>
                          </w14:schemeClr>
                        </w14:solidFill>
                      </w14:textFill>
                    </w:rPr>
                    <w:t>对易起尘物料进行遮盖、加强车辆管理等措施；柴油储罐采用固定顶罐；水基钻井岩屑暂存于罐中，及时清运；</w:t>
                  </w:r>
                  <w:r>
                    <w:rPr>
                      <w:rFonts w:ascii="宋体" w:hAnsi="宋体"/>
                      <w:color w:val="0D0D0D" w:themeColor="text1" w:themeTint="F2"/>
                      <w:kern w:val="0"/>
                      <w:sz w:val="21"/>
                      <w:szCs w:val="21"/>
                      <w14:textFill>
                        <w14:solidFill>
                          <w14:schemeClr w14:val="tx1">
                            <w14:lumMod w14:val="95000"/>
                            <w14:lumOff w14:val="5000"/>
                          </w14:schemeClr>
                        </w14:solidFill>
                      </w14:textFill>
                    </w:rPr>
                    <w:t>油基钻井岩屑采用专用储罐进行收集，定期交由有相应危险废物处置资质的单位接收、转运和处置；</w:t>
                  </w:r>
                  <w:r>
                    <w:rPr>
                      <w:rFonts w:hint="eastAsia" w:ascii="宋体" w:hAnsi="宋体"/>
                      <w:color w:val="0D0D0D" w:themeColor="text1" w:themeTint="F2"/>
                      <w:kern w:val="0"/>
                      <w:sz w:val="21"/>
                      <w:szCs w:val="21"/>
                      <w14:textFill>
                        <w14:solidFill>
                          <w14:schemeClr w14:val="tx1">
                            <w14:lumMod w14:val="95000"/>
                            <w14:lumOff w14:val="5000"/>
                          </w14:schemeClr>
                        </w14:solidFill>
                      </w14:textFill>
                    </w:rPr>
                    <w:t>使用符合国家标准的油品，加强机械、车辆的维护；试油期伴生气产量不稳定，经排气管线充分燃烧后放空；加强采出液储罐管理，装卸必须采取密闭装载方式，柴油机、发电机、施工机械及施工车辆均使用高质量燃油，施工期废气随施工的结束而停止产生，且周围扩散条件良好；采用低噪声设备；加强设备维护及保养，对噪声较大的设备采取基础减振措施；加强施工场地管理，合理疏导进入施工区的车辆，禁止运输车辆随意高声鸣笛；加上施工噪声是暂时的、不连续的，待施工结束后影响将消失，对区域环境影响不大。在满足勘探设计和施工要求的前提下，对井场、生活营地位置及探临路等临时占地进行适当调整，尽量避开野生植物生长密集地带和减少占地。施工结束后及时对临时占地进行清理平整，植被自然恢复。</w:t>
                  </w:r>
                </w:p>
              </w:tc>
              <w:tc>
                <w:tcPr>
                  <w:tcW w:w="557" w:type="pct"/>
                  <w:tcMar>
                    <w:left w:w="0" w:type="dxa"/>
                    <w:right w:w="0" w:type="dxa"/>
                  </w:tcMar>
                  <w:vAlign w:val="center"/>
                </w:tcPr>
                <w:p w14:paraId="4AD5645E">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符合</w:t>
                  </w:r>
                </w:p>
              </w:tc>
            </w:tr>
            <w:tr w14:paraId="1B37D8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01" w:type="pct"/>
                  <w:tcMar>
                    <w:left w:w="0" w:type="dxa"/>
                    <w:right w:w="0" w:type="dxa"/>
                  </w:tcMar>
                  <w:vAlign w:val="center"/>
                </w:tcPr>
                <w:p w14:paraId="5B9B952B">
                  <w:pPr>
                    <w:adjustRightInd w:val="0"/>
                    <w:snapToGrid w:val="0"/>
                    <w:spacing w:line="300" w:lineRule="exact"/>
                    <w:jc w:val="cente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2</w:t>
                  </w:r>
                </w:p>
              </w:tc>
              <w:tc>
                <w:tcPr>
                  <w:tcW w:w="2316" w:type="pct"/>
                  <w:tcMar>
                    <w:left w:w="0" w:type="dxa"/>
                    <w:right w:w="0" w:type="dxa"/>
                  </w:tcMar>
                  <w:vAlign w:val="center"/>
                </w:tcPr>
                <w:p w14:paraId="7AB671DA">
                  <w:pPr>
                    <w:autoSpaceDE w:val="0"/>
                    <w:autoSpaceDN w:val="0"/>
                    <w:adjustRightInd w:val="0"/>
                    <w:snapToGrid w:val="0"/>
                    <w:spacing w:line="300" w:lineRule="exact"/>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w:t>
                  </w:r>
                  <w:r>
                    <w:rPr>
                      <w:rFonts w:hint="eastAsia" w:ascii="宋体" w:hAnsi="宋体" w:cs="宋体"/>
                      <w:color w:val="0D0D0D" w:themeColor="text1" w:themeTint="F2"/>
                      <w:spacing w:val="-4"/>
                      <w:kern w:val="0"/>
                      <w:sz w:val="21"/>
                      <w:szCs w:val="21"/>
                      <w14:textFill>
                        <w14:solidFill>
                          <w14:schemeClr w14:val="tx1">
                            <w14:lumMod w14:val="95000"/>
                            <w14:lumOff w14:val="5000"/>
                          </w14:schemeClr>
                        </w14:solidFill>
                      </w14:textFill>
                    </w:rPr>
                    <w:t>二）合理确定开发方案，优化开发布局。根据区域主体功能定位，结合区域资源环境特征、生态保护红线等相关管控要求，依据生态环境影响评价结果，从穿越位置、穿越方式、施工场地设置、管线工艺设计、环境风险防范等方面对规划建设油气长输管道工程及油气田内部集输管道工程选址选线提出要求，进一步优化石油天然气开采规模、开发布局和建设时序，优先避让环境敏感区，远离沿线居民。总结石油天然气开发过程对生态环境影响和保护经验，及时进行优化调整。</w:t>
                  </w:r>
                </w:p>
              </w:tc>
              <w:tc>
                <w:tcPr>
                  <w:tcW w:w="1926" w:type="pct"/>
                  <w:tcMar>
                    <w:left w:w="0" w:type="dxa"/>
                    <w:right w:w="0" w:type="dxa"/>
                  </w:tcMar>
                  <w:vAlign w:val="center"/>
                </w:tcPr>
                <w:p w14:paraId="443AB33A">
                  <w:pPr>
                    <w:adjustRightInd w:val="0"/>
                    <w:snapToGrid w:val="0"/>
                    <w:spacing w:line="300" w:lineRule="exact"/>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本项目井场、生活营地位置及探临道路等临时占地在满足施工需求的同时，已进行适当调整，尽量避开野生植物生长密集地带和减少占地。</w:t>
                  </w:r>
                </w:p>
              </w:tc>
              <w:tc>
                <w:tcPr>
                  <w:tcW w:w="557" w:type="pct"/>
                  <w:tcMar>
                    <w:left w:w="0" w:type="dxa"/>
                    <w:right w:w="0" w:type="dxa"/>
                  </w:tcMar>
                  <w:vAlign w:val="center"/>
                </w:tcPr>
                <w:p w14:paraId="1AFA9BCD">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符合</w:t>
                  </w:r>
                </w:p>
              </w:tc>
            </w:tr>
            <w:tr w14:paraId="5598B7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01" w:type="pct"/>
                  <w:tcMar>
                    <w:left w:w="0" w:type="dxa"/>
                    <w:right w:w="0" w:type="dxa"/>
                  </w:tcMar>
                  <w:vAlign w:val="center"/>
                </w:tcPr>
                <w:p w14:paraId="486FBB62">
                  <w:pPr>
                    <w:adjustRightInd w:val="0"/>
                    <w:snapToGrid w:val="0"/>
                    <w:spacing w:line="300" w:lineRule="exact"/>
                    <w:jc w:val="cente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3</w:t>
                  </w:r>
                </w:p>
              </w:tc>
              <w:tc>
                <w:tcPr>
                  <w:tcW w:w="2316" w:type="pct"/>
                  <w:tcMar>
                    <w:left w:w="0" w:type="dxa"/>
                    <w:right w:w="0" w:type="dxa"/>
                  </w:tcMar>
                  <w:vAlign w:val="center"/>
                </w:tcPr>
                <w:p w14:paraId="017477EC">
                  <w:pPr>
                    <w:autoSpaceDE w:val="0"/>
                    <w:autoSpaceDN w:val="0"/>
                    <w:adjustRightInd w:val="0"/>
                    <w:snapToGrid w:val="0"/>
                    <w:spacing w:line="300" w:lineRule="exact"/>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三）严格生态环境保护，强化各类污染物防治。针对规划实施可能出现的累积性、长期性生态环境问题，采取积极有效的生态复垦和生态恢复措施，确保实现《报告书》提出的各项生态恢复治理要求，有效减缓规划区生态环境退化趋势。根据油气开采产业政策和生态环境保护政策要求，严格落实资源环境指标要求，进一步控制污染物排放以及能源消耗水平，对油气开采产生的废弃油基泥浆、含油钻屑及其他固体废物，提出减量化的源头控制措施、资源化的利用路径、无害化的处理要求，按照国家和地方有关固体废物的管理规定进行处置，提高废弃油基泥浆和含油钻屑及其处理产物的综合利用率。根据油气开采产业政策和生态环境保护政策要求，严格落实资源环境指标要求，进一步控制污染物排放以及能源消耗水平。油气开采、输送、储存、净化等过程及非正常工况应加强挥发性有机物等污染物排放控制，确保满足区域环境空气质量要求。加强开采废水污染控制，涉及回注的应经处理满足《碎屑岩油藏注水水质推荐指标及分析方法》（SY/T5329）等相关标准要求，采取切实可行的地下水污染防治和监控措施，防止造成地下水污染。油气开采过程中产生的固体废物，应当遵循减量化、资源化、无害化原则，合规处置。加强伴生气、落地油、采出水等回收利用，提高综合利用水平。</w:t>
                  </w:r>
                </w:p>
              </w:tc>
              <w:tc>
                <w:tcPr>
                  <w:tcW w:w="1926" w:type="pct"/>
                  <w:tcMar>
                    <w:left w:w="0" w:type="dxa"/>
                    <w:right w:w="0" w:type="dxa"/>
                  </w:tcMar>
                  <w:vAlign w:val="center"/>
                </w:tcPr>
                <w:p w14:paraId="6C2939A0">
                  <w:pPr>
                    <w:adjustRightInd w:val="0"/>
                    <w:snapToGrid w:val="0"/>
                    <w:spacing w:line="300" w:lineRule="exact"/>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本项目采取的生态恢复措施符合规划环评报告书的要求，水基钻井岩屑由岩屑处置单位处置</w:t>
                  </w:r>
                  <w:r>
                    <w:rPr>
                      <w:rFonts w:ascii="宋体" w:hAnsi="宋体"/>
                      <w:color w:val="0D0D0D" w:themeColor="text1" w:themeTint="F2"/>
                      <w:sz w:val="21"/>
                      <w:szCs w:val="21"/>
                      <w14:textFill>
                        <w14:solidFill>
                          <w14:schemeClr w14:val="tx1">
                            <w14:lumMod w14:val="95000"/>
                            <w14:lumOff w14:val="5000"/>
                          </w14:schemeClr>
                        </w14:solidFill>
                      </w14:textFill>
                    </w:rPr>
                    <w:t>，油基钻井岩屑采用专用储罐进行收集，定期交由具有相应危险废物处置资质的单位接收、转运和处置</w:t>
                  </w:r>
                  <w:r>
                    <w:rPr>
                      <w:rFonts w:hint="eastAsia" w:ascii="宋体" w:hAnsi="宋体"/>
                      <w:color w:val="0D0D0D" w:themeColor="text1" w:themeTint="F2"/>
                      <w:sz w:val="21"/>
                      <w:szCs w:val="21"/>
                      <w14:textFill>
                        <w14:solidFill>
                          <w14:schemeClr w14:val="tx1">
                            <w14:lumMod w14:val="95000"/>
                            <w14:lumOff w14:val="5000"/>
                          </w14:schemeClr>
                        </w14:solidFill>
                      </w14:textFill>
                    </w:rPr>
                    <w:t>；废润滑油、废润滑油桶和沾油废防渗材料交由具有相应危险废物处置资质的单位回收处置，生活垃圾清运至</w:t>
                  </w:r>
                  <w:r>
                    <w:rPr>
                      <w:rFonts w:hint="eastAsia" w:ascii="宋体" w:hAnsi="宋体" w:cs="宋体"/>
                      <w:color w:val="0D0D0D" w:themeColor="text1" w:themeTint="F2"/>
                      <w:sz w:val="21"/>
                      <w:szCs w:val="21"/>
                      <w:lang w:bidi="ar"/>
                      <w14:textFill>
                        <w14:solidFill>
                          <w14:schemeClr w14:val="tx1">
                            <w14:lumMod w14:val="95000"/>
                            <w14:lumOff w14:val="5000"/>
                          </w14:schemeClr>
                        </w14:solidFill>
                      </w14:textFill>
                    </w:rPr>
                    <w:t>呼图壁县生活垃圾填埋场处置</w:t>
                  </w:r>
                  <w:r>
                    <w:rPr>
                      <w:rFonts w:hint="eastAsia" w:ascii="宋体" w:hAnsi="宋体"/>
                      <w:color w:val="0D0D0D" w:themeColor="text1" w:themeTint="F2"/>
                      <w:sz w:val="21"/>
                      <w:szCs w:val="21"/>
                      <w14:textFill>
                        <w14:solidFill>
                          <w14:schemeClr w14:val="tx1">
                            <w14:lumMod w14:val="95000"/>
                            <w14:lumOff w14:val="5000"/>
                          </w14:schemeClr>
                        </w14:solidFill>
                      </w14:textFill>
                    </w:rPr>
                    <w:t>，优先回收利用，无法回收利用的由钻井队负责清运；产生的各类固体废物均得到合规处置；钻试井场和生活营地采取了相应的分区防渗措施；加强采出液储罐管理，装卸必须采取密闭装载方式，以减少无组织非甲烷总烃的排放；试油期伴生气产生量不稳定，经排气管线充分燃烧后放空；</w:t>
                  </w:r>
                  <w:bookmarkStart w:id="4" w:name="OLE_LINK7"/>
                  <w:r>
                    <w:rPr>
                      <w:rFonts w:hint="eastAsia" w:ascii="宋体" w:hAnsi="宋体"/>
                      <w:color w:val="0D0D0D" w:themeColor="text1" w:themeTint="F2"/>
                      <w:sz w:val="21"/>
                      <w:szCs w:val="21"/>
                      <w14:textFill>
                        <w14:solidFill>
                          <w14:schemeClr w14:val="tx1">
                            <w14:lumMod w14:val="95000"/>
                            <w14:lumOff w14:val="5000"/>
                          </w14:schemeClr>
                        </w14:solidFill>
                      </w14:textFill>
                    </w:rPr>
                    <w:t>钻试期间洗井废水和压裂返排液由地面储罐收集后，依托采油一厂红山嘴原油处理站采出水处理系统处理，处理达标后回注油藏。</w:t>
                  </w:r>
                  <w:bookmarkEnd w:id="4"/>
                </w:p>
              </w:tc>
              <w:tc>
                <w:tcPr>
                  <w:tcW w:w="557" w:type="pct"/>
                  <w:tcMar>
                    <w:left w:w="0" w:type="dxa"/>
                    <w:right w:w="0" w:type="dxa"/>
                  </w:tcMar>
                  <w:vAlign w:val="center"/>
                </w:tcPr>
                <w:p w14:paraId="0494A55E">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符合</w:t>
                  </w:r>
                </w:p>
              </w:tc>
            </w:tr>
            <w:tr w14:paraId="0F2CD2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01" w:type="pct"/>
                  <w:tcMar>
                    <w:left w:w="0" w:type="dxa"/>
                    <w:right w:w="0" w:type="dxa"/>
                  </w:tcMar>
                  <w:vAlign w:val="center"/>
                </w:tcPr>
                <w:p w14:paraId="5ED4E273">
                  <w:pPr>
                    <w:adjustRightInd w:val="0"/>
                    <w:snapToGrid w:val="0"/>
                    <w:spacing w:line="300" w:lineRule="exact"/>
                    <w:jc w:val="cente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4</w:t>
                  </w:r>
                </w:p>
              </w:tc>
              <w:tc>
                <w:tcPr>
                  <w:tcW w:w="2316" w:type="pct"/>
                  <w:tcMar>
                    <w:left w:w="0" w:type="dxa"/>
                    <w:right w:w="0" w:type="dxa"/>
                  </w:tcMar>
                  <w:vAlign w:val="center"/>
                </w:tcPr>
                <w:p w14:paraId="28005070">
                  <w:pPr>
                    <w:autoSpaceDE w:val="0"/>
                    <w:autoSpaceDN w:val="0"/>
                    <w:adjustRightInd w:val="0"/>
                    <w:snapToGrid w:val="0"/>
                    <w:spacing w:line="300" w:lineRule="exact"/>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四）加强生态环境系统治理，维护生态安全。坚持节约优先、保护优先、自然恢复为主，统筹推进山水林田湖草沙一体化保护和系统治理，守住自然生态安全边界。严格控制油气田开发扰动范围，加大生态治理力度，结合油气开采绿色矿山建设等相关要求，落实各项生态环境保护措施，保障区域生态功能不退化。油气开发应同步制定并落实生态保护和修复方案，综合考虑防沙治沙等相关要求，因地制宜开展生态恢复治理工作。</w:t>
                  </w:r>
                </w:p>
              </w:tc>
              <w:tc>
                <w:tcPr>
                  <w:tcW w:w="1926" w:type="pct"/>
                  <w:tcMar>
                    <w:left w:w="0" w:type="dxa"/>
                    <w:right w:w="0" w:type="dxa"/>
                  </w:tcMar>
                  <w:vAlign w:val="center"/>
                </w:tcPr>
                <w:p w14:paraId="2F1A996D">
                  <w:pPr>
                    <w:adjustRightInd w:val="0"/>
                    <w:snapToGrid w:val="0"/>
                    <w:spacing w:line="300" w:lineRule="exact"/>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根据试采结果决定新钻井是否转为生产井，若可转为生产井，则应当在产能开发建设前对其开展环境影响评价工作，编制环境影响评价文件</w:t>
                  </w:r>
                  <w:r>
                    <w:rPr>
                      <w:rFonts w:ascii="宋体" w:hAnsi="宋体"/>
                      <w:color w:val="0D0D0D" w:themeColor="text1" w:themeTint="F2"/>
                      <w:sz w:val="21"/>
                      <w:szCs w:val="21"/>
                      <w14:textFill>
                        <w14:solidFill>
                          <w14:schemeClr w14:val="tx1">
                            <w14:lumMod w14:val="95000"/>
                            <w14:lumOff w14:val="5000"/>
                          </w14:schemeClr>
                        </w14:solidFill>
                      </w14:textFill>
                    </w:rPr>
                    <w:t>。</w:t>
                  </w:r>
                  <w:r>
                    <w:rPr>
                      <w:rFonts w:hint="eastAsia" w:ascii="宋体" w:hAnsi="宋体"/>
                      <w:color w:val="0D0D0D" w:themeColor="text1" w:themeTint="F2"/>
                      <w:sz w:val="21"/>
                      <w:szCs w:val="21"/>
                      <w14:textFill>
                        <w14:solidFill>
                          <w14:schemeClr w14:val="tx1">
                            <w14:lumMod w14:val="95000"/>
                            <w14:lumOff w14:val="5000"/>
                          </w14:schemeClr>
                        </w14:solidFill>
                      </w14:textFill>
                    </w:rPr>
                    <w:t>若不具备转产条件，则应根据《废弃井封井回填技术指南（试行）》《废弃井及长停井处置指南》（SY/T6646-2017）、《陆上石油天然气生产环境保护推荐做法》（SY/T6628-2005）、《矿山生态环境保护与恢复治理技术规范（试行）》（HJ651-2013）和中国石油新疆油田分公司的相关要求对新钻井进行封井，并拆除相关设施，确保无土壤及地下水环境污染遗留问题、废弃物均得到妥善处置，制定生态恢复方案，报告中提出了相应的生态保护和恢复措施。</w:t>
                  </w:r>
                </w:p>
              </w:tc>
              <w:tc>
                <w:tcPr>
                  <w:tcW w:w="557" w:type="pct"/>
                  <w:tcMar>
                    <w:left w:w="0" w:type="dxa"/>
                    <w:right w:w="0" w:type="dxa"/>
                  </w:tcMar>
                  <w:vAlign w:val="center"/>
                </w:tcPr>
                <w:p w14:paraId="2A7CC20A">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符合</w:t>
                  </w:r>
                </w:p>
              </w:tc>
            </w:tr>
            <w:tr w14:paraId="1D3532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01" w:type="pct"/>
                  <w:tcMar>
                    <w:left w:w="0" w:type="dxa"/>
                    <w:right w:w="0" w:type="dxa"/>
                  </w:tcMar>
                  <w:vAlign w:val="center"/>
                </w:tcPr>
                <w:p w14:paraId="45943C4F">
                  <w:pPr>
                    <w:adjustRightInd w:val="0"/>
                    <w:snapToGrid w:val="0"/>
                    <w:spacing w:line="300" w:lineRule="exact"/>
                    <w:jc w:val="cente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5</w:t>
                  </w:r>
                </w:p>
              </w:tc>
              <w:tc>
                <w:tcPr>
                  <w:tcW w:w="2316" w:type="pct"/>
                  <w:tcMar>
                    <w:left w:w="0" w:type="dxa"/>
                    <w:right w:w="0" w:type="dxa"/>
                  </w:tcMar>
                  <w:vAlign w:val="center"/>
                </w:tcPr>
                <w:p w14:paraId="62DA8B4C">
                  <w:pPr>
                    <w:autoSpaceDE w:val="0"/>
                    <w:autoSpaceDN w:val="0"/>
                    <w:adjustRightInd w:val="0"/>
                    <w:snapToGrid w:val="0"/>
                    <w:spacing w:line="300" w:lineRule="exact"/>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六）加强油气开发事中事后环境管理。油气企业应切实落实生态环境保护主体责任，进一步健全生态环境管理和应急管理体系，确保各项生态环境保护和应急防控措施落实到位。建立环境空气、水环境、土壤环境、生态等监测体系，开展长期跟踪监测。根据监测结果，及时优化开发方案，并采取有效的生态环境保护措施。</w:t>
                  </w:r>
                </w:p>
              </w:tc>
              <w:tc>
                <w:tcPr>
                  <w:tcW w:w="1926" w:type="pct"/>
                  <w:tcMar>
                    <w:left w:w="0" w:type="dxa"/>
                    <w:right w:w="0" w:type="dxa"/>
                  </w:tcMar>
                  <w:vAlign w:val="center"/>
                </w:tcPr>
                <w:p w14:paraId="751ED253">
                  <w:pPr>
                    <w:adjustRightInd w:val="0"/>
                    <w:snapToGrid w:val="0"/>
                    <w:spacing w:line="300" w:lineRule="exact"/>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本项目仅有施工期，无运营期。</w:t>
                  </w:r>
                </w:p>
              </w:tc>
              <w:tc>
                <w:tcPr>
                  <w:tcW w:w="557" w:type="pct"/>
                  <w:tcMar>
                    <w:left w:w="0" w:type="dxa"/>
                    <w:right w:w="0" w:type="dxa"/>
                  </w:tcMar>
                  <w:vAlign w:val="center"/>
                </w:tcPr>
                <w:p w14:paraId="3A77B3B0">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符合</w:t>
                  </w:r>
                </w:p>
              </w:tc>
            </w:tr>
          </w:tbl>
          <w:p w14:paraId="1CDAFCCC">
            <w:pPr>
              <w:adjustRightInd w:val="0"/>
              <w:snapToGrid w:val="0"/>
              <w:spacing w:line="4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p>
        </w:tc>
      </w:tr>
      <w:tr w14:paraId="367A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4" w:type="dxa"/>
            <w:vMerge w:val="restart"/>
            <w:vAlign w:val="center"/>
          </w:tcPr>
          <w:p w14:paraId="419BD08E">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r>
              <w:rPr>
                <w:rFonts w:hint="eastAsia" w:ascii="宋体" w:hAnsi="宋体" w:cs="宋体"/>
                <w:color w:val="0D0D0D" w:themeColor="text1" w:themeTint="F2"/>
                <w:kern w:val="0"/>
                <w14:textFill>
                  <w14:solidFill>
                    <w14:schemeClr w14:val="tx1">
                      <w14:lumMod w14:val="95000"/>
                      <w14:lumOff w14:val="5000"/>
                    </w14:schemeClr>
                  </w14:solidFill>
                </w14:textFill>
              </w:rPr>
              <w:t>其他符合性分析</w:t>
            </w:r>
          </w:p>
        </w:tc>
        <w:tc>
          <w:tcPr>
            <w:tcW w:w="929" w:type="dxa"/>
            <w:gridSpan w:val="2"/>
            <w:vAlign w:val="center"/>
          </w:tcPr>
          <w:p w14:paraId="119CBB52">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r>
              <w:rPr>
                <w:rFonts w:hint="eastAsia" w:ascii="宋体" w:hAnsi="宋体" w:cs="宋体"/>
                <w:color w:val="0D0D0D" w:themeColor="text1" w:themeTint="F2"/>
                <w:kern w:val="0"/>
                <w14:textFill>
                  <w14:solidFill>
                    <w14:schemeClr w14:val="tx1">
                      <w14:lumMod w14:val="95000"/>
                      <w14:lumOff w14:val="5000"/>
                    </w14:schemeClr>
                  </w14:solidFill>
                </w14:textFill>
              </w:rPr>
              <w:t>产业政策</w:t>
            </w:r>
          </w:p>
        </w:tc>
        <w:tc>
          <w:tcPr>
            <w:tcW w:w="7089" w:type="dxa"/>
            <w:gridSpan w:val="5"/>
            <w:vAlign w:val="center"/>
          </w:tcPr>
          <w:p w14:paraId="44CAE333">
            <w:pPr>
              <w:adjustRightInd w:val="0"/>
              <w:snapToGrid w:val="0"/>
              <w:spacing w:line="4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本项目属于《产业结构调整指导目录（20</w:t>
            </w:r>
            <w:r>
              <w:rPr>
                <w:rFonts w:ascii="宋体" w:hAnsi="宋体" w:cs="宋体"/>
                <w:color w:val="0D0D0D" w:themeColor="text1" w:themeTint="F2"/>
                <w14:textFill>
                  <w14:solidFill>
                    <w14:schemeClr w14:val="tx1">
                      <w14:lumMod w14:val="95000"/>
                      <w14:lumOff w14:val="5000"/>
                    </w14:schemeClr>
                  </w14:solidFill>
                </w14:textFill>
              </w:rPr>
              <w:t>24</w:t>
            </w:r>
            <w:r>
              <w:rPr>
                <w:rFonts w:hint="eastAsia" w:ascii="宋体" w:hAnsi="宋体" w:cs="宋体"/>
                <w:color w:val="0D0D0D" w:themeColor="text1" w:themeTint="F2"/>
                <w14:textFill>
                  <w14:solidFill>
                    <w14:schemeClr w14:val="tx1">
                      <w14:lumMod w14:val="95000"/>
                      <w14:lumOff w14:val="5000"/>
                    </w14:schemeClr>
                  </w14:solidFill>
                </w14:textFill>
              </w:rPr>
              <w:t>年本）》中的鼓励类——七、石油天然气——1、常规石油、天然气勘探与开采，页岩气、页岩油、致密油（气）、油砂、天然气水合物等非常规资源勘探开发，符合国家产业政策。</w:t>
            </w:r>
          </w:p>
        </w:tc>
      </w:tr>
      <w:tr w14:paraId="0620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4" w:type="dxa"/>
            <w:vMerge w:val="continue"/>
            <w:vAlign w:val="center"/>
          </w:tcPr>
          <w:p w14:paraId="250A357F">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p>
        </w:tc>
        <w:tc>
          <w:tcPr>
            <w:tcW w:w="456" w:type="dxa"/>
            <w:vMerge w:val="restart"/>
            <w:vAlign w:val="center"/>
          </w:tcPr>
          <w:p w14:paraId="13B31066">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r>
              <w:rPr>
                <w:rFonts w:hint="eastAsia" w:ascii="宋体" w:hAnsi="宋体" w:cs="宋体"/>
                <w:color w:val="0D0D0D" w:themeColor="text1" w:themeTint="F2"/>
                <w:kern w:val="0"/>
                <w14:textFill>
                  <w14:solidFill>
                    <w14:schemeClr w14:val="tx1">
                      <w14:lumMod w14:val="95000"/>
                      <w14:lumOff w14:val="5000"/>
                    </w14:schemeClr>
                  </w14:solidFill>
                </w14:textFill>
              </w:rPr>
              <w:t>三线一单</w:t>
            </w:r>
          </w:p>
        </w:tc>
        <w:tc>
          <w:tcPr>
            <w:tcW w:w="936" w:type="dxa"/>
            <w:gridSpan w:val="2"/>
            <w:vAlign w:val="center"/>
          </w:tcPr>
          <w:p w14:paraId="5788C290">
            <w:pPr>
              <w:snapToGrid w:val="0"/>
              <w:spacing w:line="43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生态保护红线</w:t>
            </w:r>
          </w:p>
        </w:tc>
        <w:tc>
          <w:tcPr>
            <w:tcW w:w="6626" w:type="dxa"/>
            <w:gridSpan w:val="4"/>
            <w:vAlign w:val="center"/>
          </w:tcPr>
          <w:p w14:paraId="164F24A3">
            <w:pPr>
              <w:adjustRightInd w:val="0"/>
              <w:snapToGrid w:val="0"/>
              <w:spacing w:line="4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bookmarkStart w:id="5" w:name="_Hlk80047881"/>
            <w:r>
              <w:rPr>
                <w:rFonts w:hint="eastAsia" w:ascii="宋体" w:hAnsi="宋体" w:cs="宋体"/>
                <w:color w:val="0D0D0D" w:themeColor="text1" w:themeTint="F2"/>
                <w14:textFill>
                  <w14:solidFill>
                    <w14:schemeClr w14:val="tx1">
                      <w14:lumMod w14:val="95000"/>
                      <w14:lumOff w14:val="5000"/>
                    </w14:schemeClr>
                  </w14:solidFill>
                </w14:textFill>
              </w:rPr>
              <w:t>根据《新疆维吾尔自治区生态环境分区管控动态更新成果》</w:t>
            </w:r>
            <w:bookmarkStart w:id="6" w:name="_Hlk80045814"/>
            <w:r>
              <w:rPr>
                <w:rFonts w:hint="eastAsia" w:ascii="宋体" w:hAnsi="宋体" w:cs="宋体"/>
                <w:color w:val="0D0D0D" w:themeColor="text1" w:themeTint="F2"/>
                <w14:textFill>
                  <w14:solidFill>
                    <w14:schemeClr w14:val="tx1">
                      <w14:lumMod w14:val="95000"/>
                      <w14:lumOff w14:val="5000"/>
                    </w14:schemeClr>
                  </w14:solidFill>
                </w14:textFill>
              </w:rPr>
              <w:t>（</w:t>
            </w:r>
            <w:bookmarkEnd w:id="5"/>
            <w:bookmarkEnd w:id="6"/>
            <w:r>
              <w:rPr>
                <w:rFonts w:hint="eastAsia" w:ascii="宋体" w:hAnsi="宋体" w:cs="宋体"/>
                <w:color w:val="0D0D0D" w:themeColor="text1" w:themeTint="F2"/>
                <w14:textFill>
                  <w14:solidFill>
                    <w14:schemeClr w14:val="tx1">
                      <w14:lumMod w14:val="95000"/>
                      <w14:lumOff w14:val="5000"/>
                    </w14:schemeClr>
                  </w14:solidFill>
                </w14:textFill>
              </w:rPr>
              <w:t>新环环评发〔2024〕157号）和《昌吉回族自治州生态环境分区管控动态更新成果》，曙探1井位于重点管控单元，不在划定的生态保护红线范围内，</w:t>
            </w:r>
            <w:bookmarkStart w:id="7" w:name="_Hlk208330175"/>
            <w:r>
              <w:rPr>
                <w:rFonts w:hint="eastAsia" w:ascii="宋体" w:hAnsi="宋体" w:cs="宋体"/>
                <w:color w:val="0D0D0D" w:themeColor="text1" w:themeTint="F2"/>
                <w14:textFill>
                  <w14:solidFill>
                    <w14:schemeClr w14:val="tx1">
                      <w14:lumMod w14:val="95000"/>
                      <w14:lumOff w14:val="5000"/>
                    </w14:schemeClr>
                  </w14:solidFill>
                </w14:textFill>
              </w:rPr>
              <w:t>环境管控单元名</w:t>
            </w:r>
            <w:r>
              <w:rPr>
                <w:rStyle w:val="60"/>
                <w:rFonts w:hint="eastAsia"/>
                <w:color w:val="0D0D0D" w:themeColor="text1" w:themeTint="F2"/>
                <w14:textFill>
                  <w14:solidFill>
                    <w14:schemeClr w14:val="tx1">
                      <w14:lumMod w14:val="95000"/>
                      <w14:lumOff w14:val="5000"/>
                    </w14:schemeClr>
                  </w14:solidFill>
                </w14:textFill>
              </w:rPr>
              <w:t>称为</w:t>
            </w:r>
            <w:r>
              <w:rPr>
                <w:rStyle w:val="60"/>
                <w:color w:val="0D0D0D" w:themeColor="text1" w:themeTint="F2"/>
                <w14:textFill>
                  <w14:solidFill>
                    <w14:schemeClr w14:val="tx1">
                      <w14:lumMod w14:val="95000"/>
                      <w14:lumOff w14:val="5000"/>
                    </w14:schemeClr>
                  </w14:solidFill>
                </w14:textFill>
              </w:rPr>
              <w:t>昌吉州西部限采区</w:t>
            </w:r>
            <w:r>
              <w:rPr>
                <w:rStyle w:val="60"/>
                <w:rFonts w:hint="eastAsia"/>
                <w:color w:val="0D0D0D" w:themeColor="text1" w:themeTint="F2"/>
                <w14:textFill>
                  <w14:solidFill>
                    <w14:schemeClr w14:val="tx1">
                      <w14:lumMod w14:val="95000"/>
                      <w14:lumOff w14:val="5000"/>
                    </w14:schemeClr>
                  </w14:solidFill>
                </w14:textFill>
              </w:rPr>
              <w:t>，编码为</w:t>
            </w:r>
            <w:r>
              <w:rPr>
                <w:rStyle w:val="60"/>
                <w:color w:val="0D0D0D" w:themeColor="text1" w:themeTint="F2"/>
                <w14:textFill>
                  <w14:solidFill>
                    <w14:schemeClr w14:val="tx1">
                      <w14:lumMod w14:val="95000"/>
                      <w14:lumOff w14:val="5000"/>
                    </w14:schemeClr>
                  </w14:solidFill>
                </w14:textFill>
              </w:rPr>
              <w:t>ZH65232320004</w:t>
            </w:r>
            <w:bookmarkEnd w:id="7"/>
            <w:r>
              <w:rPr>
                <w:rStyle w:val="60"/>
                <w:rFonts w:hint="eastAsia"/>
                <w:color w:val="0D0D0D" w:themeColor="text1" w:themeTint="F2"/>
                <w14:textFill>
                  <w14:solidFill>
                    <w14:schemeClr w14:val="tx1">
                      <w14:lumMod w14:val="95000"/>
                      <w14:lumOff w14:val="5000"/>
                    </w14:schemeClr>
                  </w14:solidFill>
                </w14:textFill>
              </w:rPr>
              <w:t>，具体划分</w:t>
            </w:r>
            <w:r>
              <w:rPr>
                <w:rFonts w:hint="eastAsia" w:ascii="宋体" w:hAnsi="宋体" w:cs="宋体"/>
                <w:color w:val="0D0D0D" w:themeColor="text1" w:themeTint="F2"/>
                <w14:textFill>
                  <w14:solidFill>
                    <w14:schemeClr w14:val="tx1">
                      <w14:lumMod w14:val="95000"/>
                      <w14:lumOff w14:val="5000"/>
                    </w14:schemeClr>
                  </w14:solidFill>
                </w14:textFill>
              </w:rPr>
              <w:t>见附图1。</w:t>
            </w:r>
          </w:p>
          <w:p w14:paraId="2574B8C0">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项目建设符合《新疆维吾尔自治区生态环境分区管控动态更新成果》（新环环评发〔2024〕157号），相关分析见</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REF _Ref208329206 \h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表4</w:t>
            </w:r>
            <w:r>
              <w:rPr>
                <w:rFonts w:hint="eastAsia"/>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w:t>
            </w:r>
          </w:p>
          <w:p w14:paraId="4A603D92">
            <w:pPr>
              <w:pStyle w:val="8"/>
              <w:rPr>
                <w:rFonts w:hint="eastAsia"/>
                <w:color w:val="0D0D0D" w:themeColor="text1" w:themeTint="F2"/>
                <w14:textFill>
                  <w14:solidFill>
                    <w14:schemeClr w14:val="tx1">
                      <w14:lumMod w14:val="95000"/>
                      <w14:lumOff w14:val="5000"/>
                    </w14:schemeClr>
                  </w14:solidFill>
                </w14:textFill>
              </w:rPr>
            </w:pPr>
            <w:bookmarkStart w:id="8" w:name="_Ref208329206"/>
            <w:bookmarkStart w:id="9" w:name="_Ref208329203"/>
            <w:r>
              <w:rPr>
                <w:rFonts w:hint="eastAsia"/>
                <w:color w:val="0D0D0D" w:themeColor="text1" w:themeTint="F2"/>
                <w14:textFill>
                  <w14:solidFill>
                    <w14:schemeClr w14:val="tx1">
                      <w14:lumMod w14:val="95000"/>
                      <w14:lumOff w14:val="5000"/>
                    </w14:schemeClr>
                  </w14:solidFill>
                </w14:textFill>
              </w:rPr>
              <w:t>表</w:t>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w:instrText>
            </w:r>
            <w:r>
              <w:rPr>
                <w:rFonts w:hint="eastAsia"/>
                <w:color w:val="0D0D0D" w:themeColor="text1" w:themeTint="F2"/>
                <w14:textFill>
                  <w14:solidFill>
                    <w14:schemeClr w14:val="tx1">
                      <w14:lumMod w14:val="95000"/>
                      <w14:lumOff w14:val="5000"/>
                    </w14:schemeClr>
                  </w14:solidFill>
                </w14:textFill>
              </w:rPr>
              <w:instrText xml:space="preserve">SEQ 表 \* ARABIC</w:instrText>
            </w:r>
            <w:r>
              <w:rPr>
                <w:color w:val="0D0D0D" w:themeColor="text1" w:themeTint="F2"/>
                <w14:textFill>
                  <w14:solidFill>
                    <w14:schemeClr w14:val="tx1">
                      <w14:lumMod w14:val="95000"/>
                      <w14:lumOff w14:val="5000"/>
                    </w14:schemeClr>
                  </w14:solidFill>
                </w14:textFill>
              </w:rPr>
              <w:instrText xml:space="preserve"> </w:instrText>
            </w:r>
            <w:r>
              <w:rPr>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4</w:t>
            </w:r>
            <w:r>
              <w:rPr>
                <w:color w:val="0D0D0D" w:themeColor="text1" w:themeTint="F2"/>
                <w14:textFill>
                  <w14:solidFill>
                    <w14:schemeClr w14:val="tx1">
                      <w14:lumMod w14:val="95000"/>
                      <w14:lumOff w14:val="5000"/>
                    </w14:schemeClr>
                  </w14:solidFill>
                </w14:textFill>
              </w:rPr>
              <w:fldChar w:fldCharType="end"/>
            </w:r>
            <w:bookmarkEnd w:id="8"/>
            <w:r>
              <w:rPr>
                <w:rFonts w:hint="eastAsia"/>
                <w:color w:val="0D0D0D" w:themeColor="text1" w:themeTint="F2"/>
                <w14:textFill>
                  <w14:solidFill>
                    <w14:schemeClr w14:val="tx1">
                      <w14:lumMod w14:val="95000"/>
                      <w14:lumOff w14:val="5000"/>
                    </w14:schemeClr>
                  </w14:solidFill>
                </w14:textFill>
              </w:rPr>
              <w:t xml:space="preserve">    与《新疆维吾尔自治区生态环境分区管控动态更新成果》（新环环评发〔2024〕157号）的符合性分析</w:t>
            </w:r>
            <w:bookmarkEnd w:id="9"/>
          </w:p>
          <w:tbl>
            <w:tblPr>
              <w:tblStyle w:val="29"/>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65"/>
              <w:gridCol w:w="3666"/>
              <w:gridCol w:w="2079"/>
              <w:gridCol w:w="602"/>
            </w:tblGrid>
            <w:tr w14:paraId="6CEFAB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01" w:type="pct"/>
                  <w:tcMar>
                    <w:left w:w="0" w:type="dxa"/>
                    <w:right w:w="0" w:type="dxa"/>
                  </w:tcMar>
                  <w:vAlign w:val="center"/>
                </w:tcPr>
                <w:p w14:paraId="753D3AAF">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bookmarkStart w:id="10" w:name="_Hlk208329092"/>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序号</w:t>
                  </w:r>
                </w:p>
              </w:tc>
              <w:tc>
                <w:tcPr>
                  <w:tcW w:w="2772" w:type="pct"/>
                  <w:tcMar>
                    <w:left w:w="0" w:type="dxa"/>
                    <w:right w:w="0" w:type="dxa"/>
                  </w:tcMar>
                  <w:vAlign w:val="center"/>
                </w:tcPr>
                <w:p w14:paraId="490131A0">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《成果》要求</w:t>
                  </w:r>
                </w:p>
              </w:tc>
              <w:tc>
                <w:tcPr>
                  <w:tcW w:w="1572" w:type="pct"/>
                  <w:tcMar>
                    <w:left w:w="0" w:type="dxa"/>
                    <w:right w:w="0" w:type="dxa"/>
                  </w:tcMar>
                  <w:vAlign w:val="center"/>
                </w:tcPr>
                <w:p w14:paraId="4DD9B040">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拟采取的相关措施</w:t>
                  </w:r>
                </w:p>
              </w:tc>
              <w:tc>
                <w:tcPr>
                  <w:tcW w:w="455" w:type="pct"/>
                  <w:tcMar>
                    <w:left w:w="0" w:type="dxa"/>
                    <w:right w:w="0" w:type="dxa"/>
                  </w:tcMar>
                  <w:vAlign w:val="center"/>
                </w:tcPr>
                <w:p w14:paraId="334B5B05">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相符性分析</w:t>
                  </w:r>
                </w:p>
              </w:tc>
            </w:tr>
            <w:tr w14:paraId="156625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01" w:type="pct"/>
                  <w:tcMar>
                    <w:left w:w="0" w:type="dxa"/>
                    <w:right w:w="0" w:type="dxa"/>
                  </w:tcMar>
                  <w:vAlign w:val="center"/>
                </w:tcPr>
                <w:p w14:paraId="419341CA">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1</w:t>
                  </w:r>
                </w:p>
              </w:tc>
              <w:tc>
                <w:tcPr>
                  <w:tcW w:w="2772" w:type="pct"/>
                  <w:tcMar>
                    <w:left w:w="0" w:type="dxa"/>
                    <w:right w:w="0" w:type="dxa"/>
                  </w:tcMar>
                  <w:vAlign w:val="center"/>
                </w:tcPr>
                <w:p w14:paraId="494FB8A0">
                  <w:pPr>
                    <w:numPr>
                      <w:ilvl w:val="0"/>
                      <w:numId w:val="2"/>
                    </w:numPr>
                    <w:autoSpaceDE w:val="0"/>
                    <w:autoSpaceDN w:val="0"/>
                    <w:adjustRightInd w:val="0"/>
                    <w:snapToGrid w:val="0"/>
                    <w:spacing w:line="300" w:lineRule="exact"/>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禁止新建、扩建《产业结构调整指导目录(2024年本)》中淘汰类项目。禁止引入《市场准入负面清单(2022年版)》禁止准入类事项。</w:t>
                  </w:r>
                </w:p>
                <w:p w14:paraId="126AAE97">
                  <w:pPr>
                    <w:numPr>
                      <w:ilvl w:val="0"/>
                      <w:numId w:val="2"/>
                    </w:numPr>
                    <w:autoSpaceDE w:val="0"/>
                    <w:autoSpaceDN w:val="0"/>
                    <w:adjustRightInd w:val="0"/>
                    <w:snapToGrid w:val="0"/>
                    <w:spacing w:line="300" w:lineRule="exact"/>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禁止建设不符合国家和自治区环境保护标准的项目。</w:t>
                  </w:r>
                </w:p>
                <w:p w14:paraId="21B88FE1">
                  <w:pPr>
                    <w:numPr>
                      <w:ilvl w:val="0"/>
                      <w:numId w:val="2"/>
                    </w:numPr>
                    <w:autoSpaceDE w:val="0"/>
                    <w:autoSpaceDN w:val="0"/>
                    <w:adjustRightInd w:val="0"/>
                    <w:snapToGrid w:val="0"/>
                    <w:spacing w:line="300" w:lineRule="exact"/>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禁止在饮用水水源保护区、风景名胜区、自然保护区的核心区和缓冲区、城镇居民区、文化教育科学研究区等人口集中区域以及法律、法规规定的其他禁止养殖区域建设畜禽养殖场、养殖小区。</w:t>
                  </w:r>
                </w:p>
                <w:p w14:paraId="407466FB">
                  <w:pPr>
                    <w:numPr>
                      <w:ilvl w:val="0"/>
                      <w:numId w:val="2"/>
                    </w:numPr>
                    <w:autoSpaceDE w:val="0"/>
                    <w:autoSpaceDN w:val="0"/>
                    <w:adjustRightInd w:val="0"/>
                    <w:snapToGrid w:val="0"/>
                    <w:spacing w:line="300" w:lineRule="exact"/>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禁止在水源涵养区、地下水源、饮用水源、自然保护区、风景名胜区、森林公园、重要湿地及人群密集区等生态敏感区域内进行煤炭、石油、天然气开发。</w:t>
                  </w:r>
                </w:p>
                <w:p w14:paraId="4C9F8685">
                  <w:pPr>
                    <w:numPr>
                      <w:ilvl w:val="0"/>
                      <w:numId w:val="2"/>
                    </w:numPr>
                    <w:autoSpaceDE w:val="0"/>
                    <w:autoSpaceDN w:val="0"/>
                    <w:adjustRightInd w:val="0"/>
                    <w:snapToGrid w:val="0"/>
                    <w:spacing w:line="300" w:lineRule="exact"/>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严格执行危险化学品“禁限控”目录,新建危险化学品生产项目必须进入一般或较低安全风险的化工园区(与其他行业生产装置配套建设的项目除外),引导其他石化化工项目在化工园区发展。</w:t>
                  </w:r>
                </w:p>
                <w:p w14:paraId="1EF88644">
                  <w:pPr>
                    <w:numPr>
                      <w:ilvl w:val="0"/>
                      <w:numId w:val="2"/>
                    </w:numPr>
                    <w:autoSpaceDE w:val="0"/>
                    <w:autoSpaceDN w:val="0"/>
                    <w:adjustRightInd w:val="0"/>
                    <w:snapToGrid w:val="0"/>
                    <w:spacing w:line="300" w:lineRule="exact"/>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严禁新建自治区《禁止、控制和限制危险化学品目录》中淘汰类、禁止类危险化学品化工项目。严格执行生态保护红线、永久基本农田管控要求,禁止新(改、扩) 建化工项目违规占用生态保护红线和永久基本农田。在塔里木河、伊犁河、额尔齐斯河干流及主要支流岸线 1公里范围内,除提升安全、环保、节能、智能化、产品质量水平的技术改造项目外,严格禁止新建、扩建化工项目,不得布局新的化工园区(含化工集中区)。</w:t>
                  </w:r>
                </w:p>
              </w:tc>
              <w:tc>
                <w:tcPr>
                  <w:tcW w:w="1572" w:type="pct"/>
                  <w:tcMar>
                    <w:left w:w="0" w:type="dxa"/>
                    <w:right w:w="0" w:type="dxa"/>
                  </w:tcMar>
                  <w:vAlign w:val="center"/>
                </w:tcPr>
                <w:p w14:paraId="3F43B266">
                  <w:pPr>
                    <w:adjustRightInd w:val="0"/>
                    <w:snapToGrid w:val="0"/>
                    <w:spacing w:line="300" w:lineRule="exact"/>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本项目为油气资源勘探项目，属于鼓励类，符合国家产业政策；曙探1井占地类型为天然牧草地，不涉及耕地保护区，周围无饮用水水源保护区、畜禽养殖禁养区，不涉及畜禽养殖。项目不属于危险化学品化工类项目。</w:t>
                  </w:r>
                </w:p>
              </w:tc>
              <w:tc>
                <w:tcPr>
                  <w:tcW w:w="455" w:type="pct"/>
                  <w:tcMar>
                    <w:left w:w="0" w:type="dxa"/>
                    <w:right w:w="0" w:type="dxa"/>
                  </w:tcMar>
                  <w:vAlign w:val="center"/>
                </w:tcPr>
                <w:p w14:paraId="231FC8C6">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符合</w:t>
                  </w:r>
                </w:p>
              </w:tc>
            </w:tr>
            <w:tr w14:paraId="5161FE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01" w:type="pct"/>
                  <w:tcMar>
                    <w:left w:w="0" w:type="dxa"/>
                    <w:right w:w="0" w:type="dxa"/>
                  </w:tcMar>
                  <w:vAlign w:val="center"/>
                </w:tcPr>
                <w:p w14:paraId="0ACBBDB1">
                  <w:pPr>
                    <w:adjustRightInd w:val="0"/>
                    <w:snapToGrid w:val="0"/>
                    <w:spacing w:line="300" w:lineRule="exact"/>
                    <w:jc w:val="cente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2</w:t>
                  </w:r>
                </w:p>
              </w:tc>
              <w:tc>
                <w:tcPr>
                  <w:tcW w:w="2772" w:type="pct"/>
                  <w:tcMar>
                    <w:left w:w="0" w:type="dxa"/>
                    <w:right w:w="0" w:type="dxa"/>
                  </w:tcMar>
                  <w:vAlign w:val="center"/>
                </w:tcPr>
                <w:p w14:paraId="4538E8EC">
                  <w:pPr>
                    <w:numPr>
                      <w:ilvl w:val="0"/>
                      <w:numId w:val="3"/>
                    </w:numPr>
                    <w:autoSpaceDE w:val="0"/>
                    <w:autoSpaceDN w:val="0"/>
                    <w:adjustRightInd w:val="0"/>
                    <w:snapToGrid w:val="0"/>
                    <w:spacing w:line="300" w:lineRule="exact"/>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p w14:paraId="334C735C">
                  <w:pPr>
                    <w:numPr>
                      <w:ilvl w:val="0"/>
                      <w:numId w:val="3"/>
                    </w:numPr>
                    <w:autoSpaceDE w:val="0"/>
                    <w:autoSpaceDN w:val="0"/>
                    <w:adjustRightInd w:val="0"/>
                    <w:snapToGrid w:val="0"/>
                    <w:spacing w:line="300" w:lineRule="exact"/>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新、改、扩建重点行业建设项目应符合“三线一单”、产业政策、区域环评、规划环评和行业环境准入管控要求。重点区域的新、改、扩建重点行业建设项目应遵循重点重金属污染物排放“减量替代”原则。</w:t>
                  </w:r>
                </w:p>
                <w:p w14:paraId="6DEBD21C">
                  <w:pPr>
                    <w:numPr>
                      <w:ilvl w:val="0"/>
                      <w:numId w:val="3"/>
                    </w:numPr>
                    <w:autoSpaceDE w:val="0"/>
                    <w:autoSpaceDN w:val="0"/>
                    <w:adjustRightInd w:val="0"/>
                    <w:snapToGrid w:val="0"/>
                    <w:spacing w:line="300" w:lineRule="exact"/>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实施重点行业氮氧化物等污染物深度治理。持续推进钢铁、水泥、焦化行业超低排放改造。推进玻璃、陶瓷、铸造、铁合金、有色、煤化和石化等行业采取清洁生产、提标改造、深度治理等综合措施。加强自备燃煤机组污染治理设施运行管控,确保按照超低排放标准运行。针对铸造、铁合金、焦化、水泥、砖瓦、石灰、耐火材料、金属冶炼以及煤化工、石油化工等行业,严格控制物料储存、输送及生产工艺过程无组织排放。重点涉气排放企业逐步取消烟气旁路,因安全生产无法取消的,安装在线监控系统。</w:t>
                  </w:r>
                </w:p>
                <w:p w14:paraId="0AE8806D">
                  <w:pPr>
                    <w:numPr>
                      <w:ilvl w:val="0"/>
                      <w:numId w:val="3"/>
                    </w:numPr>
                    <w:autoSpaceDE w:val="0"/>
                    <w:autoSpaceDN w:val="0"/>
                    <w:adjustRightInd w:val="0"/>
                    <w:snapToGrid w:val="0"/>
                    <w:spacing w:line="300" w:lineRule="exact"/>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严控建材、铸造、冶炼等行业无组织排放,推进石化、化工、涂装、医药、包装印刷、油品储运销等行业项目挥发性有机物(VOCs)防治。严格有色金属冶炼、石油加工、化工、焦化等行业项目的土壤、地下水污染防治措施要求。</w:t>
                  </w:r>
                </w:p>
              </w:tc>
              <w:tc>
                <w:tcPr>
                  <w:tcW w:w="1572" w:type="pct"/>
                  <w:tcMar>
                    <w:left w:w="0" w:type="dxa"/>
                    <w:right w:w="0" w:type="dxa"/>
                  </w:tcMar>
                  <w:vAlign w:val="center"/>
                </w:tcPr>
                <w:p w14:paraId="149379A4">
                  <w:pPr>
                    <w:adjustRightInd w:val="0"/>
                    <w:snapToGrid w:val="0"/>
                    <w:spacing w:line="300" w:lineRule="exact"/>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ascii="宋体" w:hAnsi="宋体"/>
                      <w:color w:val="0D0D0D" w:themeColor="text1" w:themeTint="F2"/>
                      <w:sz w:val="21"/>
                      <w:szCs w:val="21"/>
                      <w14:textFill>
                        <w14:solidFill>
                          <w14:schemeClr w14:val="tx1">
                            <w14:lumMod w14:val="95000"/>
                            <w14:lumOff w14:val="5000"/>
                          </w14:schemeClr>
                        </w14:solidFill>
                      </w14:textFill>
                    </w:rPr>
                    <w:t>本项目为油气资源勘探项目，属于鼓励类，</w:t>
                  </w:r>
                  <w:r>
                    <w:rPr>
                      <w:rFonts w:hint="eastAsia" w:ascii="宋体" w:hAnsi="宋体"/>
                      <w:color w:val="0D0D0D" w:themeColor="text1" w:themeTint="F2"/>
                      <w:sz w:val="21"/>
                      <w:szCs w:val="21"/>
                      <w14:textFill>
                        <w14:solidFill>
                          <w14:schemeClr w14:val="tx1">
                            <w14:lumMod w14:val="95000"/>
                            <w14:lumOff w14:val="5000"/>
                          </w14:schemeClr>
                        </w14:solidFill>
                      </w14:textFill>
                    </w:rPr>
                    <w:t>符合国家产业政策及相关规划、“三线一单”及规划环评要求。</w:t>
                  </w:r>
                </w:p>
              </w:tc>
              <w:tc>
                <w:tcPr>
                  <w:tcW w:w="455" w:type="pct"/>
                  <w:tcMar>
                    <w:left w:w="0" w:type="dxa"/>
                    <w:right w:w="0" w:type="dxa"/>
                  </w:tcMar>
                  <w:vAlign w:val="center"/>
                </w:tcPr>
                <w:p w14:paraId="78AE4A36">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符合</w:t>
                  </w:r>
                </w:p>
              </w:tc>
            </w:tr>
            <w:tr w14:paraId="10499A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01" w:type="pct"/>
                  <w:tcMar>
                    <w:left w:w="0" w:type="dxa"/>
                    <w:right w:w="0" w:type="dxa"/>
                  </w:tcMar>
                  <w:vAlign w:val="center"/>
                </w:tcPr>
                <w:p w14:paraId="37663747">
                  <w:pPr>
                    <w:adjustRightInd w:val="0"/>
                    <w:snapToGrid w:val="0"/>
                    <w:spacing w:line="300" w:lineRule="exact"/>
                    <w:jc w:val="cente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3</w:t>
                  </w:r>
                </w:p>
              </w:tc>
              <w:tc>
                <w:tcPr>
                  <w:tcW w:w="2772" w:type="pct"/>
                  <w:tcMar>
                    <w:left w:w="0" w:type="dxa"/>
                    <w:right w:w="0" w:type="dxa"/>
                  </w:tcMar>
                  <w:vAlign w:val="center"/>
                </w:tcPr>
                <w:p w14:paraId="67636E11">
                  <w:pPr>
                    <w:numPr>
                      <w:ilvl w:val="0"/>
                      <w:numId w:val="4"/>
                    </w:numPr>
                    <w:autoSpaceDE w:val="0"/>
                    <w:autoSpaceDN w:val="0"/>
                    <w:adjustRightInd w:val="0"/>
                    <w:snapToGrid w:val="0"/>
                    <w:spacing w:line="300" w:lineRule="exact"/>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建立和完善重污染天气兵地联合应急预案、预报预警应急机制和会商联动机制。“乌—昌—石”区域内可能影响相邻行政区域大气环境的项目,兵地间、城市间必须相互征求意见。</w:t>
                  </w:r>
                </w:p>
                <w:p w14:paraId="6C8262C2">
                  <w:pPr>
                    <w:numPr>
                      <w:ilvl w:val="0"/>
                      <w:numId w:val="4"/>
                    </w:numPr>
                    <w:autoSpaceDE w:val="0"/>
                    <w:autoSpaceDN w:val="0"/>
                    <w:adjustRightInd w:val="0"/>
                    <w:snapToGrid w:val="0"/>
                    <w:spacing w:line="300" w:lineRule="exact"/>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强化重污染天气监测预报预警能力,建立和完善重污染天气兵地联合应急预案、预警应急机制和会商联动机制,加强轻、中度污染天气管控。</w:t>
                  </w:r>
                </w:p>
                <w:p w14:paraId="61138B7C">
                  <w:pPr>
                    <w:numPr>
                      <w:ilvl w:val="0"/>
                      <w:numId w:val="4"/>
                    </w:numPr>
                    <w:autoSpaceDE w:val="0"/>
                    <w:autoSpaceDN w:val="0"/>
                    <w:adjustRightInd w:val="0"/>
                    <w:snapToGrid w:val="0"/>
                    <w:spacing w:line="300" w:lineRule="exact"/>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依法推行农用地分类管理制度,强化受污染耕地安全利用和风险管控。因地制宜制定实施安全利用方案,鼓励采取种植结构调整等措施,确保受污染耕地全部实现安全利用。</w:t>
                  </w:r>
                </w:p>
                <w:p w14:paraId="45DAFA2D">
                  <w:pPr>
                    <w:numPr>
                      <w:ilvl w:val="0"/>
                      <w:numId w:val="4"/>
                    </w:numPr>
                    <w:autoSpaceDE w:val="0"/>
                    <w:autoSpaceDN w:val="0"/>
                    <w:adjustRightInd w:val="0"/>
                    <w:snapToGrid w:val="0"/>
                    <w:spacing w:line="300" w:lineRule="exact"/>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加强环境风险预警防控。加强涉危险废物企业、涉重金属企业、化工园区、集中式饮用水水源地及重点流域环境风险调查评估,实施分类分级风险管控,协同推进重点区域、流域生态环境污染综合防治、风险防控与生态修复。</w:t>
                  </w:r>
                </w:p>
              </w:tc>
              <w:tc>
                <w:tcPr>
                  <w:tcW w:w="1572" w:type="pct"/>
                  <w:tcMar>
                    <w:left w:w="0" w:type="dxa"/>
                    <w:right w:w="0" w:type="dxa"/>
                  </w:tcMar>
                  <w:vAlign w:val="center"/>
                </w:tcPr>
                <w:p w14:paraId="7CBC59ED">
                  <w:pPr>
                    <w:adjustRightInd w:val="0"/>
                    <w:snapToGrid w:val="0"/>
                    <w:spacing w:line="300" w:lineRule="exact"/>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本项目为油气勘探项目，仅有钻试期无运营期。项目占地为天然牧草地，不涉及耕地。</w:t>
                  </w:r>
                </w:p>
              </w:tc>
              <w:tc>
                <w:tcPr>
                  <w:tcW w:w="455" w:type="pct"/>
                  <w:tcMar>
                    <w:left w:w="0" w:type="dxa"/>
                    <w:right w:w="0" w:type="dxa"/>
                  </w:tcMar>
                  <w:vAlign w:val="center"/>
                </w:tcPr>
                <w:p w14:paraId="60D2C12C">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符合</w:t>
                  </w:r>
                </w:p>
              </w:tc>
            </w:tr>
            <w:tr w14:paraId="48E72F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01" w:type="pct"/>
                  <w:tcMar>
                    <w:left w:w="0" w:type="dxa"/>
                    <w:right w:w="0" w:type="dxa"/>
                  </w:tcMar>
                  <w:vAlign w:val="center"/>
                </w:tcPr>
                <w:p w14:paraId="72B3B268">
                  <w:pPr>
                    <w:adjustRightInd w:val="0"/>
                    <w:snapToGrid w:val="0"/>
                    <w:spacing w:line="300" w:lineRule="exact"/>
                    <w:jc w:val="cente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4</w:t>
                  </w:r>
                </w:p>
              </w:tc>
              <w:tc>
                <w:tcPr>
                  <w:tcW w:w="2772" w:type="pct"/>
                  <w:tcMar>
                    <w:left w:w="0" w:type="dxa"/>
                    <w:right w:w="0" w:type="dxa"/>
                  </w:tcMar>
                  <w:vAlign w:val="center"/>
                </w:tcPr>
                <w:p w14:paraId="72D02AB3">
                  <w:pPr>
                    <w:numPr>
                      <w:ilvl w:val="0"/>
                      <w:numId w:val="5"/>
                    </w:numPr>
                    <w:autoSpaceDE w:val="0"/>
                    <w:autoSpaceDN w:val="0"/>
                    <w:adjustRightInd w:val="0"/>
                    <w:snapToGrid w:val="0"/>
                    <w:spacing w:line="300" w:lineRule="exact"/>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土地资源上线指标控制在最终批复的国土空间规划控制指标内。</w:t>
                  </w:r>
                </w:p>
                <w:p w14:paraId="37031D06">
                  <w:pPr>
                    <w:numPr>
                      <w:ilvl w:val="0"/>
                      <w:numId w:val="5"/>
                    </w:numPr>
                    <w:autoSpaceDE w:val="0"/>
                    <w:autoSpaceDN w:val="0"/>
                    <w:adjustRightInd w:val="0"/>
                    <w:snapToGrid w:val="0"/>
                    <w:spacing w:line="300" w:lineRule="exact"/>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以碳达峰碳中和工作为引领,着力提高能源资源利用效率。引导重点行业深入实施清洁生产改造,钢铁、建材、石油化工等重点行业以及其他行业重点用能单位持续开展节能降耗。</w:t>
                  </w:r>
                </w:p>
                <w:p w14:paraId="0D7D3CBC">
                  <w:pPr>
                    <w:numPr>
                      <w:ilvl w:val="0"/>
                      <w:numId w:val="5"/>
                    </w:numPr>
                    <w:autoSpaceDE w:val="0"/>
                    <w:autoSpaceDN w:val="0"/>
                    <w:adjustRightInd w:val="0"/>
                    <w:snapToGrid w:val="0"/>
                    <w:spacing w:line="300" w:lineRule="exact"/>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在禁燃区内，禁止销售、燃用高污染燃料；禁止新建、扩建燃用高污染燃料的设施。已建成的,应当在规定期限内改用清洁能源。</w:t>
                  </w:r>
                </w:p>
              </w:tc>
              <w:tc>
                <w:tcPr>
                  <w:tcW w:w="1572" w:type="pct"/>
                  <w:tcMar>
                    <w:left w:w="0" w:type="dxa"/>
                    <w:right w:w="0" w:type="dxa"/>
                  </w:tcMar>
                  <w:vAlign w:val="center"/>
                </w:tcPr>
                <w:p w14:paraId="188FABB3">
                  <w:pPr>
                    <w:adjustRightInd w:val="0"/>
                    <w:snapToGrid w:val="0"/>
                    <w:spacing w:line="300" w:lineRule="exact"/>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本项目占地为临时占地，钻试工程结束后即恢复原有用途。不涉及永久占地，不涉及重点用能单位，不涉及禁燃区。</w:t>
                  </w:r>
                </w:p>
              </w:tc>
              <w:tc>
                <w:tcPr>
                  <w:tcW w:w="455" w:type="pct"/>
                  <w:tcMar>
                    <w:left w:w="0" w:type="dxa"/>
                    <w:right w:w="0" w:type="dxa"/>
                  </w:tcMar>
                  <w:vAlign w:val="center"/>
                </w:tcPr>
                <w:p w14:paraId="5ABABCBB">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符合</w:t>
                  </w:r>
                </w:p>
              </w:tc>
            </w:tr>
            <w:tr w14:paraId="01ABB1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01" w:type="pct"/>
                  <w:tcMar>
                    <w:left w:w="0" w:type="dxa"/>
                    <w:right w:w="0" w:type="dxa"/>
                  </w:tcMar>
                  <w:vAlign w:val="center"/>
                </w:tcPr>
                <w:p w14:paraId="6813F643">
                  <w:pPr>
                    <w:adjustRightInd w:val="0"/>
                    <w:snapToGrid w:val="0"/>
                    <w:spacing w:line="300" w:lineRule="exact"/>
                    <w:jc w:val="cente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lang w:bidi="ar"/>
                      <w14:textFill>
                        <w14:solidFill>
                          <w14:schemeClr w14:val="tx1">
                            <w14:lumMod w14:val="95000"/>
                            <w14:lumOff w14:val="5000"/>
                          </w14:schemeClr>
                        </w14:solidFill>
                      </w14:textFill>
                    </w:rPr>
                    <w:t>5</w:t>
                  </w:r>
                </w:p>
              </w:tc>
              <w:tc>
                <w:tcPr>
                  <w:tcW w:w="2772" w:type="pct"/>
                  <w:tcMar>
                    <w:left w:w="0" w:type="dxa"/>
                    <w:right w:w="0" w:type="dxa"/>
                  </w:tcMar>
                  <w:vAlign w:val="center"/>
                </w:tcPr>
                <w:p w14:paraId="60DB5DFA">
                  <w:pPr>
                    <w:autoSpaceDE w:val="0"/>
                    <w:autoSpaceDN w:val="0"/>
                    <w:adjustRightInd w:val="0"/>
                    <w:snapToGrid w:val="0"/>
                    <w:spacing w:line="300" w:lineRule="exact"/>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1.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1572" w:type="pct"/>
                  <w:tcMar>
                    <w:left w:w="0" w:type="dxa"/>
                    <w:right w:w="0" w:type="dxa"/>
                  </w:tcMar>
                  <w:vAlign w:val="center"/>
                </w:tcPr>
                <w:p w14:paraId="5AB12067">
                  <w:pPr>
                    <w:adjustRightInd w:val="0"/>
                    <w:snapToGrid w:val="0"/>
                    <w:spacing w:line="300" w:lineRule="exact"/>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试油结束后若无工业开采价值，井口将根据《废弃井封井回填技术指南（试行）》《废弃井及长停井处置指南》（SY/T6646-2017）、《陆上石油天然气生产环境保护推荐做法》（SY/T6628-2005）、《矿山生态环境保护与恢复治理技术规范（试行）》（HJ651-2013）和中国石油新疆油田分公司的相关要求对新钻井进行封井，并拆除相关设施，确保无土壤及地下水环境污染遗留问题、废弃物均得到妥善处置，制定生态恢复方案，报告中提出了相应的生态保护和恢复措施。</w:t>
                  </w:r>
                </w:p>
              </w:tc>
              <w:tc>
                <w:tcPr>
                  <w:tcW w:w="455" w:type="pct"/>
                  <w:tcMar>
                    <w:left w:w="0" w:type="dxa"/>
                    <w:right w:w="0" w:type="dxa"/>
                  </w:tcMar>
                  <w:vAlign w:val="center"/>
                </w:tcPr>
                <w:p w14:paraId="5834EE6D">
                  <w:pPr>
                    <w:adjustRightInd w:val="0"/>
                    <w:snapToGrid w:val="0"/>
                    <w:spacing w:line="300" w:lineRule="exact"/>
                    <w:jc w:val="center"/>
                    <w:rPr>
                      <w:rFonts w:hint="eastAsia" w:ascii="宋体" w:hAnsi="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olor w:val="0D0D0D" w:themeColor="text1" w:themeTint="F2"/>
                      <w:kern w:val="0"/>
                      <w:sz w:val="21"/>
                      <w:szCs w:val="21"/>
                      <w14:textFill>
                        <w14:solidFill>
                          <w14:schemeClr w14:val="tx1">
                            <w14:lumMod w14:val="95000"/>
                            <w14:lumOff w14:val="5000"/>
                          </w14:schemeClr>
                        </w14:solidFill>
                      </w14:textFill>
                    </w:rPr>
                    <w:t>符合</w:t>
                  </w:r>
                </w:p>
              </w:tc>
            </w:tr>
            <w:bookmarkEnd w:id="10"/>
          </w:tbl>
          <w:p w14:paraId="349D0048">
            <w:pPr>
              <w:adjustRightInd w:val="0"/>
              <w:snapToGrid w:val="0"/>
              <w:spacing w:line="4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p>
        </w:tc>
      </w:tr>
      <w:tr w14:paraId="4C221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4" w:type="dxa"/>
            <w:vMerge w:val="continue"/>
            <w:vAlign w:val="center"/>
          </w:tcPr>
          <w:p w14:paraId="2915CF4A">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p>
        </w:tc>
        <w:tc>
          <w:tcPr>
            <w:tcW w:w="456" w:type="dxa"/>
            <w:vMerge w:val="continue"/>
            <w:vAlign w:val="center"/>
          </w:tcPr>
          <w:p w14:paraId="44BE1DA7">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p>
        </w:tc>
        <w:tc>
          <w:tcPr>
            <w:tcW w:w="936" w:type="dxa"/>
            <w:gridSpan w:val="2"/>
            <w:vAlign w:val="center"/>
          </w:tcPr>
          <w:p w14:paraId="4C846C5B">
            <w:pPr>
              <w:snapToGrid w:val="0"/>
              <w:spacing w:line="43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环境质量底线</w:t>
            </w:r>
          </w:p>
        </w:tc>
        <w:tc>
          <w:tcPr>
            <w:tcW w:w="6626" w:type="dxa"/>
            <w:gridSpan w:val="4"/>
            <w:vAlign w:val="center"/>
          </w:tcPr>
          <w:p w14:paraId="0F3DACFD">
            <w:pPr>
              <w:adjustRightInd w:val="0"/>
              <w:snapToGrid w:val="0"/>
              <w:spacing w:line="4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本项目为陆地石油勘探项目，无运营期；钻试期产生的污染影响随施工结束而停止，对区域环境质量影响小，不会突破区域环境质量底线。</w:t>
            </w:r>
          </w:p>
        </w:tc>
      </w:tr>
      <w:tr w14:paraId="34AF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4" w:type="dxa"/>
            <w:vMerge w:val="continue"/>
            <w:vAlign w:val="center"/>
          </w:tcPr>
          <w:p w14:paraId="52AAC2D8">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p>
        </w:tc>
        <w:tc>
          <w:tcPr>
            <w:tcW w:w="456" w:type="dxa"/>
            <w:vMerge w:val="continue"/>
            <w:vAlign w:val="center"/>
          </w:tcPr>
          <w:p w14:paraId="7C01B7D9">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p>
        </w:tc>
        <w:tc>
          <w:tcPr>
            <w:tcW w:w="936" w:type="dxa"/>
            <w:gridSpan w:val="2"/>
            <w:vAlign w:val="center"/>
          </w:tcPr>
          <w:p w14:paraId="68F708CC">
            <w:pPr>
              <w:snapToGrid w:val="0"/>
              <w:spacing w:line="43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资源利用上线</w:t>
            </w:r>
          </w:p>
        </w:tc>
        <w:tc>
          <w:tcPr>
            <w:tcW w:w="6626" w:type="dxa"/>
            <w:gridSpan w:val="4"/>
            <w:vAlign w:val="center"/>
          </w:tcPr>
          <w:p w14:paraId="68197BCF">
            <w:pPr>
              <w:adjustRightInd w:val="0"/>
              <w:snapToGrid w:val="0"/>
              <w:spacing w:line="4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钻试期会消耗新鲜水和柴油，新鲜水从呼图壁县用罐车拉运至井场，不开采地下水；外购柴油由罐车拉运至井场，用量在区域可承受范围内，不会突破区域资源利用上线。</w:t>
            </w:r>
          </w:p>
        </w:tc>
      </w:tr>
      <w:tr w14:paraId="15FF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4" w:type="dxa"/>
            <w:vMerge w:val="continue"/>
            <w:vAlign w:val="center"/>
          </w:tcPr>
          <w:p w14:paraId="5052EB80">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bookmarkStart w:id="11" w:name="_Hlk213897053"/>
          </w:p>
        </w:tc>
        <w:tc>
          <w:tcPr>
            <w:tcW w:w="456" w:type="dxa"/>
            <w:vMerge w:val="continue"/>
            <w:vAlign w:val="center"/>
          </w:tcPr>
          <w:p w14:paraId="18216339">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p>
        </w:tc>
        <w:tc>
          <w:tcPr>
            <w:tcW w:w="936" w:type="dxa"/>
            <w:gridSpan w:val="2"/>
            <w:vMerge w:val="restart"/>
            <w:vAlign w:val="center"/>
          </w:tcPr>
          <w:p w14:paraId="53E82D64">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生态环境准入清单《塔城地区生态环境准入清单》（2023版）</w:t>
            </w:r>
          </w:p>
        </w:tc>
        <w:tc>
          <w:tcPr>
            <w:tcW w:w="4484" w:type="dxa"/>
            <w:gridSpan w:val="3"/>
            <w:vAlign w:val="center"/>
          </w:tcPr>
          <w:p w14:paraId="0D222B33">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管控要求（编码为</w:t>
            </w:r>
            <w:r>
              <w:rPr>
                <w:rFonts w:ascii="宋体" w:hAnsi="宋体" w:cs="宋体"/>
                <w:color w:val="0D0D0D" w:themeColor="text1" w:themeTint="F2"/>
                <w14:textFill>
                  <w14:solidFill>
                    <w14:schemeClr w14:val="tx1">
                      <w14:lumMod w14:val="95000"/>
                      <w14:lumOff w14:val="5000"/>
                    </w14:schemeClr>
                  </w14:solidFill>
                </w14:textFill>
              </w:rPr>
              <w:t>ZH65232320004</w:t>
            </w:r>
            <w:r>
              <w:rPr>
                <w:rFonts w:hint="eastAsia" w:ascii="宋体" w:hAnsi="宋体" w:cs="宋体"/>
                <w:color w:val="0D0D0D" w:themeColor="text1" w:themeTint="F2"/>
                <w14:textFill>
                  <w14:solidFill>
                    <w14:schemeClr w14:val="tx1">
                      <w14:lumMod w14:val="95000"/>
                      <w14:lumOff w14:val="5000"/>
                    </w14:schemeClr>
                  </w14:solidFill>
                </w14:textFill>
              </w:rPr>
              <w:t>）</w:t>
            </w:r>
          </w:p>
        </w:tc>
        <w:tc>
          <w:tcPr>
            <w:tcW w:w="2142" w:type="dxa"/>
            <w:vAlign w:val="center"/>
          </w:tcPr>
          <w:p w14:paraId="72DFFD25">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相符性分析</w:t>
            </w:r>
          </w:p>
        </w:tc>
      </w:tr>
      <w:tr w14:paraId="65EC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04" w:type="dxa"/>
            <w:vMerge w:val="continue"/>
            <w:vAlign w:val="center"/>
          </w:tcPr>
          <w:p w14:paraId="025624B3">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p>
        </w:tc>
        <w:tc>
          <w:tcPr>
            <w:tcW w:w="456" w:type="dxa"/>
            <w:vMerge w:val="continue"/>
            <w:vAlign w:val="center"/>
          </w:tcPr>
          <w:p w14:paraId="3DCA873F">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p>
        </w:tc>
        <w:tc>
          <w:tcPr>
            <w:tcW w:w="936" w:type="dxa"/>
            <w:gridSpan w:val="2"/>
            <w:vMerge w:val="continue"/>
            <w:vAlign w:val="center"/>
          </w:tcPr>
          <w:p w14:paraId="1DB359C7">
            <w:pPr>
              <w:pStyle w:val="38"/>
              <w:spacing w:line="400" w:lineRule="exact"/>
              <w:ind w:firstLine="480"/>
              <w:rPr>
                <w:rFonts w:hint="eastAsia"/>
                <w:color w:val="0D0D0D" w:themeColor="text1" w:themeTint="F2"/>
                <w14:textFill>
                  <w14:solidFill>
                    <w14:schemeClr w14:val="tx1">
                      <w14:lumMod w14:val="95000"/>
                      <w14:lumOff w14:val="5000"/>
                    </w14:schemeClr>
                  </w14:solidFill>
                </w14:textFill>
              </w:rPr>
            </w:pPr>
          </w:p>
        </w:tc>
        <w:tc>
          <w:tcPr>
            <w:tcW w:w="778" w:type="dxa"/>
            <w:vAlign w:val="center"/>
          </w:tcPr>
          <w:p w14:paraId="0487E244">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空间布局约束</w:t>
            </w:r>
          </w:p>
        </w:tc>
        <w:tc>
          <w:tcPr>
            <w:tcW w:w="3706" w:type="dxa"/>
            <w:gridSpan w:val="2"/>
            <w:vAlign w:val="center"/>
          </w:tcPr>
          <w:p w14:paraId="6BFFFC4E">
            <w:pPr>
              <w:pStyle w:val="38"/>
              <w:spacing w:line="300" w:lineRule="exact"/>
              <w:ind w:firstLine="0" w:firstLineChars="0"/>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1、严格控制缺水地区、水污染严重区域和敏感区域高耗水、高污染行业发展。</w:t>
            </w:r>
          </w:p>
        </w:tc>
        <w:tc>
          <w:tcPr>
            <w:tcW w:w="2142" w:type="dxa"/>
            <w:vAlign w:val="center"/>
          </w:tcPr>
          <w:p w14:paraId="567F1F9D">
            <w:pPr>
              <w:pStyle w:val="38"/>
              <w:spacing w:line="300" w:lineRule="exact"/>
              <w:ind w:firstLine="0" w:firstLineChars="0"/>
              <w:rPr>
                <w:rFonts w:hint="eastAsia"/>
                <w:color w:val="0D0D0D" w:themeColor="text1" w:themeTint="F2"/>
                <w:highlight w:val="yellow"/>
                <w14:textFill>
                  <w14:solidFill>
                    <w14:schemeClr w14:val="tx1">
                      <w14:lumMod w14:val="95000"/>
                      <w14:lumOff w14:val="5000"/>
                    </w14:schemeClr>
                  </w14:solidFill>
                </w14:textFill>
              </w:rPr>
            </w:pPr>
            <w:r>
              <w:rPr>
                <w:rFonts w:hint="eastAsia" w:cs="宋体"/>
                <w:color w:val="0D0D0D" w:themeColor="text1" w:themeTint="F2"/>
                <w14:textFill>
                  <w14:solidFill>
                    <w14:schemeClr w14:val="tx1">
                      <w14:lumMod w14:val="95000"/>
                      <w14:lumOff w14:val="5000"/>
                    </w14:schemeClr>
                  </w14:solidFill>
                </w14:textFill>
              </w:rPr>
              <w:t>本项目</w:t>
            </w:r>
            <w:r>
              <w:rPr>
                <w:rFonts w:cs="宋体"/>
                <w:color w:val="0D0D0D" w:themeColor="text1" w:themeTint="F2"/>
                <w14:textFill>
                  <w14:solidFill>
                    <w14:schemeClr w14:val="tx1">
                      <w14:lumMod w14:val="95000"/>
                      <w14:lumOff w14:val="5000"/>
                    </w14:schemeClr>
                  </w14:solidFill>
                </w14:textFill>
              </w:rPr>
              <w:t>为陆地矿产资源勘查</w:t>
            </w:r>
            <w:r>
              <w:rPr>
                <w:rFonts w:hint="eastAsia" w:cs="宋体"/>
                <w:color w:val="0D0D0D" w:themeColor="text1" w:themeTint="F2"/>
                <w14:textFill>
                  <w14:solidFill>
                    <w14:schemeClr w14:val="tx1">
                      <w14:lumMod w14:val="95000"/>
                      <w14:lumOff w14:val="5000"/>
                    </w14:schemeClr>
                  </w14:solidFill>
                </w14:textFill>
              </w:rPr>
              <w:t>，不属于高耗水、高污染行业。符合要求。</w:t>
            </w:r>
          </w:p>
        </w:tc>
      </w:tr>
      <w:bookmarkEnd w:id="11"/>
      <w:tr w14:paraId="001B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04" w:type="dxa"/>
            <w:vMerge w:val="continue"/>
            <w:vAlign w:val="center"/>
          </w:tcPr>
          <w:p w14:paraId="463A2D4D">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p>
        </w:tc>
        <w:tc>
          <w:tcPr>
            <w:tcW w:w="456" w:type="dxa"/>
            <w:vMerge w:val="continue"/>
            <w:vAlign w:val="center"/>
          </w:tcPr>
          <w:p w14:paraId="40E8B5EB">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p>
        </w:tc>
        <w:tc>
          <w:tcPr>
            <w:tcW w:w="936" w:type="dxa"/>
            <w:gridSpan w:val="2"/>
            <w:vMerge w:val="continue"/>
            <w:vAlign w:val="center"/>
          </w:tcPr>
          <w:p w14:paraId="3A97D522">
            <w:pPr>
              <w:pStyle w:val="38"/>
              <w:spacing w:line="400" w:lineRule="exact"/>
              <w:ind w:firstLine="480"/>
              <w:rPr>
                <w:rFonts w:hint="eastAsia"/>
                <w:color w:val="0D0D0D" w:themeColor="text1" w:themeTint="F2"/>
                <w:highlight w:val="yellow"/>
                <w14:textFill>
                  <w14:solidFill>
                    <w14:schemeClr w14:val="tx1">
                      <w14:lumMod w14:val="95000"/>
                      <w14:lumOff w14:val="5000"/>
                    </w14:schemeClr>
                  </w14:solidFill>
                </w14:textFill>
              </w:rPr>
            </w:pPr>
          </w:p>
        </w:tc>
        <w:tc>
          <w:tcPr>
            <w:tcW w:w="778" w:type="dxa"/>
            <w:vAlign w:val="center"/>
          </w:tcPr>
          <w:p w14:paraId="6DD84E3E">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污染物排放管控</w:t>
            </w:r>
          </w:p>
        </w:tc>
        <w:tc>
          <w:tcPr>
            <w:tcW w:w="3706" w:type="dxa"/>
            <w:gridSpan w:val="2"/>
            <w:vAlign w:val="center"/>
          </w:tcPr>
          <w:p w14:paraId="1E3E9903">
            <w:pPr>
              <w:pStyle w:val="38"/>
              <w:spacing w:line="300" w:lineRule="exact"/>
              <w:ind w:firstLine="0" w:firstLineChars="0"/>
              <w:rPr>
                <w:rFonts w:hint="eastAsia"/>
                <w:color w:val="0D0D0D" w:themeColor="text1" w:themeTint="F2"/>
                <w14:textFill>
                  <w14:solidFill>
                    <w14:schemeClr w14:val="tx1">
                      <w14:lumMod w14:val="95000"/>
                      <w14:lumOff w14:val="5000"/>
                    </w14:schemeClr>
                  </w14:solidFill>
                </w14:textFill>
              </w:rPr>
            </w:pPr>
            <w:r>
              <w:rPr>
                <w:rFonts w:cs="宋体"/>
                <w:color w:val="0D0D0D" w:themeColor="text1" w:themeTint="F2"/>
                <w14:textFill>
                  <w14:solidFill>
                    <w14:schemeClr w14:val="tx1">
                      <w14:lumMod w14:val="95000"/>
                      <w14:lumOff w14:val="5000"/>
                    </w14:schemeClr>
                  </w14:solidFill>
                </w14:textFill>
              </w:rPr>
              <w:t>1、推进地表水与地下水协同防治。以傍河型地下水饮用水水源为重点，防范受污染河段侧渗和垂直补给对地下水污染。加强化学品生产企业、工业聚集区、矿山开采区等污染源的地表、地下协同防治与环境风险管控。加强工业污染防治。推动重点行业、重点企业绿色发展，严格落实水污染物排放标准和排污许可制度。支持企业积极实施节水技术改造，加强工业园区污水集中处理设施运行管理，加快再生水回用设施建设，提升园区水资源循环利用水平。</w:t>
            </w:r>
          </w:p>
        </w:tc>
        <w:tc>
          <w:tcPr>
            <w:tcW w:w="2142" w:type="dxa"/>
            <w:vAlign w:val="center"/>
          </w:tcPr>
          <w:p w14:paraId="6280BE90">
            <w:pPr>
              <w:pStyle w:val="38"/>
              <w:spacing w:line="300" w:lineRule="exact"/>
              <w:ind w:firstLine="0" w:firstLineChars="0"/>
              <w:rPr>
                <w:rFonts w:hint="eastAsia"/>
                <w:color w:val="0D0D0D" w:themeColor="text1" w:themeTint="F2"/>
                <w:highlight w:val="yellow"/>
                <w14:textFill>
                  <w14:solidFill>
                    <w14:schemeClr w14:val="tx1">
                      <w14:lumMod w14:val="95000"/>
                      <w14:lumOff w14:val="5000"/>
                    </w14:schemeClr>
                  </w14:solidFill>
                </w14:textFill>
              </w:rPr>
            </w:pPr>
            <w:r>
              <w:rPr>
                <w:rFonts w:hint="eastAsia" w:cs="宋体"/>
                <w:color w:val="0D0D0D" w:themeColor="text1" w:themeTint="F2"/>
                <w14:textFill>
                  <w14:solidFill>
                    <w14:schemeClr w14:val="tx1">
                      <w14:lumMod w14:val="95000"/>
                      <w14:lumOff w14:val="5000"/>
                    </w14:schemeClr>
                  </w14:solidFill>
                </w14:textFill>
              </w:rPr>
              <w:t>本项目为陆地矿产资源勘查，不涉及油气开采；拟建项目仅有施工期，无运营期，施工期废水及各项固体废物均可得以妥善处置，不向外环境排放。符合要求。</w:t>
            </w:r>
          </w:p>
        </w:tc>
      </w:tr>
      <w:tr w14:paraId="0AD1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04" w:type="dxa"/>
            <w:vMerge w:val="continue"/>
            <w:vAlign w:val="center"/>
          </w:tcPr>
          <w:p w14:paraId="38916A59">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p>
        </w:tc>
        <w:tc>
          <w:tcPr>
            <w:tcW w:w="456" w:type="dxa"/>
            <w:vMerge w:val="continue"/>
            <w:vAlign w:val="center"/>
          </w:tcPr>
          <w:p w14:paraId="3DA9B58B">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p>
        </w:tc>
        <w:tc>
          <w:tcPr>
            <w:tcW w:w="936" w:type="dxa"/>
            <w:gridSpan w:val="2"/>
            <w:vMerge w:val="continue"/>
            <w:vAlign w:val="center"/>
          </w:tcPr>
          <w:p w14:paraId="32A67C39">
            <w:pPr>
              <w:pStyle w:val="38"/>
              <w:spacing w:line="400" w:lineRule="exact"/>
              <w:ind w:firstLine="480"/>
              <w:rPr>
                <w:rFonts w:hint="eastAsia"/>
                <w:color w:val="0D0D0D" w:themeColor="text1" w:themeTint="F2"/>
                <w:highlight w:val="yellow"/>
                <w14:textFill>
                  <w14:solidFill>
                    <w14:schemeClr w14:val="tx1">
                      <w14:lumMod w14:val="95000"/>
                      <w14:lumOff w14:val="5000"/>
                    </w14:schemeClr>
                  </w14:solidFill>
                </w14:textFill>
              </w:rPr>
            </w:pPr>
          </w:p>
        </w:tc>
        <w:tc>
          <w:tcPr>
            <w:tcW w:w="778" w:type="dxa"/>
            <w:vAlign w:val="center"/>
          </w:tcPr>
          <w:p w14:paraId="37F871AC">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环境风险防控</w:t>
            </w:r>
          </w:p>
        </w:tc>
        <w:tc>
          <w:tcPr>
            <w:tcW w:w="3706" w:type="dxa"/>
            <w:gridSpan w:val="2"/>
            <w:vAlign w:val="center"/>
          </w:tcPr>
          <w:p w14:paraId="512D9A97">
            <w:pPr>
              <w:pStyle w:val="38"/>
              <w:spacing w:line="300" w:lineRule="exact"/>
              <w:ind w:firstLine="0" w:firstLineChars="0"/>
              <w:rPr>
                <w:rFonts w:hint="eastAsia"/>
                <w:color w:val="0D0D0D" w:themeColor="text1" w:themeTint="F2"/>
                <w14:textFill>
                  <w14:solidFill>
                    <w14:schemeClr w14:val="tx1">
                      <w14:lumMod w14:val="95000"/>
                      <w14:lumOff w14:val="5000"/>
                    </w14:schemeClr>
                  </w14:solidFill>
                </w14:textFill>
              </w:rPr>
            </w:pPr>
            <w:r>
              <w:rPr>
                <w:rFonts w:cs="宋体"/>
                <w:color w:val="0D0D0D" w:themeColor="text1" w:themeTint="F2"/>
                <w14:textFill>
                  <w14:solidFill>
                    <w14:schemeClr w14:val="tx1">
                      <w14:lumMod w14:val="95000"/>
                      <w14:lumOff w14:val="5000"/>
                    </w14:schemeClr>
                  </w14:solidFill>
                </w14:textFill>
              </w:rPr>
              <w:t>1、强化重点区域地下水环境风险管控。对化学品生产企业、工业集聚区、尾矿库、矿山开采区、危险废物处置场、垃圾填埋场等地下水污染源及周边区域，逐步开展地下水环境状况调查评估，加强风险管控。</w:t>
            </w:r>
          </w:p>
        </w:tc>
        <w:tc>
          <w:tcPr>
            <w:tcW w:w="2142" w:type="dxa"/>
            <w:vAlign w:val="center"/>
          </w:tcPr>
          <w:p w14:paraId="5D907B27">
            <w:pPr>
              <w:pStyle w:val="38"/>
              <w:spacing w:line="300" w:lineRule="exact"/>
              <w:ind w:firstLine="0" w:firstLineChars="0"/>
              <w:rPr>
                <w:rFonts w:hint="eastAsia"/>
                <w:color w:val="0D0D0D" w:themeColor="text1" w:themeTint="F2"/>
                <w14:textFill>
                  <w14:solidFill>
                    <w14:schemeClr w14:val="tx1">
                      <w14:lumMod w14:val="95000"/>
                      <w14:lumOff w14:val="5000"/>
                    </w14:schemeClr>
                  </w14:solidFill>
                </w14:textFill>
              </w:rPr>
            </w:pPr>
            <w:r>
              <w:rPr>
                <w:rFonts w:cs="宋体"/>
                <w:color w:val="0D0D0D" w:themeColor="text1" w:themeTint="F2"/>
                <w14:textFill>
                  <w14:solidFill>
                    <w14:schemeClr w14:val="tx1">
                      <w14:lumMod w14:val="95000"/>
                      <w14:lumOff w14:val="5000"/>
                    </w14:schemeClr>
                  </w14:solidFill>
                </w14:textFill>
              </w:rPr>
              <w:t>本项目为陆地矿产资源勘查，</w:t>
            </w:r>
            <w:r>
              <w:rPr>
                <w:rFonts w:hint="eastAsia" w:cs="宋体"/>
                <w:color w:val="0D0D0D" w:themeColor="text1" w:themeTint="F2"/>
                <w14:textFill>
                  <w14:solidFill>
                    <w14:schemeClr w14:val="tx1">
                      <w14:lumMod w14:val="95000"/>
                      <w14:lumOff w14:val="5000"/>
                    </w14:schemeClr>
                  </w14:solidFill>
                </w14:textFill>
              </w:rPr>
              <w:t>不涉及</w:t>
            </w:r>
            <w:r>
              <w:rPr>
                <w:rFonts w:cs="宋体"/>
                <w:color w:val="0D0D0D" w:themeColor="text1" w:themeTint="F2"/>
                <w14:textFill>
                  <w14:solidFill>
                    <w14:schemeClr w14:val="tx1">
                      <w14:lumMod w14:val="95000"/>
                      <w14:lumOff w14:val="5000"/>
                    </w14:schemeClr>
                  </w14:solidFill>
                </w14:textFill>
              </w:rPr>
              <w:t>化学品生产企业、工业集聚区、尾矿库、矿山开采区、危险废物处置场、垃圾填埋场等</w:t>
            </w:r>
            <w:r>
              <w:rPr>
                <w:rFonts w:hint="eastAsia" w:cs="宋体"/>
                <w:color w:val="0D0D0D" w:themeColor="text1" w:themeTint="F2"/>
                <w14:textFill>
                  <w14:solidFill>
                    <w14:schemeClr w14:val="tx1">
                      <w14:lumMod w14:val="95000"/>
                      <w14:lumOff w14:val="5000"/>
                    </w14:schemeClr>
                  </w14:solidFill>
                </w14:textFill>
              </w:rPr>
              <w:t>。符合要求。</w:t>
            </w:r>
          </w:p>
        </w:tc>
      </w:tr>
      <w:tr w14:paraId="5780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04" w:type="dxa"/>
            <w:vMerge w:val="continue"/>
            <w:vAlign w:val="center"/>
          </w:tcPr>
          <w:p w14:paraId="225D2388">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p>
        </w:tc>
        <w:tc>
          <w:tcPr>
            <w:tcW w:w="456" w:type="dxa"/>
            <w:vMerge w:val="continue"/>
            <w:vAlign w:val="center"/>
          </w:tcPr>
          <w:p w14:paraId="6A28E235">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p>
        </w:tc>
        <w:tc>
          <w:tcPr>
            <w:tcW w:w="936" w:type="dxa"/>
            <w:gridSpan w:val="2"/>
            <w:vMerge w:val="continue"/>
            <w:vAlign w:val="center"/>
          </w:tcPr>
          <w:p w14:paraId="3D7B083C">
            <w:pPr>
              <w:pStyle w:val="38"/>
              <w:spacing w:line="400" w:lineRule="exact"/>
              <w:ind w:firstLine="480"/>
              <w:rPr>
                <w:rFonts w:hint="eastAsia"/>
                <w:color w:val="0D0D0D" w:themeColor="text1" w:themeTint="F2"/>
                <w:highlight w:val="yellow"/>
                <w14:textFill>
                  <w14:solidFill>
                    <w14:schemeClr w14:val="tx1">
                      <w14:lumMod w14:val="95000"/>
                      <w14:lumOff w14:val="5000"/>
                    </w14:schemeClr>
                  </w14:solidFill>
                </w14:textFill>
              </w:rPr>
            </w:pPr>
          </w:p>
        </w:tc>
        <w:tc>
          <w:tcPr>
            <w:tcW w:w="778" w:type="dxa"/>
            <w:vAlign w:val="center"/>
          </w:tcPr>
          <w:p w14:paraId="33F7BEBD">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资源利用效率</w:t>
            </w:r>
          </w:p>
        </w:tc>
        <w:tc>
          <w:tcPr>
            <w:tcW w:w="3706" w:type="dxa"/>
            <w:gridSpan w:val="2"/>
            <w:vAlign w:val="center"/>
          </w:tcPr>
          <w:p w14:paraId="4468126D">
            <w:pPr>
              <w:pStyle w:val="38"/>
              <w:spacing w:line="300" w:lineRule="exact"/>
              <w:ind w:firstLine="0" w:firstLineChars="0"/>
              <w:rPr>
                <w:rFonts w:hint="eastAsia" w:cs="宋体"/>
                <w:color w:val="0D0D0D" w:themeColor="text1" w:themeTint="F2"/>
                <w14:textFill>
                  <w14:solidFill>
                    <w14:schemeClr w14:val="tx1">
                      <w14:lumMod w14:val="95000"/>
                      <w14:lumOff w14:val="5000"/>
                    </w14:schemeClr>
                  </w14:solidFill>
                </w14:textFill>
              </w:rPr>
            </w:pPr>
            <w:r>
              <w:rPr>
                <w:rFonts w:hint="eastAsia" w:cs="宋体"/>
                <w:color w:val="0D0D0D" w:themeColor="text1" w:themeTint="F2"/>
                <w14:textFill>
                  <w14:solidFill>
                    <w14:schemeClr w14:val="tx1">
                      <w14:lumMod w14:val="95000"/>
                      <w14:lumOff w14:val="5000"/>
                    </w14:schemeClr>
                  </w14:solidFill>
                </w14:textFill>
              </w:rPr>
              <w:t>1、县级以上人民政府水行政主管部门应当合理配置地表水、地下水，从严控制地下水取水总量。</w:t>
            </w:r>
          </w:p>
          <w:p w14:paraId="425D2370">
            <w:pPr>
              <w:pStyle w:val="38"/>
              <w:spacing w:line="300" w:lineRule="exact"/>
              <w:ind w:firstLine="0" w:firstLineChars="0"/>
              <w:rPr>
                <w:rFonts w:hint="eastAsia"/>
                <w:color w:val="0D0D0D" w:themeColor="text1" w:themeTint="F2"/>
                <w14:textFill>
                  <w14:solidFill>
                    <w14:schemeClr w14:val="tx1">
                      <w14:lumMod w14:val="95000"/>
                      <w14:lumOff w14:val="5000"/>
                    </w14:schemeClr>
                  </w14:solidFill>
                </w14:textFill>
              </w:rPr>
            </w:pPr>
            <w:r>
              <w:rPr>
                <w:rFonts w:hint="eastAsia" w:cs="宋体"/>
                <w:color w:val="0D0D0D" w:themeColor="text1" w:themeTint="F2"/>
                <w14:textFill>
                  <w14:solidFill>
                    <w14:schemeClr w14:val="tx1">
                      <w14:lumMod w14:val="95000"/>
                      <w14:lumOff w14:val="5000"/>
                    </w14:schemeClr>
                  </w14:solidFill>
                </w14:textFill>
              </w:rPr>
              <w:t>2、严守水资源开发利用控制、用水效率控制和水功能区限制纳污“三条红线”，严格实行区域用水总量和强度控制，强化用水定额管理。推进地下水超采综合治理。</w:t>
            </w:r>
          </w:p>
        </w:tc>
        <w:tc>
          <w:tcPr>
            <w:tcW w:w="2142" w:type="dxa"/>
            <w:vAlign w:val="center"/>
          </w:tcPr>
          <w:p w14:paraId="0A25642C">
            <w:pPr>
              <w:pStyle w:val="38"/>
              <w:spacing w:line="300" w:lineRule="exact"/>
              <w:ind w:firstLine="0" w:firstLineChars="0"/>
              <w:rPr>
                <w:rFonts w:hint="eastAsia"/>
                <w:color w:val="0D0D0D" w:themeColor="text1" w:themeTint="F2"/>
                <w14:textFill>
                  <w14:solidFill>
                    <w14:schemeClr w14:val="tx1">
                      <w14:lumMod w14:val="95000"/>
                      <w14:lumOff w14:val="5000"/>
                    </w14:schemeClr>
                  </w14:solidFill>
                </w14:textFill>
              </w:rPr>
            </w:pPr>
            <w:r>
              <w:rPr>
                <w:rFonts w:hint="eastAsia" w:cs="宋体"/>
                <w:color w:val="0D0D0D" w:themeColor="text1" w:themeTint="F2"/>
                <w14:textFill>
                  <w14:solidFill>
                    <w14:schemeClr w14:val="tx1">
                      <w14:lumMod w14:val="95000"/>
                      <w14:lumOff w14:val="5000"/>
                    </w14:schemeClr>
                  </w14:solidFill>
                </w14:textFill>
              </w:rPr>
              <w:t>施工期用水主要为新鲜水，主要从附近村庄拉运，不开采地下水。符合要求。</w:t>
            </w:r>
          </w:p>
        </w:tc>
      </w:tr>
      <w:tr w14:paraId="416B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4" w:type="dxa"/>
            <w:vMerge w:val="continue"/>
            <w:vAlign w:val="center"/>
          </w:tcPr>
          <w:p w14:paraId="7A083F57">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p>
        </w:tc>
        <w:tc>
          <w:tcPr>
            <w:tcW w:w="1392" w:type="dxa"/>
            <w:gridSpan w:val="3"/>
            <w:vAlign w:val="center"/>
          </w:tcPr>
          <w:p w14:paraId="2972F008">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主体功能</w:t>
            </w:r>
          </w:p>
          <w:p w14:paraId="396F2D76">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区划</w:t>
            </w:r>
          </w:p>
        </w:tc>
        <w:tc>
          <w:tcPr>
            <w:tcW w:w="6626" w:type="dxa"/>
            <w:gridSpan w:val="4"/>
            <w:vAlign w:val="center"/>
          </w:tcPr>
          <w:p w14:paraId="792FD770">
            <w:pPr>
              <w:pStyle w:val="38"/>
              <w:ind w:firstLine="456"/>
              <w:rPr>
                <w:rFonts w:hint="eastAsia"/>
                <w:color w:val="0D0D0D" w:themeColor="text1" w:themeTint="F2"/>
                <w:spacing w:val="-6"/>
                <w14:textFill>
                  <w14:solidFill>
                    <w14:schemeClr w14:val="tx1">
                      <w14:lumMod w14:val="95000"/>
                      <w14:lumOff w14:val="5000"/>
                    </w14:schemeClr>
                  </w14:solidFill>
                </w14:textFill>
              </w:rPr>
            </w:pPr>
            <w:bookmarkStart w:id="12" w:name="_Hlk213895214"/>
            <w:r>
              <w:rPr>
                <w:rFonts w:hint="eastAsia"/>
                <w:color w:val="0D0D0D" w:themeColor="text1" w:themeTint="F2"/>
                <w:spacing w:val="-6"/>
                <w14:textFill>
                  <w14:solidFill>
                    <w14:schemeClr w14:val="tx1">
                      <w14:lumMod w14:val="95000"/>
                      <w14:lumOff w14:val="5000"/>
                    </w14:schemeClr>
                  </w14:solidFill>
                </w14:textFill>
              </w:rPr>
              <w:t>项目所在地呼图壁县位于《新疆维吾尔自治区主体功能区规划》中国家级重点开发区——天山北坡地区，该区域的功能定位是：</w:t>
            </w:r>
            <w:bookmarkStart w:id="13" w:name="_Hlk208331637"/>
            <w:r>
              <w:rPr>
                <w:rFonts w:hint="eastAsia"/>
                <w:color w:val="0D0D0D" w:themeColor="text1" w:themeTint="F2"/>
                <w:spacing w:val="-6"/>
                <w14:textFill>
                  <w14:solidFill>
                    <w14:schemeClr w14:val="tx1">
                      <w14:lumMod w14:val="95000"/>
                      <w14:lumOff w14:val="5000"/>
                    </w14:schemeClr>
                  </w14:solidFill>
                </w14:textFill>
              </w:rPr>
              <w:t>我国面向中亚、西亚地区对外开放的陆路交通枢纽和重要门户，全国重要的能源基地，我国进口资源的国际大通道，西北地区重要的国际商贸中心、物流中心和对外合作加工基地，石油天然气化工、煤电、煤化工、机电工业及纺织工业基地。</w:t>
            </w:r>
            <w:bookmarkEnd w:id="13"/>
          </w:p>
          <w:p w14:paraId="3B68E025">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陆地石油勘探</w:t>
            </w:r>
            <w:r>
              <w:rPr>
                <w:color w:val="0D0D0D" w:themeColor="text1" w:themeTint="F2"/>
                <w14:textFill>
                  <w14:solidFill>
                    <w14:schemeClr w14:val="tx1">
                      <w14:lumMod w14:val="95000"/>
                      <w14:lumOff w14:val="5000"/>
                    </w14:schemeClr>
                  </w14:solidFill>
                </w14:textFill>
              </w:rPr>
              <w:t>不属于大规模、高强度城镇化工业化开发项目，</w:t>
            </w:r>
            <w:r>
              <w:rPr>
                <w:rFonts w:hint="eastAsia"/>
                <w:color w:val="0D0D0D" w:themeColor="text1" w:themeTint="F2"/>
                <w14:textFill>
                  <w14:solidFill>
                    <w14:schemeClr w14:val="tx1">
                      <w14:lumMod w14:val="95000"/>
                      <w14:lumOff w14:val="5000"/>
                    </w14:schemeClr>
                  </w14:solidFill>
                </w14:textFill>
              </w:rPr>
              <w:t>曙探1井占地为临时占地，钻试结束后及时对占地进行清理平整，植被自然恢复，符合规划要求。</w:t>
            </w:r>
            <w:bookmarkEnd w:id="12"/>
          </w:p>
        </w:tc>
      </w:tr>
      <w:tr w14:paraId="4E85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04" w:type="dxa"/>
            <w:vMerge w:val="continue"/>
            <w:vAlign w:val="center"/>
          </w:tcPr>
          <w:p w14:paraId="5CCD003A">
            <w:pPr>
              <w:autoSpaceDE w:val="0"/>
              <w:autoSpaceDN w:val="0"/>
              <w:adjustRightInd w:val="0"/>
              <w:snapToGrid w:val="0"/>
              <w:spacing w:line="430" w:lineRule="exact"/>
              <w:jc w:val="center"/>
              <w:rPr>
                <w:rFonts w:hint="eastAsia" w:ascii="宋体" w:hAnsi="宋体" w:cs="宋体"/>
                <w:color w:val="0D0D0D" w:themeColor="text1" w:themeTint="F2"/>
                <w:kern w:val="0"/>
                <w14:textFill>
                  <w14:solidFill>
                    <w14:schemeClr w14:val="tx1">
                      <w14:lumMod w14:val="95000"/>
                      <w14:lumOff w14:val="5000"/>
                    </w14:schemeClr>
                  </w14:solidFill>
                </w14:textFill>
              </w:rPr>
            </w:pPr>
          </w:p>
        </w:tc>
        <w:tc>
          <w:tcPr>
            <w:tcW w:w="1392" w:type="dxa"/>
            <w:gridSpan w:val="3"/>
            <w:vAlign w:val="center"/>
          </w:tcPr>
          <w:p w14:paraId="3F8E8ECE">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相关环保</w:t>
            </w:r>
          </w:p>
          <w:p w14:paraId="5B095797">
            <w:pPr>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政策</w:t>
            </w:r>
          </w:p>
        </w:tc>
        <w:tc>
          <w:tcPr>
            <w:tcW w:w="6626" w:type="dxa"/>
            <w:gridSpan w:val="4"/>
            <w:vAlign w:val="center"/>
          </w:tcPr>
          <w:p w14:paraId="3D8F84D1">
            <w:pPr>
              <w:pStyle w:val="38"/>
              <w:ind w:firstLine="480"/>
              <w:rPr>
                <w:rFonts w:hint="eastAsia" w:cs="宋体"/>
                <w:color w:val="0D0D0D" w:themeColor="text1" w:themeTint="F2"/>
                <w14:textFill>
                  <w14:solidFill>
                    <w14:schemeClr w14:val="tx1">
                      <w14:lumMod w14:val="95000"/>
                      <w14:lumOff w14:val="5000"/>
                    </w14:schemeClr>
                  </w14:solidFill>
                </w14:textFill>
              </w:rPr>
            </w:pPr>
            <w:r>
              <w:rPr>
                <w:rFonts w:hint="eastAsia" w:cs="宋体"/>
                <w:color w:val="0D0D0D" w:themeColor="text1" w:themeTint="F2"/>
                <w14:textFill>
                  <w14:solidFill>
                    <w14:schemeClr w14:val="tx1">
                      <w14:lumMod w14:val="95000"/>
                      <w14:lumOff w14:val="5000"/>
                    </w14:schemeClr>
                  </w14:solidFill>
                </w14:textFill>
              </w:rPr>
              <w:t>本项目建设符合</w:t>
            </w:r>
            <w:r>
              <w:rPr>
                <w:rFonts w:hint="eastAsia"/>
                <w:color w:val="0D0D0D" w:themeColor="text1" w:themeTint="F2"/>
                <w14:textFill>
                  <w14:solidFill>
                    <w14:schemeClr w14:val="tx1">
                      <w14:lumMod w14:val="95000"/>
                      <w14:lumOff w14:val="5000"/>
                    </w14:schemeClr>
                  </w14:solidFill>
                </w14:textFill>
              </w:rPr>
              <w:t>《石油天然气开采业污染防治技术政策》《关于进一步加强石油天然气行业环境影响评价管理的通知》等相关环保政策中相关要求，相关分析详见下表。</w:t>
            </w:r>
          </w:p>
          <w:p w14:paraId="7823DFAE">
            <w:pPr>
              <w:pStyle w:val="8"/>
              <w:rPr>
                <w:rFonts w:hint="eastAsia"/>
                <w:color w:val="0D0D0D" w:themeColor="text1" w:themeTint="F2"/>
                <w14:textFill>
                  <w14:solidFill>
                    <w14:schemeClr w14:val="tx1">
                      <w14:lumMod w14:val="95000"/>
                      <w14:lumOff w14:val="5000"/>
                    </w14:schemeClr>
                  </w14:solidFill>
                </w14:textFill>
              </w:rPr>
            </w:pPr>
            <w:bookmarkStart w:id="14" w:name="_Hlk213891359"/>
            <w:r>
              <w:rPr>
                <w:rFonts w:hint="eastAsia"/>
                <w:color w:val="0D0D0D" w:themeColor="text1" w:themeTint="F2"/>
                <w14:textFill>
                  <w14:solidFill>
                    <w14:schemeClr w14:val="tx1">
                      <w14:lumMod w14:val="95000"/>
                      <w14:lumOff w14:val="5000"/>
                    </w14:schemeClr>
                  </w14:solidFill>
                </w14:textFill>
              </w:rPr>
              <w:t>表</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SEQ 表 \* ARABIC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5</w:t>
            </w:r>
            <w:r>
              <w:rPr>
                <w:rFonts w:hint="eastAsia"/>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 xml:space="preserve">    项目建设与相关环保政策的符合性分析</w:t>
            </w:r>
          </w:p>
          <w:tbl>
            <w:tblPr>
              <w:tblStyle w:val="97"/>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23"/>
              <w:gridCol w:w="2657"/>
              <w:gridCol w:w="2487"/>
              <w:gridCol w:w="645"/>
            </w:tblGrid>
            <w:tr w14:paraId="17EE00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631" w:type="pct"/>
                  <w:gridSpan w:val="2"/>
                  <w:vAlign w:val="center"/>
                </w:tcPr>
                <w:p w14:paraId="5B113722">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相关环保政策及要求</w:t>
                  </w:r>
                </w:p>
              </w:tc>
              <w:tc>
                <w:tcPr>
                  <w:tcW w:w="1881" w:type="pct"/>
                  <w:vAlign w:val="center"/>
                </w:tcPr>
                <w:p w14:paraId="5B872CBF">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本项目拟采取的措施</w:t>
                  </w:r>
                </w:p>
              </w:tc>
              <w:tc>
                <w:tcPr>
                  <w:tcW w:w="488" w:type="pct"/>
                  <w:vAlign w:val="center"/>
                </w:tcPr>
                <w:p w14:paraId="6BCC72F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相符性</w:t>
                  </w:r>
                </w:p>
                <w:p w14:paraId="1D63C7A0">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分析</w:t>
                  </w:r>
                </w:p>
              </w:tc>
            </w:tr>
            <w:bookmarkEnd w:id="14"/>
            <w:tr w14:paraId="650C6D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restart"/>
                  <w:vAlign w:val="center"/>
                </w:tcPr>
                <w:p w14:paraId="209D6FA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《石油天然气开采业污染防治技术政策》</w:t>
                  </w:r>
                </w:p>
              </w:tc>
              <w:tc>
                <w:tcPr>
                  <w:tcW w:w="2009" w:type="pct"/>
                  <w:vAlign w:val="center"/>
                </w:tcPr>
                <w:p w14:paraId="52D11BFB">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在开发过程中，适宜注水开采的油气田，应将采出水处理满足标准后回注。</w:t>
                  </w:r>
                </w:p>
              </w:tc>
              <w:tc>
                <w:tcPr>
                  <w:tcW w:w="1881" w:type="pct"/>
                  <w:vMerge w:val="restart"/>
                  <w:vAlign w:val="center"/>
                </w:tcPr>
                <w:p w14:paraId="3B2B3C82">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试油期间产生的洗井废水和压裂返排液经专用储罐收集后由罐车拉运至采油一厂红山嘴原油处理站处理系统进行处理，处理达到《碎屑岩油藏注水水质指标技术要求及分析方法》（SY/T5329-2022）的相关标准后全部回注油藏，不外排。</w:t>
                  </w:r>
                </w:p>
              </w:tc>
              <w:tc>
                <w:tcPr>
                  <w:tcW w:w="488" w:type="pct"/>
                  <w:vAlign w:val="center"/>
                </w:tcPr>
                <w:p w14:paraId="04BD164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4B51FC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continue"/>
                  <w:vAlign w:val="center"/>
                </w:tcPr>
                <w:p w14:paraId="28D07FF8">
                  <w:pPr>
                    <w:pStyle w:val="42"/>
                    <w:rPr>
                      <w:rFonts w:hint="eastAsia"/>
                      <w:color w:val="0D0D0D" w:themeColor="text1" w:themeTint="F2"/>
                      <w14:textFill>
                        <w14:solidFill>
                          <w14:schemeClr w14:val="tx1">
                            <w14:lumMod w14:val="95000"/>
                            <w14:lumOff w14:val="5000"/>
                          </w14:schemeClr>
                        </w14:solidFill>
                      </w14:textFill>
                    </w:rPr>
                  </w:pPr>
                </w:p>
              </w:tc>
              <w:tc>
                <w:tcPr>
                  <w:tcW w:w="2009" w:type="pct"/>
                  <w:vAlign w:val="center"/>
                </w:tcPr>
                <w:p w14:paraId="61CA0BBB">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在钻井和井下作业过程中，鼓励污油、污水进入生产流程循环利用，未进入生产流程的污油、污水应采用固液分离、废水处理一体化装置等处理后达标外排。</w:t>
                  </w:r>
                </w:p>
              </w:tc>
              <w:tc>
                <w:tcPr>
                  <w:tcW w:w="1881" w:type="pct"/>
                  <w:vMerge w:val="continue"/>
                  <w:vAlign w:val="center"/>
                </w:tcPr>
                <w:p w14:paraId="1F30FF72">
                  <w:pPr>
                    <w:pStyle w:val="42"/>
                    <w:jc w:val="left"/>
                    <w:rPr>
                      <w:rFonts w:hint="eastAsia"/>
                      <w:color w:val="0D0D0D" w:themeColor="text1" w:themeTint="F2"/>
                      <w14:textFill>
                        <w14:solidFill>
                          <w14:schemeClr w14:val="tx1">
                            <w14:lumMod w14:val="95000"/>
                            <w14:lumOff w14:val="5000"/>
                          </w14:schemeClr>
                        </w14:solidFill>
                      </w14:textFill>
                    </w:rPr>
                  </w:pPr>
                </w:p>
              </w:tc>
              <w:tc>
                <w:tcPr>
                  <w:tcW w:w="488" w:type="pct"/>
                  <w:vAlign w:val="center"/>
                </w:tcPr>
                <w:p w14:paraId="35C46B3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6D6410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continue"/>
                  <w:vAlign w:val="center"/>
                </w:tcPr>
                <w:p w14:paraId="2356DDE0">
                  <w:pPr>
                    <w:pStyle w:val="42"/>
                    <w:rPr>
                      <w:rFonts w:hint="eastAsia"/>
                      <w:color w:val="0D0D0D" w:themeColor="text1" w:themeTint="F2"/>
                      <w14:textFill>
                        <w14:solidFill>
                          <w14:schemeClr w14:val="tx1">
                            <w14:lumMod w14:val="95000"/>
                            <w14:lumOff w14:val="5000"/>
                          </w14:schemeClr>
                        </w14:solidFill>
                      </w14:textFill>
                    </w:rPr>
                  </w:pPr>
                </w:p>
              </w:tc>
              <w:tc>
                <w:tcPr>
                  <w:tcW w:w="2009" w:type="pct"/>
                  <w:vAlign w:val="center"/>
                </w:tcPr>
                <w:p w14:paraId="568AA53A">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油气田企业应制定环境保护管理规定，建立并运行健康、安全与环境管理体系；加强油气田建设、勘探开发过程的环境监督管理。在开发过程中，企业应加强油气井套管的检测和维护，防止油气泄漏污染地下水；建立环境保护人员培训制度；油气田企业应对勘探开发过程进行环境风险因素识别，制定突发环境事件应急预案并定期进行演练。采取环境风险防范和应急措施，防止发生由突发性油气泄漏产生的环境事故。</w:t>
                  </w:r>
                </w:p>
              </w:tc>
              <w:tc>
                <w:tcPr>
                  <w:tcW w:w="1881" w:type="pct"/>
                  <w:vAlign w:val="center"/>
                </w:tcPr>
                <w:p w14:paraId="1FF18D85">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钻井过程中使用水泥固井，用套管将含水层与井筒分隔开，加强油井套管的检测和维护，井场采取了符合规范的防渗措施，防止油气泄漏污染地下水；环境风险防范执行《中国石油新疆油田分公司勘探事业部突发环境事件应急预案》，同时落实中国石油新疆油田分公司已建立的健康、安全与环境（HSE）管理体系。</w:t>
                  </w:r>
                </w:p>
              </w:tc>
              <w:tc>
                <w:tcPr>
                  <w:tcW w:w="488" w:type="pct"/>
                  <w:vAlign w:val="center"/>
                </w:tcPr>
                <w:p w14:paraId="10CEECEE">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2E2C4B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restart"/>
                  <w:vAlign w:val="center"/>
                </w:tcPr>
                <w:p w14:paraId="32CB4EC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《关于进一步加强石油天然气行业环境影响评价管理的通知》</w:t>
                  </w:r>
                </w:p>
              </w:tc>
              <w:tc>
                <w:tcPr>
                  <w:tcW w:w="2009" w:type="pct"/>
                  <w:vAlign w:val="center"/>
                </w:tcPr>
                <w:p w14:paraId="3C9AEAB6">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涉及向地表水体排放污染物的陆地油气开采项目，应当符合国家和地方污染物排放标准，满足重点污染物排放总量控制要求。涉及废水回注的，应当论证回注的环境可行性，采取切实可行的地下水污染防治和监控措施，不得回注与油气开采无关的废水，严禁造成地下水污染。在相关行业污染控制标准发布前，回注的开采废水应当经处理并符合《碎屑岩油藏注水水质推荐指标及分析方法》（SY/T5329）等相关标准要求后回注，同步采取切实可行措施防治污染。回注目的层应当为地质构造封闭地层，一般应当回注到现役油气藏或枯竭废弃油气藏。建设项目环评文件中应当包含钻井液、压裂液中重金属等有毒有害物质的相关信息，涉及商业秘密、技术秘密等情形的除外。</w:t>
                  </w:r>
                </w:p>
              </w:tc>
              <w:tc>
                <w:tcPr>
                  <w:tcW w:w="1881" w:type="pct"/>
                  <w:vAlign w:val="center"/>
                </w:tcPr>
                <w:p w14:paraId="1E2B1299">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试油期间产生的洗井废水和压裂返排液经专用储罐收集后由罐车拉运至采油一厂红山嘴原油处理站进行处理，处理达到《碎屑岩油藏注水水质指标技术要求及分析方法》（SY/T5329-2022）的相关标准后全部回注油藏，不外排。钻井期间一开采用水基钻井液，二开至五开采用油基钻井液。</w:t>
                  </w:r>
                </w:p>
              </w:tc>
              <w:tc>
                <w:tcPr>
                  <w:tcW w:w="488" w:type="pct"/>
                  <w:vAlign w:val="center"/>
                </w:tcPr>
                <w:p w14:paraId="7575402F">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2D24BF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continue"/>
                  <w:vAlign w:val="center"/>
                </w:tcPr>
                <w:p w14:paraId="0402283C">
                  <w:pPr>
                    <w:pStyle w:val="42"/>
                    <w:rPr>
                      <w:rFonts w:hint="eastAsia"/>
                      <w:color w:val="0D0D0D" w:themeColor="text1" w:themeTint="F2"/>
                      <w14:textFill>
                        <w14:solidFill>
                          <w14:schemeClr w14:val="tx1">
                            <w14:lumMod w14:val="95000"/>
                            <w14:lumOff w14:val="5000"/>
                          </w14:schemeClr>
                        </w14:solidFill>
                      </w14:textFill>
                    </w:rPr>
                  </w:pPr>
                </w:p>
              </w:tc>
              <w:tc>
                <w:tcPr>
                  <w:tcW w:w="2009" w:type="pct"/>
                  <w:vAlign w:val="center"/>
                </w:tcPr>
                <w:p w14:paraId="61CE3560">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未确定产能建设规模的陆地油气开采新区块，建设勘探井应当依法编制环境影响报告表。</w:t>
                  </w:r>
                </w:p>
              </w:tc>
              <w:tc>
                <w:tcPr>
                  <w:tcW w:w="1881" w:type="pct"/>
                  <w:vAlign w:val="center"/>
                </w:tcPr>
                <w:p w14:paraId="3EE28AD4">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对比中国石油新疆油田分公司按照《关于进一步加强和规范油气田开发项目环境保护管理工作的通知》（新环发〔2018〕133号）报送给</w:t>
                  </w:r>
                  <w:bookmarkStart w:id="15" w:name="OLE_LINK3"/>
                  <w:r>
                    <w:rPr>
                      <w:rFonts w:hint="eastAsia"/>
                      <w:color w:val="0D0D0D" w:themeColor="text1" w:themeTint="F2"/>
                      <w14:textFill>
                        <w14:solidFill>
                          <w14:schemeClr w14:val="tx1">
                            <w14:lumMod w14:val="95000"/>
                            <w14:lumOff w14:val="5000"/>
                          </w14:schemeClr>
                        </w14:solidFill>
                      </w14:textFill>
                    </w:rPr>
                    <w:t>自治区</w:t>
                  </w:r>
                  <w:bookmarkEnd w:id="15"/>
                  <w:r>
                    <w:rPr>
                      <w:rFonts w:hint="eastAsia"/>
                      <w:color w:val="0D0D0D" w:themeColor="text1" w:themeTint="F2"/>
                      <w14:textFill>
                        <w14:solidFill>
                          <w14:schemeClr w14:val="tx1">
                            <w14:lumMod w14:val="95000"/>
                            <w14:lumOff w14:val="5000"/>
                          </w14:schemeClr>
                        </w14:solidFill>
                      </w14:textFill>
                    </w:rPr>
                    <w:t>生态环境厅的已开发区块环评范围“一张图”，拟部署的曙探1井位于“一张图”之外，项目所在区属于未确定产能建设规模的陆地石油天然气开采新区块的勘探（具体见附图2）。</w:t>
                  </w:r>
                </w:p>
              </w:tc>
              <w:tc>
                <w:tcPr>
                  <w:tcW w:w="488" w:type="pct"/>
                  <w:vAlign w:val="center"/>
                </w:tcPr>
                <w:p w14:paraId="13F4B086">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1B76CB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continue"/>
                  <w:vAlign w:val="center"/>
                </w:tcPr>
                <w:p w14:paraId="745F13D1">
                  <w:pPr>
                    <w:pStyle w:val="42"/>
                    <w:rPr>
                      <w:rFonts w:hint="eastAsia"/>
                      <w:color w:val="0D0D0D" w:themeColor="text1" w:themeTint="F2"/>
                      <w14:textFill>
                        <w14:solidFill>
                          <w14:schemeClr w14:val="tx1">
                            <w14:lumMod w14:val="95000"/>
                            <w14:lumOff w14:val="5000"/>
                          </w14:schemeClr>
                        </w14:solidFill>
                      </w14:textFill>
                    </w:rPr>
                  </w:pPr>
                </w:p>
              </w:tc>
              <w:tc>
                <w:tcPr>
                  <w:tcW w:w="2009" w:type="pct"/>
                  <w:vAlign w:val="center"/>
                </w:tcPr>
                <w:p w14:paraId="7E882412">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油气开采产生的废弃油基泥浆、含油钻屑及其他固体废物，应遵循减量化、资源化、无害化原则，按照国家和地方有关固体废物的管理规定进行处置。鼓励企业自建含油污泥集中式综合处理和利用设施，提高废弃油基泥浆和含油钻屑及其处理产物的综合利用率。油气开采项目产生的危险废物，应按照《建设项目危险废物环境影响评价指南》要求评价。</w:t>
                  </w:r>
                </w:p>
              </w:tc>
              <w:tc>
                <w:tcPr>
                  <w:tcW w:w="1881" w:type="pct"/>
                  <w:vAlign w:val="center"/>
                </w:tcPr>
                <w:p w14:paraId="47DCBD27">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钻井期井场设钻井液不落地设备，钻井岩屑采用一套不落地系统进行固液分离处理。分离出的液相回用于钻井，分离出的水基钻井岩屑暂存于专用储罐，委托第三方岩屑处置单位进行最终处置；</w:t>
                  </w:r>
                  <w:r>
                    <w:rPr>
                      <w:color w:val="0D0D0D" w:themeColor="text1" w:themeTint="F2"/>
                      <w14:textFill>
                        <w14:solidFill>
                          <w14:schemeClr w14:val="tx1">
                            <w14:lumMod w14:val="95000"/>
                            <w14:lumOff w14:val="5000"/>
                          </w14:schemeClr>
                        </w14:solidFill>
                      </w14:textFill>
                    </w:rPr>
                    <w:t>分离出的油基钻井岩屑进入油基钻井岩屑专用方罐后交由具有相应危险废物处置资质的单位负责接收、转运以及处置</w:t>
                  </w:r>
                  <w:r>
                    <w:rPr>
                      <w:rFonts w:hint="eastAsia"/>
                      <w:color w:val="0D0D0D" w:themeColor="text1" w:themeTint="F2"/>
                      <w14:textFill>
                        <w14:solidFill>
                          <w14:schemeClr w14:val="tx1">
                            <w14:lumMod w14:val="95000"/>
                            <w14:lumOff w14:val="5000"/>
                          </w14:schemeClr>
                        </w14:solidFill>
                      </w14:textFill>
                    </w:rPr>
                    <w:t>。施工结束对场地进行清理时产生的沾油废防渗材料施工结束后委托具有相应危险废物处置资质的单位进行处置。</w:t>
                  </w:r>
                </w:p>
              </w:tc>
              <w:tc>
                <w:tcPr>
                  <w:tcW w:w="488" w:type="pct"/>
                  <w:vAlign w:val="center"/>
                </w:tcPr>
                <w:p w14:paraId="7A514952">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2DE115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continue"/>
                  <w:vAlign w:val="center"/>
                </w:tcPr>
                <w:p w14:paraId="3779DD66">
                  <w:pPr>
                    <w:pStyle w:val="42"/>
                    <w:rPr>
                      <w:rFonts w:hint="eastAsia"/>
                      <w:color w:val="0D0D0D" w:themeColor="text1" w:themeTint="F2"/>
                      <w14:textFill>
                        <w14:solidFill>
                          <w14:schemeClr w14:val="tx1">
                            <w14:lumMod w14:val="95000"/>
                            <w14:lumOff w14:val="5000"/>
                          </w14:schemeClr>
                        </w14:solidFill>
                      </w14:textFill>
                    </w:rPr>
                  </w:pPr>
                </w:p>
              </w:tc>
              <w:tc>
                <w:tcPr>
                  <w:tcW w:w="2009" w:type="pct"/>
                  <w:vAlign w:val="center"/>
                </w:tcPr>
                <w:p w14:paraId="592F6287">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期应当尽量减少施工占地、缩短施工时间、选择合理施工方式落实环境敏感区管控要求以及其他生态环境保护措施，降低生态环境影响。钻井和压裂设备应当优先使用网电、高标准清洁燃油，减少废气排放。选用低噪声设备，避免噪声扰民。施工结束后，应当及时落实环评提出的生态保护措施。</w:t>
                  </w:r>
                </w:p>
              </w:tc>
              <w:tc>
                <w:tcPr>
                  <w:tcW w:w="1881" w:type="pct"/>
                  <w:vAlign w:val="center"/>
                </w:tcPr>
                <w:p w14:paraId="09E3B208">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根据现场调查，井场、生活营地等临时占地避开了野生植物生长密集地带。施工期较短，柴油燃烧废气随施工的结束而停止产生，且周围扩散条件良好；周边无声环境敏感目标，且施工噪声是暂时的、不连续的，待施工结束后影响将消失，对区域环境影响不大。试油结束后视试油结果决定是否转为生产井，若转为生产井，则应当在产能开发建设前开展其环境影响评价工作；若不具开发价值，井口进行封井，及时释放临时占地，并进行清理平整，使草地得以自然恢复。</w:t>
                  </w:r>
                </w:p>
              </w:tc>
              <w:tc>
                <w:tcPr>
                  <w:tcW w:w="488" w:type="pct"/>
                  <w:vAlign w:val="center"/>
                </w:tcPr>
                <w:p w14:paraId="7F31A05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66C87A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continue"/>
                  <w:vAlign w:val="center"/>
                </w:tcPr>
                <w:p w14:paraId="2F0B5E9B">
                  <w:pPr>
                    <w:pStyle w:val="42"/>
                    <w:rPr>
                      <w:rFonts w:hint="eastAsia"/>
                      <w:color w:val="0D0D0D" w:themeColor="text1" w:themeTint="F2"/>
                      <w14:textFill>
                        <w14:solidFill>
                          <w14:schemeClr w14:val="tx1">
                            <w14:lumMod w14:val="95000"/>
                            <w14:lumOff w14:val="5000"/>
                          </w14:schemeClr>
                        </w14:solidFill>
                      </w14:textFill>
                    </w:rPr>
                  </w:pPr>
                </w:p>
              </w:tc>
              <w:tc>
                <w:tcPr>
                  <w:tcW w:w="2009" w:type="pct"/>
                  <w:vAlign w:val="center"/>
                </w:tcPr>
                <w:p w14:paraId="62393893">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油气企业应当加强风险防控，按规定编制突发环境事件应急预案，报所在地生态环境主管部门备案。</w:t>
                  </w:r>
                </w:p>
              </w:tc>
              <w:tc>
                <w:tcPr>
                  <w:tcW w:w="1881" w:type="pct"/>
                  <w:vAlign w:val="center"/>
                </w:tcPr>
                <w:p w14:paraId="483C3831">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环境风险防范执行《中国石油新疆油田分公司勘探事业部突发环境事件应急预案》。</w:t>
                  </w:r>
                </w:p>
              </w:tc>
              <w:tc>
                <w:tcPr>
                  <w:tcW w:w="488" w:type="pct"/>
                  <w:vAlign w:val="center"/>
                </w:tcPr>
                <w:p w14:paraId="49449301">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4EAF8C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restart"/>
                  <w:vAlign w:val="center"/>
                </w:tcPr>
                <w:p w14:paraId="340066F9">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《陆上石油天然气开采业绿色矿山建设规范》</w:t>
                  </w:r>
                </w:p>
              </w:tc>
              <w:tc>
                <w:tcPr>
                  <w:tcW w:w="2009" w:type="pct"/>
                  <w:vAlign w:val="center"/>
                </w:tcPr>
                <w:p w14:paraId="0E7B3527">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因矿制宜选择开采工艺和装备，符合清洁生产要求。应贯彻“边开采，边治理，边恢复”的原则，及时治理恢复矿区地质环境，复垦矿区压占和损毁土地。</w:t>
                  </w:r>
                </w:p>
              </w:tc>
              <w:tc>
                <w:tcPr>
                  <w:tcW w:w="1881" w:type="pct"/>
                  <w:vAlign w:val="center"/>
                </w:tcPr>
                <w:p w14:paraId="27B2D2B7">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钻试期结束后，恢复井场及周边临时占地，符合“边开采，边治理，边恢复”的原则。</w:t>
                  </w:r>
                </w:p>
              </w:tc>
              <w:tc>
                <w:tcPr>
                  <w:tcW w:w="488" w:type="pct"/>
                  <w:vAlign w:val="center"/>
                </w:tcPr>
                <w:p w14:paraId="124A7D24">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483A78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continue"/>
                  <w:vAlign w:val="center"/>
                </w:tcPr>
                <w:p w14:paraId="3FB0833F">
                  <w:pPr>
                    <w:pStyle w:val="42"/>
                    <w:rPr>
                      <w:rFonts w:hint="eastAsia"/>
                      <w:color w:val="0D0D0D" w:themeColor="text1" w:themeTint="F2"/>
                      <w14:textFill>
                        <w14:solidFill>
                          <w14:schemeClr w14:val="tx1">
                            <w14:lumMod w14:val="95000"/>
                            <w14:lumOff w14:val="5000"/>
                          </w14:schemeClr>
                        </w14:solidFill>
                      </w14:textFill>
                    </w:rPr>
                  </w:pPr>
                </w:p>
              </w:tc>
              <w:tc>
                <w:tcPr>
                  <w:tcW w:w="2009" w:type="pct"/>
                  <w:vAlign w:val="center"/>
                </w:tcPr>
                <w:p w14:paraId="71A7E94A">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集约节约利用土地资源，土地利用符合用地指标政策。合理确定站址、场址、管网、路网建设占地规模。</w:t>
                  </w:r>
                </w:p>
              </w:tc>
              <w:tc>
                <w:tcPr>
                  <w:tcW w:w="1881" w:type="pct"/>
                  <w:vAlign w:val="center"/>
                </w:tcPr>
                <w:p w14:paraId="51ADC12E">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井场临时占地规模从土地资源节约方面考虑，尽可能缩小占地面积和作业带宽度。</w:t>
                  </w:r>
                </w:p>
              </w:tc>
              <w:tc>
                <w:tcPr>
                  <w:tcW w:w="488" w:type="pct"/>
                  <w:vAlign w:val="center"/>
                </w:tcPr>
                <w:p w14:paraId="11D8E0F3">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3291ED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Align w:val="center"/>
                </w:tcPr>
                <w:p w14:paraId="6CC4DEC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《国务院关于印发〈空气质量持续改善行动计划〉的通知》（国发〔2023〕24</w:t>
                  </w:r>
                  <w:r>
                    <w:rPr>
                      <w:color w:val="0D0D0D" w:themeColor="text1" w:themeTint="F2"/>
                      <w14:textFill>
                        <w14:solidFill>
                          <w14:schemeClr w14:val="tx1">
                            <w14:lumMod w14:val="95000"/>
                            <w14:lumOff w14:val="5000"/>
                          </w14:schemeClr>
                        </w14:solidFill>
                      </w14:textFill>
                    </w:rPr>
                    <w:t>号</w:t>
                  </w:r>
                  <w:r>
                    <w:rPr>
                      <w:rFonts w:hint="eastAsia"/>
                      <w:color w:val="0D0D0D" w:themeColor="text1" w:themeTint="F2"/>
                      <w14:textFill>
                        <w14:solidFill>
                          <w14:schemeClr w14:val="tx1">
                            <w14:lumMod w14:val="95000"/>
                            <w14:lumOff w14:val="5000"/>
                          </w14:schemeClr>
                        </w14:solidFill>
                      </w14:textFill>
                    </w:rPr>
                    <w:t>）</w:t>
                  </w:r>
                </w:p>
              </w:tc>
              <w:tc>
                <w:tcPr>
                  <w:tcW w:w="2009" w:type="pct"/>
                  <w:vAlign w:val="center"/>
                </w:tcPr>
                <w:p w14:paraId="57A44007">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强化VOCs全流程、全环节综合治理。鼓励储罐使用低泄漏的呼吸阀、紧急泄压阀，定期开展密封性检测。</w:t>
                  </w:r>
                </w:p>
              </w:tc>
              <w:tc>
                <w:tcPr>
                  <w:tcW w:w="1881" w:type="pct"/>
                  <w:vAlign w:val="center"/>
                </w:tcPr>
                <w:p w14:paraId="53393990">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施工期应加强储罐的检修和维护，柴油储罐罐体应保持完好，不应有孔洞；储罐附件开口（孔），除采样、计量和例行检查、维护和其他正常活动外，应密闭；定期监测呼吸阀的定压是否符合设定要求。</w:t>
                  </w:r>
                </w:p>
              </w:tc>
              <w:tc>
                <w:tcPr>
                  <w:tcW w:w="488" w:type="pct"/>
                  <w:vAlign w:val="center"/>
                </w:tcPr>
                <w:p w14:paraId="55622E2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270E74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Align w:val="center"/>
                </w:tcPr>
                <w:p w14:paraId="4BD97DA2">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《关于做好沙区开发建设项目环评中防沙治沙内容评价工作的意见》（林沙发〔2013〕136号）</w:t>
                  </w:r>
                </w:p>
              </w:tc>
              <w:tc>
                <w:tcPr>
                  <w:tcW w:w="2009" w:type="pct"/>
                  <w:vAlign w:val="center"/>
                </w:tcPr>
                <w:p w14:paraId="71B58545">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沙区开发建设项目都应当包括具有防沙治沙内容的环境影响评价。</w:t>
                  </w:r>
                </w:p>
              </w:tc>
              <w:tc>
                <w:tcPr>
                  <w:tcW w:w="1881" w:type="pct"/>
                  <w:vAlign w:val="center"/>
                </w:tcPr>
                <w:p w14:paraId="5BC69B9B">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根据《新疆第六次沙化监测报告》（2021年），项目占地属于非沙化土地，本次评价在主要生态环境保护措施章节提出了防沙治沙措施。</w:t>
                  </w:r>
                </w:p>
              </w:tc>
              <w:tc>
                <w:tcPr>
                  <w:tcW w:w="488" w:type="pct"/>
                  <w:vAlign w:val="center"/>
                </w:tcPr>
                <w:p w14:paraId="6D4C66BE">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0344E9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Align w:val="center"/>
                </w:tcPr>
                <w:p w14:paraId="11751786">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《自然资源部关于规范临时用地管理的通知》（</w:t>
                  </w:r>
                  <w:r>
                    <w:rPr>
                      <w:rFonts w:hint="eastAsia" w:asciiTheme="minorEastAsia" w:hAnsiTheme="minorEastAsia" w:eastAsiaTheme="minorEastAsia"/>
                      <w:color w:val="0D0D0D" w:themeColor="text1" w:themeTint="F2"/>
                      <w14:textFill>
                        <w14:solidFill>
                          <w14:schemeClr w14:val="tx1">
                            <w14:lumMod w14:val="95000"/>
                            <w14:lumOff w14:val="5000"/>
                          </w14:schemeClr>
                        </w14:solidFill>
                      </w14:textFill>
                    </w:rPr>
                    <w:t>自然资规〔2021〕2号</w:t>
                  </w:r>
                  <w:r>
                    <w:rPr>
                      <w:rFonts w:hint="eastAsia"/>
                      <w:color w:val="0D0D0D" w:themeColor="text1" w:themeTint="F2"/>
                      <w14:textFill>
                        <w14:solidFill>
                          <w14:schemeClr w14:val="tx1">
                            <w14:lumMod w14:val="95000"/>
                            <w14:lumOff w14:val="5000"/>
                          </w14:schemeClr>
                        </w14:solidFill>
                      </w14:textFill>
                    </w:rPr>
                    <w:t>）</w:t>
                  </w:r>
                </w:p>
              </w:tc>
              <w:tc>
                <w:tcPr>
                  <w:tcW w:w="2009" w:type="pct"/>
                  <w:vAlign w:val="center"/>
                </w:tcPr>
                <w:p w14:paraId="54143450">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县（市）自然资源主管部门负责临时用地审批，其中涉及占用耕地和永久基本农田的，由市级或者市级以上自然资源主管部门负责审批。不得下放临时用地审批权或者委托相关部门行使审批权。城镇开发边界内使用临时用地的，可以一并申请临时建设用地规划许可和临时用地审批，具备条件的还可以同时申请临时建设工程规划许可，一并出具相关批准文件。油气资源探采合一开发涉及的钻井及配套设施建设用地，可先以临时用地方式批准使用，勘探结束转入生产使用的，办理建设用地审批手续；不转入生产的，油气企业应当完成土地复垦，按期归还。</w:t>
                  </w:r>
                </w:p>
              </w:tc>
              <w:tc>
                <w:tcPr>
                  <w:tcW w:w="1881" w:type="pct"/>
                  <w:vAlign w:val="center"/>
                </w:tcPr>
                <w:p w14:paraId="2627C997">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本项目占地类型为天然牧草地。项目开工前，建设单位需向当地自然资源局办理临时占地手续。经核实，本项目临时占地手续正在办理当中。</w:t>
                  </w:r>
                </w:p>
              </w:tc>
              <w:tc>
                <w:tcPr>
                  <w:tcW w:w="488" w:type="pct"/>
                  <w:vAlign w:val="center"/>
                </w:tcPr>
                <w:p w14:paraId="5F6D683E">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267A14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restart"/>
                  <w:vAlign w:val="center"/>
                </w:tcPr>
                <w:p w14:paraId="5A44D66C">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《新疆维吾尔自治区重点行业生态环境准入条件(2024年)》</w:t>
                  </w:r>
                </w:p>
                <w:p w14:paraId="0630CFB6">
                  <w:pPr>
                    <w:pStyle w:val="42"/>
                    <w:rPr>
                      <w:rFonts w:hint="eastAsia"/>
                      <w:color w:val="0D0D0D" w:themeColor="text1" w:themeTint="F2"/>
                      <w14:textFill>
                        <w14:solidFill>
                          <w14:schemeClr w14:val="tx1">
                            <w14:lumMod w14:val="95000"/>
                            <w14:lumOff w14:val="5000"/>
                          </w14:schemeClr>
                        </w14:solidFill>
                      </w14:textFill>
                    </w:rPr>
                  </w:pPr>
                </w:p>
              </w:tc>
              <w:tc>
                <w:tcPr>
                  <w:tcW w:w="2009" w:type="pct"/>
                  <w:vAlign w:val="center"/>
                </w:tcPr>
                <w:p w14:paraId="199D3BF5">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石油、天然气开发项目的选址与布局应符合自治区或油气企业相关油气开发专项规划及规划环评要求，原则上应当以区块为单位开展环境影响评价工作。2.在符合产业政策、满足区域生态环境空气质量改善和污染物总量控制要求的前提下，经环境影响比选论证后，适宜在矿区开展的页岩油、页岩气开采、加工一体化项目可在矿区内就地选址。3.涉及自然保护地的石油天然气勘探、开发项目按照国家和自治区有关油气安全保障政策要求执行。</w:t>
                  </w:r>
                </w:p>
              </w:tc>
              <w:tc>
                <w:tcPr>
                  <w:tcW w:w="1881" w:type="pct"/>
                  <w:vAlign w:val="center"/>
                </w:tcPr>
                <w:p w14:paraId="4011DA61">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项目为油气资源勘探，不涉及开发，不建设油气加工设施；项目占地为天然牧草地，不涉及自然保护地。</w:t>
                  </w:r>
                </w:p>
              </w:tc>
              <w:tc>
                <w:tcPr>
                  <w:tcW w:w="488" w:type="pct"/>
                  <w:vAlign w:val="center"/>
                </w:tcPr>
                <w:p w14:paraId="07F393CF">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12C014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continue"/>
                  <w:vAlign w:val="center"/>
                </w:tcPr>
                <w:p w14:paraId="34635570">
                  <w:pPr>
                    <w:pStyle w:val="42"/>
                    <w:rPr>
                      <w:rFonts w:hint="eastAsia"/>
                      <w:color w:val="0D0D0D" w:themeColor="text1" w:themeTint="F2"/>
                      <w14:textFill>
                        <w14:solidFill>
                          <w14:schemeClr w14:val="tx1">
                            <w14:lumMod w14:val="95000"/>
                            <w14:lumOff w14:val="5000"/>
                          </w14:schemeClr>
                        </w14:solidFill>
                      </w14:textFill>
                    </w:rPr>
                  </w:pPr>
                </w:p>
              </w:tc>
              <w:tc>
                <w:tcPr>
                  <w:tcW w:w="2009" w:type="pct"/>
                  <w:vAlign w:val="center"/>
                </w:tcPr>
                <w:p w14:paraId="61D1718B">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施工期应当尽量减少施工占地、严格控制施工作业面积、缩短施工时间、选择合理施工方式、落实环境敏感区管控要求以及其他生态环境保护措施，有效降低生态环境影响。</w:t>
                  </w:r>
                </w:p>
              </w:tc>
              <w:tc>
                <w:tcPr>
                  <w:tcW w:w="1881" w:type="pct"/>
                  <w:vAlign w:val="center"/>
                </w:tcPr>
                <w:p w14:paraId="3AFDC2C1">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井场临时占地规模从土地资源节约方面考虑，尽可能缩小占地面积和作业带宽度。</w:t>
                  </w:r>
                </w:p>
              </w:tc>
              <w:tc>
                <w:tcPr>
                  <w:tcW w:w="488" w:type="pct"/>
                  <w:vAlign w:val="center"/>
                </w:tcPr>
                <w:p w14:paraId="3425371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1B1F63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continue"/>
                  <w:vAlign w:val="center"/>
                </w:tcPr>
                <w:p w14:paraId="6DE2185A">
                  <w:pPr>
                    <w:pStyle w:val="42"/>
                    <w:rPr>
                      <w:rFonts w:hint="eastAsia"/>
                      <w:color w:val="0D0D0D" w:themeColor="text1" w:themeTint="F2"/>
                      <w14:textFill>
                        <w14:solidFill>
                          <w14:schemeClr w14:val="tx1">
                            <w14:lumMod w14:val="95000"/>
                            <w14:lumOff w14:val="5000"/>
                          </w14:schemeClr>
                        </w14:solidFill>
                      </w14:textFill>
                    </w:rPr>
                  </w:pPr>
                </w:p>
              </w:tc>
              <w:tc>
                <w:tcPr>
                  <w:tcW w:w="2009" w:type="pct"/>
                  <w:vAlign w:val="center"/>
                </w:tcPr>
                <w:p w14:paraId="15CD2371">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钻井及储层改造应采用环境友好的油田化学助剂、酸化液、压裂液、钻井液，配备完善的固控设备，钻井液循环率应达到95%以上，压裂废液、酸化废液等并下作业废水应100%返排入罐。</w:t>
                  </w:r>
                </w:p>
              </w:tc>
              <w:tc>
                <w:tcPr>
                  <w:tcW w:w="1881" w:type="pct"/>
                  <w:vMerge w:val="restart"/>
                  <w:vAlign w:val="center"/>
                </w:tcPr>
                <w:p w14:paraId="0B8A42AE">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钻井期井场设钻井液不落地设备，钻井岩屑采用一套不落地系统进行固液分离处理。分离出的液相回用于钻井，分离出的水基钻井岩屑暂存于专用储罐，委托岩屑处置单位进行最终处置；</w:t>
                  </w:r>
                  <w:r>
                    <w:rPr>
                      <w:color w:val="0D0D0D" w:themeColor="text1" w:themeTint="F2"/>
                      <w14:textFill>
                        <w14:solidFill>
                          <w14:schemeClr w14:val="tx1">
                            <w14:lumMod w14:val="95000"/>
                            <w14:lumOff w14:val="5000"/>
                          </w14:schemeClr>
                        </w14:solidFill>
                      </w14:textFill>
                    </w:rPr>
                    <w:t>分离出的油基钻井岩屑进入油基钻井岩屑专用方罐后交由具有相应危险废物处置资质的单位负责接收、转运以及处置</w:t>
                  </w:r>
                  <w:r>
                    <w:rPr>
                      <w:rFonts w:hint="eastAsia"/>
                      <w:color w:val="0D0D0D" w:themeColor="text1" w:themeTint="F2"/>
                      <w14:textFill>
                        <w14:solidFill>
                          <w14:schemeClr w14:val="tx1">
                            <w14:lumMod w14:val="95000"/>
                            <w14:lumOff w14:val="5000"/>
                          </w14:schemeClr>
                        </w14:solidFill>
                      </w14:textFill>
                    </w:rPr>
                    <w:t>。施工结束对场地进行清理时产生的沾油废防渗材料施工结束后委托具有相应危险废物处置资质的单位进行处置。</w:t>
                  </w:r>
                </w:p>
              </w:tc>
              <w:tc>
                <w:tcPr>
                  <w:tcW w:w="488" w:type="pct"/>
                  <w:vMerge w:val="restart"/>
                  <w:vAlign w:val="center"/>
                </w:tcPr>
                <w:p w14:paraId="522CC8C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56F1EA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continue"/>
                  <w:vAlign w:val="center"/>
                </w:tcPr>
                <w:p w14:paraId="1E3E7341">
                  <w:pPr>
                    <w:pStyle w:val="42"/>
                    <w:rPr>
                      <w:rFonts w:hint="eastAsia"/>
                      <w:color w:val="0D0D0D" w:themeColor="text1" w:themeTint="F2"/>
                      <w14:textFill>
                        <w14:solidFill>
                          <w14:schemeClr w14:val="tx1">
                            <w14:lumMod w14:val="95000"/>
                            <w14:lumOff w14:val="5000"/>
                          </w14:schemeClr>
                        </w14:solidFill>
                      </w14:textFill>
                    </w:rPr>
                  </w:pPr>
                </w:p>
              </w:tc>
              <w:tc>
                <w:tcPr>
                  <w:tcW w:w="2009" w:type="pct"/>
                  <w:vAlign w:val="center"/>
                </w:tcPr>
                <w:p w14:paraId="5CD854EF">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废弃钻井泥浆及岩屑应采取“泥浆不落地”工艺，勘探、开发过程产生的落地原油回收率应达到100%。废弃水基钻井泥浆及岩屑经“泥浆不落地”设备处理后，固相优先综合利用。</w:t>
                  </w:r>
                </w:p>
              </w:tc>
              <w:tc>
                <w:tcPr>
                  <w:tcW w:w="1881" w:type="pct"/>
                  <w:vMerge w:val="continue"/>
                  <w:vAlign w:val="center"/>
                </w:tcPr>
                <w:p w14:paraId="723F4A3C">
                  <w:pPr>
                    <w:pStyle w:val="42"/>
                    <w:jc w:val="left"/>
                    <w:rPr>
                      <w:rFonts w:hint="eastAsia"/>
                      <w:color w:val="0D0D0D" w:themeColor="text1" w:themeTint="F2"/>
                      <w14:textFill>
                        <w14:solidFill>
                          <w14:schemeClr w14:val="tx1">
                            <w14:lumMod w14:val="95000"/>
                            <w14:lumOff w14:val="5000"/>
                          </w14:schemeClr>
                        </w14:solidFill>
                      </w14:textFill>
                    </w:rPr>
                  </w:pPr>
                </w:p>
              </w:tc>
              <w:tc>
                <w:tcPr>
                  <w:tcW w:w="488" w:type="pct"/>
                  <w:vMerge w:val="continue"/>
                  <w:vAlign w:val="center"/>
                </w:tcPr>
                <w:p w14:paraId="010FD1D8">
                  <w:pPr>
                    <w:pStyle w:val="42"/>
                    <w:rPr>
                      <w:rFonts w:hint="eastAsia"/>
                      <w:color w:val="0D0D0D" w:themeColor="text1" w:themeTint="F2"/>
                      <w14:textFill>
                        <w14:solidFill>
                          <w14:schemeClr w14:val="tx1">
                            <w14:lumMod w14:val="95000"/>
                            <w14:lumOff w14:val="5000"/>
                          </w14:schemeClr>
                        </w14:solidFill>
                      </w14:textFill>
                    </w:rPr>
                  </w:pPr>
                </w:p>
              </w:tc>
            </w:tr>
            <w:tr w14:paraId="37767F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restart"/>
                  <w:vAlign w:val="center"/>
                </w:tcPr>
                <w:p w14:paraId="19B4FF49">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《新疆生态环境保护“十四五”规划》</w:t>
                  </w:r>
                </w:p>
              </w:tc>
              <w:tc>
                <w:tcPr>
                  <w:tcW w:w="2009" w:type="pct"/>
                  <w:vAlign w:val="center"/>
                </w:tcPr>
                <w:p w14:paraId="4FB24486">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实施最严格的生态保护制度。坚决遏制“两高”项目盲目发展，严格执行能源、矿产资源开发自治区人民政府“一支笔”审批制度、环境保护“一票否决”制度，落实“三线一单”生态环境分区管控要求，守住生态保护红线、环境质量底线和资源利用上线，实施生态环境准入清单管控。</w:t>
                  </w:r>
                </w:p>
              </w:tc>
              <w:tc>
                <w:tcPr>
                  <w:tcW w:w="1881" w:type="pct"/>
                  <w:vAlign w:val="center"/>
                </w:tcPr>
                <w:p w14:paraId="04FB9A95">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陆地石油勘探项目不属于“高污染、高环境风险产品”的工业项目；不涉及生态保护红线，“三废”及噪声对区域环境质量影响小，不会突破区域环境质量底线；新鲜水和柴油消耗不会突破区域资源利用上线，符合呼图壁县生态环境准入清单的要求。</w:t>
                  </w:r>
                </w:p>
              </w:tc>
              <w:tc>
                <w:tcPr>
                  <w:tcW w:w="488" w:type="pct"/>
                  <w:vAlign w:val="center"/>
                </w:tcPr>
                <w:p w14:paraId="4365E7B2">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64BDF3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continue"/>
                  <w:vAlign w:val="center"/>
                </w:tcPr>
                <w:p w14:paraId="58151AB4">
                  <w:pPr>
                    <w:pStyle w:val="42"/>
                    <w:rPr>
                      <w:rFonts w:hint="eastAsia"/>
                      <w:color w:val="0D0D0D" w:themeColor="text1" w:themeTint="F2"/>
                      <w14:textFill>
                        <w14:solidFill>
                          <w14:schemeClr w14:val="tx1">
                            <w14:lumMod w14:val="95000"/>
                            <w14:lumOff w14:val="5000"/>
                          </w14:schemeClr>
                        </w14:solidFill>
                      </w14:textFill>
                    </w:rPr>
                  </w:pPr>
                </w:p>
              </w:tc>
              <w:tc>
                <w:tcPr>
                  <w:tcW w:w="2009" w:type="pct"/>
                  <w:vAlign w:val="center"/>
                </w:tcPr>
                <w:p w14:paraId="3CAE532B">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加强应急监测装备配置，定期开展应急演练，增强实战能力。</w:t>
                  </w:r>
                </w:p>
              </w:tc>
              <w:tc>
                <w:tcPr>
                  <w:tcW w:w="1881" w:type="pct"/>
                  <w:vAlign w:val="center"/>
                </w:tcPr>
                <w:p w14:paraId="06B9620E">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环境风险防范执行《中国石油新疆油田分公司勘探事业部突发环境事件应急预案》，并定期进行应急演练工作。</w:t>
                  </w:r>
                </w:p>
              </w:tc>
              <w:tc>
                <w:tcPr>
                  <w:tcW w:w="488" w:type="pct"/>
                  <w:vAlign w:val="center"/>
                </w:tcPr>
                <w:p w14:paraId="10F366D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tr w14:paraId="6E8700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restart"/>
                  <w:vAlign w:val="center"/>
                </w:tcPr>
                <w:p w14:paraId="284B3F01">
                  <w:pPr>
                    <w:pStyle w:val="42"/>
                    <w:rPr>
                      <w:rFonts w:hint="eastAsia"/>
                      <w:color w:val="0D0D0D" w:themeColor="text1" w:themeTint="F2"/>
                      <w14:textFill>
                        <w14:solidFill>
                          <w14:schemeClr w14:val="tx1">
                            <w14:lumMod w14:val="95000"/>
                            <w14:lumOff w14:val="5000"/>
                          </w14:schemeClr>
                        </w14:solidFill>
                      </w14:textFill>
                    </w:rPr>
                  </w:pPr>
                  <w:bookmarkStart w:id="16" w:name="_Hlk213897474"/>
                  <w:r>
                    <w:rPr>
                      <w:rFonts w:hint="eastAsia"/>
                      <w:color w:val="0D0D0D" w:themeColor="text1" w:themeTint="F2"/>
                      <w14:textFill>
                        <w14:solidFill>
                          <w14:schemeClr w14:val="tx1">
                            <w14:lumMod w14:val="95000"/>
                            <w14:lumOff w14:val="5000"/>
                          </w14:schemeClr>
                        </w14:solidFill>
                      </w14:textFill>
                    </w:rPr>
                    <w:t>《关于印发〈新疆维吾尔自治区2025年空气质量持续改善行动实施方案〉的通知》（新政办发〔2024〕58号）</w:t>
                  </w:r>
                </w:p>
              </w:tc>
              <w:tc>
                <w:tcPr>
                  <w:tcW w:w="2009" w:type="pct"/>
                  <w:vAlign w:val="center"/>
                </w:tcPr>
                <w:p w14:paraId="69BCC7A0">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退出重点行业落后产能。严格执行《产业结构调整指导目录》，依法依规淘汰落后产能。联防联控区进一步提高落后产能能耗、环保、质量、安全、技术等要求，逐步退出限制类涉气行业工艺和装备。</w:t>
                  </w:r>
                </w:p>
              </w:tc>
              <w:tc>
                <w:tcPr>
                  <w:tcW w:w="1881" w:type="pct"/>
                  <w:vAlign w:val="center"/>
                </w:tcPr>
                <w:p w14:paraId="0A434328">
                  <w:pPr>
                    <w:pStyle w:val="42"/>
                    <w:jc w:val="left"/>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本项目</w:t>
                  </w:r>
                  <w:r>
                    <w:rPr>
                      <w:rFonts w:hint="eastAsia"/>
                      <w:color w:val="0D0D0D" w:themeColor="text1" w:themeTint="F2"/>
                      <w14:textFill>
                        <w14:solidFill>
                          <w14:schemeClr w14:val="tx1">
                            <w14:lumMod w14:val="95000"/>
                            <w14:lumOff w14:val="5000"/>
                          </w14:schemeClr>
                        </w14:solidFill>
                      </w14:textFill>
                    </w:rPr>
                    <w:t>属于鼓励类项目，不属于依法依规淘汰落后产能。</w:t>
                  </w:r>
                </w:p>
              </w:tc>
              <w:tc>
                <w:tcPr>
                  <w:tcW w:w="488" w:type="pct"/>
                  <w:vAlign w:val="center"/>
                </w:tcPr>
                <w:p w14:paraId="51741CF0">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符合</w:t>
                  </w:r>
                </w:p>
              </w:tc>
            </w:tr>
            <w:tr w14:paraId="38C48E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2" w:type="pct"/>
                  <w:vMerge w:val="continue"/>
                  <w:vAlign w:val="center"/>
                </w:tcPr>
                <w:p w14:paraId="67B3D31A">
                  <w:pPr>
                    <w:pStyle w:val="42"/>
                    <w:rPr>
                      <w:rFonts w:hint="eastAsia"/>
                      <w:color w:val="0D0D0D" w:themeColor="text1" w:themeTint="F2"/>
                      <w14:textFill>
                        <w14:solidFill>
                          <w14:schemeClr w14:val="tx1">
                            <w14:lumMod w14:val="95000"/>
                            <w14:lumOff w14:val="5000"/>
                          </w14:schemeClr>
                        </w14:solidFill>
                      </w14:textFill>
                    </w:rPr>
                  </w:pPr>
                </w:p>
              </w:tc>
              <w:tc>
                <w:tcPr>
                  <w:tcW w:w="2009" w:type="pct"/>
                  <w:vAlign w:val="center"/>
                </w:tcPr>
                <w:p w14:paraId="78B67C63">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持续强化扬尘污染综合管控。施工场地严格落实“六个百分百”要求。扬尘污染防治费用纳入工程造价，3000m</w:t>
                  </w:r>
                  <w:r>
                    <w:rPr>
                      <w:rFonts w:hint="eastAsia"/>
                      <w:color w:val="0D0D0D" w:themeColor="text1" w:themeTint="F2"/>
                      <w:vertAlign w:val="superscript"/>
                      <w14:textFill>
                        <w14:solidFill>
                          <w14:schemeClr w14:val="tx1">
                            <w14:lumMod w14:val="95000"/>
                            <w14:lumOff w14:val="5000"/>
                          </w14:schemeClr>
                        </w14:solidFill>
                      </w14:textFill>
                    </w:rPr>
                    <w:t>2</w:t>
                  </w:r>
                  <w:r>
                    <w:rPr>
                      <w:rFonts w:hint="eastAsia"/>
                      <w:color w:val="0D0D0D" w:themeColor="text1" w:themeTint="F2"/>
                      <w14:textFill>
                        <w14:solidFill>
                          <w14:schemeClr w14:val="tx1">
                            <w14:lumMod w14:val="95000"/>
                            <w14:lumOff w14:val="5000"/>
                          </w14:schemeClr>
                        </w14:solidFill>
                      </w14:textFill>
                    </w:rPr>
                    <w:t>及以上建筑工地安装视频监控并接入当地监管平台。道路、水务等长距离线性工程实行分段施工。城市建成区主次干道机械化清扫率达到80%。加强城市及周边公共裸地、物料堆场等易产尘区域抑尘管理。到2025年，装配式建筑占新建建筑面积比例达到30%。</w:t>
                  </w:r>
                </w:p>
              </w:tc>
              <w:tc>
                <w:tcPr>
                  <w:tcW w:w="1881" w:type="pct"/>
                  <w:vAlign w:val="center"/>
                </w:tcPr>
                <w:p w14:paraId="0BCECA0B">
                  <w:pPr>
                    <w:pStyle w:val="42"/>
                    <w:jc w:val="lef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裸露砂石料、土方、逸散性建筑材料等易起尘物料采用苫布遮盖，无法遮盖的应存放在库房内；施工道路应采取硬化措施，并定期洒水抑尘，配备保洁人员清扫；施工车辆清扫后上路，保持车辆干净；运输渣土的车辆须密闭，严禁运输过程中撒漏。</w:t>
                  </w:r>
                </w:p>
              </w:tc>
              <w:tc>
                <w:tcPr>
                  <w:tcW w:w="488" w:type="pct"/>
                  <w:vAlign w:val="center"/>
                </w:tcPr>
                <w:p w14:paraId="1729C703">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符合</w:t>
                  </w:r>
                </w:p>
              </w:tc>
            </w:tr>
            <w:bookmarkEnd w:id="16"/>
          </w:tbl>
          <w:p w14:paraId="0B46748F">
            <w:pPr>
              <w:rPr>
                <w:color w:val="0D0D0D" w:themeColor="text1" w:themeTint="F2"/>
                <w14:textFill>
                  <w14:solidFill>
                    <w14:schemeClr w14:val="tx1">
                      <w14:lumMod w14:val="95000"/>
                      <w14:lumOff w14:val="5000"/>
                    </w14:schemeClr>
                  </w14:solidFill>
                </w14:textFill>
              </w:rPr>
            </w:pPr>
          </w:p>
          <w:p w14:paraId="1B3A98F0">
            <w:pPr>
              <w:rPr>
                <w:color w:val="0D0D0D" w:themeColor="text1" w:themeTint="F2"/>
                <w14:textFill>
                  <w14:solidFill>
                    <w14:schemeClr w14:val="tx1">
                      <w14:lumMod w14:val="95000"/>
                      <w14:lumOff w14:val="5000"/>
                    </w14:schemeClr>
                  </w14:solidFill>
                </w14:textFill>
              </w:rPr>
            </w:pPr>
          </w:p>
          <w:p w14:paraId="4312455B">
            <w:pPr>
              <w:rPr>
                <w:color w:val="0D0D0D" w:themeColor="text1" w:themeTint="F2"/>
                <w14:textFill>
                  <w14:solidFill>
                    <w14:schemeClr w14:val="tx1">
                      <w14:lumMod w14:val="95000"/>
                      <w14:lumOff w14:val="5000"/>
                    </w14:schemeClr>
                  </w14:solidFill>
                </w14:textFill>
              </w:rPr>
            </w:pPr>
          </w:p>
          <w:p w14:paraId="1E9305E8">
            <w:pPr>
              <w:rPr>
                <w:color w:val="0D0D0D" w:themeColor="text1" w:themeTint="F2"/>
                <w14:textFill>
                  <w14:solidFill>
                    <w14:schemeClr w14:val="tx1">
                      <w14:lumMod w14:val="95000"/>
                      <w14:lumOff w14:val="5000"/>
                    </w14:schemeClr>
                  </w14:solidFill>
                </w14:textFill>
              </w:rPr>
            </w:pPr>
          </w:p>
          <w:p w14:paraId="2B4F0318">
            <w:pPr>
              <w:rPr>
                <w:color w:val="0D0D0D" w:themeColor="text1" w:themeTint="F2"/>
                <w14:textFill>
                  <w14:solidFill>
                    <w14:schemeClr w14:val="tx1">
                      <w14:lumMod w14:val="95000"/>
                      <w14:lumOff w14:val="5000"/>
                    </w14:schemeClr>
                  </w14:solidFill>
                </w14:textFill>
              </w:rPr>
            </w:pPr>
          </w:p>
          <w:p w14:paraId="73455042">
            <w:pPr>
              <w:rPr>
                <w:color w:val="0D0D0D" w:themeColor="text1" w:themeTint="F2"/>
                <w14:textFill>
                  <w14:solidFill>
                    <w14:schemeClr w14:val="tx1">
                      <w14:lumMod w14:val="95000"/>
                      <w14:lumOff w14:val="5000"/>
                    </w14:schemeClr>
                  </w14:solidFill>
                </w14:textFill>
              </w:rPr>
            </w:pPr>
          </w:p>
          <w:p w14:paraId="33BE7138">
            <w:pPr>
              <w:rPr>
                <w:color w:val="0D0D0D" w:themeColor="text1" w:themeTint="F2"/>
                <w14:textFill>
                  <w14:solidFill>
                    <w14:schemeClr w14:val="tx1">
                      <w14:lumMod w14:val="95000"/>
                      <w14:lumOff w14:val="5000"/>
                    </w14:schemeClr>
                  </w14:solidFill>
                </w14:textFill>
              </w:rPr>
            </w:pPr>
          </w:p>
          <w:p w14:paraId="226336B4">
            <w:pPr>
              <w:rPr>
                <w:color w:val="0D0D0D" w:themeColor="text1" w:themeTint="F2"/>
                <w14:textFill>
                  <w14:solidFill>
                    <w14:schemeClr w14:val="tx1">
                      <w14:lumMod w14:val="95000"/>
                      <w14:lumOff w14:val="5000"/>
                    </w14:schemeClr>
                  </w14:solidFill>
                </w14:textFill>
              </w:rPr>
            </w:pPr>
          </w:p>
          <w:p w14:paraId="697AA36C">
            <w:pPr>
              <w:rPr>
                <w:color w:val="0D0D0D" w:themeColor="text1" w:themeTint="F2"/>
                <w14:textFill>
                  <w14:solidFill>
                    <w14:schemeClr w14:val="tx1">
                      <w14:lumMod w14:val="95000"/>
                      <w14:lumOff w14:val="5000"/>
                    </w14:schemeClr>
                  </w14:solidFill>
                </w14:textFill>
              </w:rPr>
            </w:pPr>
          </w:p>
          <w:p w14:paraId="42A044DE">
            <w:pPr>
              <w:rPr>
                <w:color w:val="0D0D0D" w:themeColor="text1" w:themeTint="F2"/>
                <w14:textFill>
                  <w14:solidFill>
                    <w14:schemeClr w14:val="tx1">
                      <w14:lumMod w14:val="95000"/>
                      <w14:lumOff w14:val="5000"/>
                    </w14:schemeClr>
                  </w14:solidFill>
                </w14:textFill>
              </w:rPr>
            </w:pPr>
          </w:p>
          <w:p w14:paraId="31DF3143">
            <w:pPr>
              <w:rPr>
                <w:color w:val="0D0D0D" w:themeColor="text1" w:themeTint="F2"/>
                <w14:textFill>
                  <w14:solidFill>
                    <w14:schemeClr w14:val="tx1">
                      <w14:lumMod w14:val="95000"/>
                      <w14:lumOff w14:val="5000"/>
                    </w14:schemeClr>
                  </w14:solidFill>
                </w14:textFill>
              </w:rPr>
            </w:pPr>
          </w:p>
          <w:p w14:paraId="578A192A">
            <w:pPr>
              <w:rPr>
                <w:color w:val="0D0D0D" w:themeColor="text1" w:themeTint="F2"/>
                <w14:textFill>
                  <w14:solidFill>
                    <w14:schemeClr w14:val="tx1">
                      <w14:lumMod w14:val="95000"/>
                      <w14:lumOff w14:val="5000"/>
                    </w14:schemeClr>
                  </w14:solidFill>
                </w14:textFill>
              </w:rPr>
            </w:pPr>
          </w:p>
          <w:p w14:paraId="22486185">
            <w:pPr>
              <w:rPr>
                <w:color w:val="0D0D0D" w:themeColor="text1" w:themeTint="F2"/>
                <w14:textFill>
                  <w14:solidFill>
                    <w14:schemeClr w14:val="tx1">
                      <w14:lumMod w14:val="95000"/>
                      <w14:lumOff w14:val="5000"/>
                    </w14:schemeClr>
                  </w14:solidFill>
                </w14:textFill>
              </w:rPr>
            </w:pPr>
          </w:p>
          <w:p w14:paraId="098D6A34">
            <w:pPr>
              <w:rPr>
                <w:color w:val="0D0D0D" w:themeColor="text1" w:themeTint="F2"/>
                <w14:textFill>
                  <w14:solidFill>
                    <w14:schemeClr w14:val="tx1">
                      <w14:lumMod w14:val="95000"/>
                      <w14:lumOff w14:val="5000"/>
                    </w14:schemeClr>
                  </w14:solidFill>
                </w14:textFill>
              </w:rPr>
            </w:pPr>
          </w:p>
          <w:p w14:paraId="79C7451A">
            <w:pPr>
              <w:rPr>
                <w:color w:val="0D0D0D" w:themeColor="text1" w:themeTint="F2"/>
                <w14:textFill>
                  <w14:solidFill>
                    <w14:schemeClr w14:val="tx1">
                      <w14:lumMod w14:val="95000"/>
                      <w14:lumOff w14:val="5000"/>
                    </w14:schemeClr>
                  </w14:solidFill>
                </w14:textFill>
              </w:rPr>
            </w:pPr>
          </w:p>
          <w:p w14:paraId="272341D9">
            <w:pPr>
              <w:rPr>
                <w:color w:val="0D0D0D" w:themeColor="text1" w:themeTint="F2"/>
                <w14:textFill>
                  <w14:solidFill>
                    <w14:schemeClr w14:val="tx1">
                      <w14:lumMod w14:val="95000"/>
                      <w14:lumOff w14:val="5000"/>
                    </w14:schemeClr>
                  </w14:solidFill>
                </w14:textFill>
              </w:rPr>
            </w:pPr>
          </w:p>
          <w:p w14:paraId="71E884B6">
            <w:pPr>
              <w:rPr>
                <w:color w:val="0D0D0D" w:themeColor="text1" w:themeTint="F2"/>
                <w14:textFill>
                  <w14:solidFill>
                    <w14:schemeClr w14:val="tx1">
                      <w14:lumMod w14:val="95000"/>
                      <w14:lumOff w14:val="5000"/>
                    </w14:schemeClr>
                  </w14:solidFill>
                </w14:textFill>
              </w:rPr>
            </w:pPr>
          </w:p>
          <w:p w14:paraId="28E851E6">
            <w:pPr>
              <w:rPr>
                <w:color w:val="0D0D0D" w:themeColor="text1" w:themeTint="F2"/>
                <w14:textFill>
                  <w14:solidFill>
                    <w14:schemeClr w14:val="tx1">
                      <w14:lumMod w14:val="95000"/>
                      <w14:lumOff w14:val="5000"/>
                    </w14:schemeClr>
                  </w14:solidFill>
                </w14:textFill>
              </w:rPr>
            </w:pPr>
          </w:p>
          <w:p w14:paraId="1022B5EA">
            <w:pPr>
              <w:rPr>
                <w:color w:val="0D0D0D" w:themeColor="text1" w:themeTint="F2"/>
                <w14:textFill>
                  <w14:solidFill>
                    <w14:schemeClr w14:val="tx1">
                      <w14:lumMod w14:val="95000"/>
                      <w14:lumOff w14:val="5000"/>
                    </w14:schemeClr>
                  </w14:solidFill>
                </w14:textFill>
              </w:rPr>
            </w:pPr>
          </w:p>
          <w:p w14:paraId="7247FB6F">
            <w:pPr>
              <w:spacing w:line="400" w:lineRule="exact"/>
              <w:ind w:firstLine="480" w:firstLineChars="200"/>
              <w:rPr>
                <w:color w:val="0D0D0D" w:themeColor="text1" w:themeTint="F2"/>
                <w14:textFill>
                  <w14:solidFill>
                    <w14:schemeClr w14:val="tx1">
                      <w14:lumMod w14:val="95000"/>
                      <w14:lumOff w14:val="5000"/>
                    </w14:schemeClr>
                  </w14:solidFill>
                </w14:textFill>
              </w:rPr>
            </w:pPr>
          </w:p>
        </w:tc>
      </w:tr>
    </w:tbl>
    <w:p w14:paraId="7A62EC39">
      <w:pPr>
        <w:rPr>
          <w:color w:val="0D0D0D" w:themeColor="text1" w:themeTint="F2"/>
          <w14:textFill>
            <w14:solidFill>
              <w14:schemeClr w14:val="tx1">
                <w14:lumMod w14:val="95000"/>
                <w14:lumOff w14:val="5000"/>
              </w14:schemeClr>
            </w14:solidFill>
          </w14:textFill>
        </w:rPr>
        <w:sectPr>
          <w:footerReference r:id="rId6" w:type="default"/>
          <w:pgSz w:w="11906" w:h="16838"/>
          <w:pgMar w:top="1440" w:right="1800" w:bottom="1440" w:left="1800" w:header="1020" w:footer="1020" w:gutter="0"/>
          <w:pgNumType w:start="1"/>
          <w:cols w:space="425" w:num="1"/>
          <w:docGrid w:type="lines" w:linePitch="326" w:charSpace="0"/>
        </w:sectPr>
      </w:pPr>
    </w:p>
    <w:p w14:paraId="400D4962">
      <w:pPr>
        <w:pStyle w:val="2"/>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pPr>
      <w:r>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t>二、建设内容</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7612"/>
      </w:tblGrid>
      <w:tr w14:paraId="1341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58C5060C">
            <w:pPr>
              <w:snapToGrid w:val="0"/>
              <w:spacing w:line="5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地理位置</w:t>
            </w:r>
          </w:p>
        </w:tc>
        <w:tc>
          <w:tcPr>
            <w:tcW w:w="7824" w:type="dxa"/>
          </w:tcPr>
          <w:p w14:paraId="1985E536">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本项目行政隶属新疆维吾尔自治区昌吉呼图壁县石梯子哈萨克族乡白杨河村，曙探1井东北距呼图壁县中心城区约14.9km，东距S335约0.6km，</w:t>
            </w:r>
            <w:r>
              <w:rPr>
                <w:rStyle w:val="60"/>
                <w:rFonts w:hint="eastAsia"/>
                <w:color w:val="0D0D0D" w:themeColor="text1" w:themeTint="F2"/>
                <w:spacing w:val="-4"/>
                <w14:textFill>
                  <w14:solidFill>
                    <w14:schemeClr w14:val="tx1">
                      <w14:lumMod w14:val="95000"/>
                      <w14:lumOff w14:val="5000"/>
                    </w14:schemeClr>
                  </w14:solidFill>
                </w14:textFill>
              </w:rPr>
              <w:t>井位坐标见</w:t>
            </w:r>
            <w:r>
              <w:rPr>
                <w:rStyle w:val="60"/>
                <w:rFonts w:hint="eastAsia"/>
                <w:color w:val="0D0D0D" w:themeColor="text1" w:themeTint="F2"/>
                <w:spacing w:val="-4"/>
                <w14:textFill>
                  <w14:solidFill>
                    <w14:schemeClr w14:val="tx1">
                      <w14:lumMod w14:val="95000"/>
                      <w14:lumOff w14:val="5000"/>
                    </w14:schemeClr>
                  </w14:solidFill>
                </w14:textFill>
              </w:rPr>
              <w:fldChar w:fldCharType="begin"/>
            </w:r>
            <w:r>
              <w:rPr>
                <w:rStyle w:val="60"/>
                <w:rFonts w:hint="eastAsia"/>
                <w:color w:val="0D0D0D" w:themeColor="text1" w:themeTint="F2"/>
                <w:spacing w:val="-4"/>
                <w14:textFill>
                  <w14:solidFill>
                    <w14:schemeClr w14:val="tx1">
                      <w14:lumMod w14:val="95000"/>
                      <w14:lumOff w14:val="5000"/>
                    </w14:schemeClr>
                  </w14:solidFill>
                </w14:textFill>
              </w:rPr>
              <w:instrText xml:space="preserve"> REF _Ref206147286 \h  \* MERGEFORMAT </w:instrText>
            </w:r>
            <w:r>
              <w:rPr>
                <w:rStyle w:val="60"/>
                <w:rFonts w:hint="eastAsia"/>
                <w:color w:val="0D0D0D" w:themeColor="text1" w:themeTint="F2"/>
                <w:spacing w:val="-4"/>
                <w14:textFill>
                  <w14:solidFill>
                    <w14:schemeClr w14:val="tx1">
                      <w14:lumMod w14:val="95000"/>
                      <w14:lumOff w14:val="5000"/>
                    </w14:schemeClr>
                  </w14:solidFill>
                </w14:textFill>
              </w:rPr>
              <w:fldChar w:fldCharType="separate"/>
            </w:r>
            <w:r>
              <w:rPr>
                <w:rStyle w:val="60"/>
                <w:spacing w:val="-4"/>
              </w:rPr>
              <w:t>表6</w:t>
            </w:r>
            <w:r>
              <w:rPr>
                <w:rStyle w:val="60"/>
                <w:rFonts w:hint="eastAsia"/>
                <w:color w:val="0D0D0D" w:themeColor="text1" w:themeTint="F2"/>
                <w:spacing w:val="-4"/>
                <w14:textFill>
                  <w14:solidFill>
                    <w14:schemeClr w14:val="tx1">
                      <w14:lumMod w14:val="95000"/>
                      <w14:lumOff w14:val="5000"/>
                    </w14:schemeClr>
                  </w14:solidFill>
                </w14:textFill>
              </w:rPr>
              <w:fldChar w:fldCharType="end"/>
            </w:r>
            <w:r>
              <w:rPr>
                <w:rStyle w:val="60"/>
                <w:rFonts w:hint="eastAsia"/>
                <w:color w:val="0D0D0D" w:themeColor="text1" w:themeTint="F2"/>
                <w:spacing w:val="-4"/>
                <w14:textFill>
                  <w14:solidFill>
                    <w14:schemeClr w14:val="tx1">
                      <w14:lumMod w14:val="95000"/>
                      <w14:lumOff w14:val="5000"/>
                    </w14:schemeClr>
                  </w14:solidFill>
                </w14:textFill>
              </w:rPr>
              <w:t>。</w:t>
            </w:r>
            <w:bookmarkStart w:id="17" w:name="_Hlk213897565"/>
            <w:r>
              <w:rPr>
                <w:rStyle w:val="60"/>
                <w:rFonts w:hint="eastAsia"/>
                <w:color w:val="0D0D0D" w:themeColor="text1" w:themeTint="F2"/>
                <w:spacing w:val="-4"/>
                <w14:textFill>
                  <w14:solidFill>
                    <w14:schemeClr w14:val="tx1">
                      <w14:lumMod w14:val="95000"/>
                      <w14:lumOff w14:val="5000"/>
                    </w14:schemeClr>
                  </w14:solidFill>
                </w14:textFill>
              </w:rPr>
              <w:t>区</w:t>
            </w:r>
            <w:r>
              <w:rPr>
                <w:rFonts w:hint="eastAsia"/>
                <w:color w:val="0D0D0D" w:themeColor="text1" w:themeTint="F2"/>
                <w14:textFill>
                  <w14:solidFill>
                    <w14:schemeClr w14:val="tx1">
                      <w14:lumMod w14:val="95000"/>
                      <w14:lumOff w14:val="5000"/>
                    </w14:schemeClr>
                  </w14:solidFill>
                </w14:textFill>
              </w:rPr>
              <w:t>域位置见附图3。</w:t>
            </w:r>
            <w:bookmarkEnd w:id="17"/>
          </w:p>
          <w:p w14:paraId="5F006DC4">
            <w:pPr>
              <w:pStyle w:val="8"/>
              <w:rPr>
                <w:rStyle w:val="66"/>
                <w:rFonts w:hint="eastAsia"/>
                <w:color w:val="0D0D0D" w:themeColor="text1" w:themeTint="F2"/>
                <w14:textFill>
                  <w14:solidFill>
                    <w14:schemeClr w14:val="tx1">
                      <w14:lumMod w14:val="95000"/>
                      <w14:lumOff w14:val="5000"/>
                    </w14:schemeClr>
                  </w14:solidFill>
                </w14:textFill>
              </w:rPr>
            </w:pPr>
            <w:bookmarkStart w:id="18" w:name="_Ref206147286"/>
            <w:r>
              <w:rPr>
                <w:rStyle w:val="66"/>
                <w:rFonts w:hint="eastAsia"/>
                <w:color w:val="0D0D0D" w:themeColor="text1" w:themeTint="F2"/>
                <w14:textFill>
                  <w14:solidFill>
                    <w14:schemeClr w14:val="tx1">
                      <w14:lumMod w14:val="95000"/>
                      <w14:lumOff w14:val="5000"/>
                    </w14:schemeClr>
                  </w14:solidFill>
                </w14:textFill>
              </w:rPr>
              <w:t>表</w:t>
            </w:r>
            <w:r>
              <w:rPr>
                <w:rStyle w:val="66"/>
                <w:rFonts w:hint="eastAsia"/>
                <w:color w:val="0D0D0D" w:themeColor="text1" w:themeTint="F2"/>
                <w14:textFill>
                  <w14:solidFill>
                    <w14:schemeClr w14:val="tx1">
                      <w14:lumMod w14:val="95000"/>
                      <w14:lumOff w14:val="5000"/>
                    </w14:schemeClr>
                  </w14:solidFill>
                </w14:textFill>
              </w:rPr>
              <w:fldChar w:fldCharType="begin"/>
            </w:r>
            <w:r>
              <w:rPr>
                <w:rStyle w:val="66"/>
                <w:rFonts w:hint="eastAsia"/>
                <w:color w:val="0D0D0D" w:themeColor="text1" w:themeTint="F2"/>
                <w14:textFill>
                  <w14:solidFill>
                    <w14:schemeClr w14:val="tx1">
                      <w14:lumMod w14:val="95000"/>
                      <w14:lumOff w14:val="5000"/>
                    </w14:schemeClr>
                  </w14:solidFill>
                </w14:textFill>
              </w:rPr>
              <w:instrText xml:space="preserve"> SEQ 表 \* ARABIC </w:instrText>
            </w:r>
            <w:r>
              <w:rPr>
                <w:rStyle w:val="66"/>
                <w:rFonts w:hint="eastAsia"/>
                <w:color w:val="0D0D0D" w:themeColor="text1" w:themeTint="F2"/>
                <w14:textFill>
                  <w14:solidFill>
                    <w14:schemeClr w14:val="tx1">
                      <w14:lumMod w14:val="95000"/>
                      <w14:lumOff w14:val="5000"/>
                    </w14:schemeClr>
                  </w14:solidFill>
                </w14:textFill>
              </w:rPr>
              <w:fldChar w:fldCharType="separate"/>
            </w:r>
            <w:r>
              <w:rPr>
                <w:rStyle w:val="66"/>
                <w:rFonts w:hint="eastAsia"/>
                <w:color w:val="0D0D0D" w:themeColor="text1" w:themeTint="F2"/>
                <w14:textFill>
                  <w14:solidFill>
                    <w14:schemeClr w14:val="tx1">
                      <w14:lumMod w14:val="95000"/>
                      <w14:lumOff w14:val="5000"/>
                    </w14:schemeClr>
                  </w14:solidFill>
                </w14:textFill>
              </w:rPr>
              <w:t>6</w:t>
            </w:r>
            <w:r>
              <w:rPr>
                <w:rStyle w:val="66"/>
                <w:rFonts w:hint="eastAsia"/>
                <w:color w:val="0D0D0D" w:themeColor="text1" w:themeTint="F2"/>
                <w14:textFill>
                  <w14:solidFill>
                    <w14:schemeClr w14:val="tx1">
                      <w14:lumMod w14:val="95000"/>
                      <w14:lumOff w14:val="5000"/>
                    </w14:schemeClr>
                  </w14:solidFill>
                </w14:textFill>
              </w:rPr>
              <w:fldChar w:fldCharType="end"/>
            </w:r>
            <w:bookmarkEnd w:id="18"/>
            <w:r>
              <w:rPr>
                <w:rStyle w:val="66"/>
                <w:color w:val="0D0D0D" w:themeColor="text1" w:themeTint="F2"/>
                <w14:textFill>
                  <w14:solidFill>
                    <w14:schemeClr w14:val="tx1">
                      <w14:lumMod w14:val="95000"/>
                      <w14:lumOff w14:val="5000"/>
                    </w14:schemeClr>
                  </w14:solidFill>
                </w14:textFill>
              </w:rPr>
              <w:t xml:space="preserve">  </w:t>
            </w:r>
            <w:r>
              <w:rPr>
                <w:rStyle w:val="66"/>
                <w:rFonts w:hint="eastAsia"/>
                <w:color w:val="0D0D0D" w:themeColor="text1" w:themeTint="F2"/>
                <w14:textFill>
                  <w14:solidFill>
                    <w14:schemeClr w14:val="tx1">
                      <w14:lumMod w14:val="95000"/>
                      <w14:lumOff w14:val="5000"/>
                    </w14:schemeClr>
                  </w14:solidFill>
                </w14:textFill>
              </w:rPr>
              <w:t xml:space="preserve">  拟部署井井位坐标表</w:t>
            </w:r>
          </w:p>
          <w:tbl>
            <w:tblPr>
              <w:tblStyle w:val="101"/>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1145"/>
              <w:gridCol w:w="1377"/>
              <w:gridCol w:w="1356"/>
              <w:gridCol w:w="1701"/>
              <w:gridCol w:w="1817"/>
            </w:tblGrid>
            <w:tr w14:paraId="5D41BA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774" w:type="pct"/>
                  <w:vMerge w:val="restart"/>
                  <w:vAlign w:val="center"/>
                </w:tcPr>
                <w:p w14:paraId="60F87C62">
                  <w:pPr>
                    <w:pStyle w:val="51"/>
                    <w:rPr>
                      <w:rFonts w:hint="eastAsia"/>
                      <w:color w:val="0D0D0D" w:themeColor="text1" w:themeTint="F2"/>
                      <w14:textFill>
                        <w14:solidFill>
                          <w14:schemeClr w14:val="tx1">
                            <w14:lumMod w14:val="95000"/>
                            <w14:lumOff w14:val="5000"/>
                          </w14:schemeClr>
                        </w14:solidFill>
                      </w14:textFill>
                    </w:rPr>
                  </w:pPr>
                  <w:bookmarkStart w:id="19" w:name="_Hlk141788278"/>
                  <w:r>
                    <w:rPr>
                      <w:rFonts w:hint="eastAsia"/>
                      <w:color w:val="0D0D0D" w:themeColor="text1" w:themeTint="F2"/>
                      <w14:textFill>
                        <w14:solidFill>
                          <w14:schemeClr w14:val="tx1">
                            <w14:lumMod w14:val="95000"/>
                            <w14:lumOff w14:val="5000"/>
                          </w14:schemeClr>
                        </w14:solidFill>
                      </w14:textFill>
                    </w:rPr>
                    <w:t>井号</w:t>
                  </w:r>
                </w:p>
              </w:tc>
              <w:tc>
                <w:tcPr>
                  <w:tcW w:w="1847" w:type="pct"/>
                  <w:gridSpan w:val="2"/>
                  <w:vAlign w:val="center"/>
                </w:tcPr>
                <w:p w14:paraId="37C89358">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北京54坐标</w:t>
                  </w:r>
                </w:p>
              </w:tc>
              <w:tc>
                <w:tcPr>
                  <w:tcW w:w="2378" w:type="pct"/>
                  <w:gridSpan w:val="2"/>
                  <w:vAlign w:val="center"/>
                </w:tcPr>
                <w:p w14:paraId="24C96559">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经纬度</w:t>
                  </w:r>
                </w:p>
              </w:tc>
            </w:tr>
            <w:tr w14:paraId="3A67F6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774" w:type="pct"/>
                  <w:vMerge w:val="continue"/>
                  <w:vAlign w:val="center"/>
                </w:tcPr>
                <w:p w14:paraId="3DA2A921">
                  <w:pPr>
                    <w:pStyle w:val="51"/>
                    <w:rPr>
                      <w:rFonts w:hint="eastAsia"/>
                      <w:color w:val="0D0D0D" w:themeColor="text1" w:themeTint="F2"/>
                      <w14:textFill>
                        <w14:solidFill>
                          <w14:schemeClr w14:val="tx1">
                            <w14:lumMod w14:val="95000"/>
                            <w14:lumOff w14:val="5000"/>
                          </w14:schemeClr>
                        </w14:solidFill>
                      </w14:textFill>
                    </w:rPr>
                  </w:pPr>
                </w:p>
              </w:tc>
              <w:tc>
                <w:tcPr>
                  <w:tcW w:w="931" w:type="pct"/>
                  <w:vAlign w:val="center"/>
                </w:tcPr>
                <w:p w14:paraId="243F389F">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纵坐标</w:t>
                  </w:r>
                </w:p>
              </w:tc>
              <w:tc>
                <w:tcPr>
                  <w:tcW w:w="917" w:type="pct"/>
                  <w:vAlign w:val="center"/>
                </w:tcPr>
                <w:p w14:paraId="286BF93D">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横坐标</w:t>
                  </w:r>
                </w:p>
              </w:tc>
              <w:tc>
                <w:tcPr>
                  <w:tcW w:w="1150" w:type="pct"/>
                  <w:vAlign w:val="center"/>
                </w:tcPr>
                <w:p w14:paraId="51456BF5">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东经</w:t>
                  </w:r>
                </w:p>
              </w:tc>
              <w:tc>
                <w:tcPr>
                  <w:tcW w:w="1228" w:type="pct"/>
                  <w:vAlign w:val="center"/>
                </w:tcPr>
                <w:p w14:paraId="6F4B64D3">
                  <w:pPr>
                    <w:pStyle w:val="5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北纬</w:t>
                  </w:r>
                </w:p>
              </w:tc>
            </w:tr>
            <w:tr w14:paraId="7509F9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774" w:type="pct"/>
                  <w:vAlign w:val="center"/>
                </w:tcPr>
                <w:p w14:paraId="415B079E">
                  <w:pPr>
                    <w:pStyle w:val="51"/>
                    <w:rPr>
                      <w:rFonts w:hint="eastAsia"/>
                      <w:color w:val="0D0D0D" w:themeColor="text1" w:themeTint="F2"/>
                      <w14:textFill>
                        <w14:solidFill>
                          <w14:schemeClr w14:val="tx1">
                            <w14:lumMod w14:val="95000"/>
                            <w14:lumOff w14:val="5000"/>
                          </w14:schemeClr>
                        </w14:solidFill>
                      </w14:textFill>
                    </w:rPr>
                  </w:pPr>
                  <w:bookmarkStart w:id="20" w:name="_Hlk149578391"/>
                  <w:r>
                    <w:rPr>
                      <w:rFonts w:hint="eastAsia"/>
                      <w:color w:val="0D0D0D" w:themeColor="text1" w:themeTint="F2"/>
                      <w14:textFill>
                        <w14:solidFill>
                          <w14:schemeClr w14:val="tx1">
                            <w14:lumMod w14:val="95000"/>
                            <w14:lumOff w14:val="5000"/>
                          </w14:schemeClr>
                        </w14:solidFill>
                      </w14:textFill>
                    </w:rPr>
                    <w:t>曙探1井</w:t>
                  </w:r>
                </w:p>
              </w:tc>
              <w:tc>
                <w:tcPr>
                  <w:tcW w:w="931" w:type="pct"/>
                  <w:vAlign w:val="center"/>
                </w:tcPr>
                <w:p w14:paraId="5C3FFCE2">
                  <w:pPr>
                    <w:pStyle w:val="51"/>
                    <w:rPr>
                      <w:rFonts w:hint="eastAsia"/>
                      <w:color w:val="0D0D0D" w:themeColor="text1" w:themeTint="F2"/>
                      <w14:textFill>
                        <w14:solidFill>
                          <w14:schemeClr w14:val="tx1">
                            <w14:lumMod w14:val="95000"/>
                            <w14:lumOff w14:val="5000"/>
                          </w14:schemeClr>
                        </w14:solidFill>
                      </w14:textFill>
                    </w:rPr>
                  </w:pPr>
                </w:p>
              </w:tc>
              <w:tc>
                <w:tcPr>
                  <w:tcW w:w="917" w:type="pct"/>
                  <w:vAlign w:val="center"/>
                </w:tcPr>
                <w:p w14:paraId="1DD544B1">
                  <w:pPr>
                    <w:pStyle w:val="51"/>
                    <w:rPr>
                      <w:rFonts w:hint="eastAsia"/>
                      <w:color w:val="0D0D0D" w:themeColor="text1" w:themeTint="F2"/>
                      <w14:textFill>
                        <w14:solidFill>
                          <w14:schemeClr w14:val="tx1">
                            <w14:lumMod w14:val="95000"/>
                            <w14:lumOff w14:val="5000"/>
                          </w14:schemeClr>
                        </w14:solidFill>
                      </w14:textFill>
                    </w:rPr>
                  </w:pPr>
                </w:p>
              </w:tc>
              <w:tc>
                <w:tcPr>
                  <w:tcW w:w="1150" w:type="pct"/>
                  <w:vAlign w:val="center"/>
                </w:tcPr>
                <w:p w14:paraId="19B904EF">
                  <w:pPr>
                    <w:pStyle w:val="51"/>
                    <w:rPr>
                      <w:rFonts w:hint="eastAsia"/>
                      <w:color w:val="0D0D0D" w:themeColor="text1" w:themeTint="F2"/>
                      <w14:textFill>
                        <w14:solidFill>
                          <w14:schemeClr w14:val="tx1">
                            <w14:lumMod w14:val="95000"/>
                            <w14:lumOff w14:val="5000"/>
                          </w14:schemeClr>
                        </w14:solidFill>
                      </w14:textFill>
                    </w:rPr>
                  </w:pPr>
                </w:p>
              </w:tc>
              <w:tc>
                <w:tcPr>
                  <w:tcW w:w="1228" w:type="pct"/>
                  <w:vAlign w:val="center"/>
                </w:tcPr>
                <w:p w14:paraId="69FEF500">
                  <w:pPr>
                    <w:pStyle w:val="51"/>
                    <w:rPr>
                      <w:rFonts w:hint="eastAsia"/>
                      <w:color w:val="0D0D0D" w:themeColor="text1" w:themeTint="F2"/>
                      <w14:textFill>
                        <w14:solidFill>
                          <w14:schemeClr w14:val="tx1">
                            <w14:lumMod w14:val="95000"/>
                            <w14:lumOff w14:val="5000"/>
                          </w14:schemeClr>
                        </w14:solidFill>
                      </w14:textFill>
                    </w:rPr>
                  </w:pPr>
                </w:p>
              </w:tc>
            </w:tr>
            <w:bookmarkEnd w:id="19"/>
            <w:bookmarkEnd w:id="20"/>
          </w:tbl>
          <w:p w14:paraId="09A82934">
            <w:pPr>
              <w:pStyle w:val="25"/>
              <w:rPr>
                <w:color w:val="0D0D0D" w:themeColor="text1" w:themeTint="F2"/>
                <w14:textFill>
                  <w14:solidFill>
                    <w14:schemeClr w14:val="tx1">
                      <w14:lumMod w14:val="95000"/>
                      <w14:lumOff w14:val="5000"/>
                    </w14:schemeClr>
                  </w14:solidFill>
                </w14:textFill>
              </w:rPr>
            </w:pPr>
          </w:p>
        </w:tc>
      </w:tr>
      <w:tr w14:paraId="0445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4F17D89D">
            <w:pPr>
              <w:snapToGrid w:val="0"/>
              <w:spacing w:line="5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bookmarkStart w:id="21" w:name="_Hlk136793942"/>
            <w:r>
              <w:rPr>
                <w:rFonts w:hint="eastAsia" w:ascii="宋体" w:hAnsi="宋体" w:cs="宋体"/>
                <w:color w:val="0D0D0D" w:themeColor="text1" w:themeTint="F2"/>
                <w14:textFill>
                  <w14:solidFill>
                    <w14:schemeClr w14:val="tx1">
                      <w14:lumMod w14:val="95000"/>
                      <w14:lumOff w14:val="5000"/>
                    </w14:schemeClr>
                  </w14:solidFill>
                </w14:textFill>
              </w:rPr>
              <w:t>项目组成及规模</w:t>
            </w:r>
          </w:p>
        </w:tc>
        <w:tc>
          <w:tcPr>
            <w:tcW w:w="7824" w:type="dxa"/>
          </w:tcPr>
          <w:p w14:paraId="60DDD26E">
            <w:pPr>
              <w:snapToGrid w:val="0"/>
              <w:spacing w:line="500" w:lineRule="exact"/>
              <w:ind w:firstLine="480" w:firstLineChars="200"/>
              <w:rPr>
                <w:rStyle w:val="60"/>
                <w:rFonts w:hint="eastAsia"/>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本次部署1口勘探井，井号为曙探1井，工程组成情况</w:t>
            </w:r>
            <w:r>
              <w:rPr>
                <w:rStyle w:val="60"/>
                <w:rFonts w:hint="eastAsia"/>
                <w:color w:val="0D0D0D" w:themeColor="text1" w:themeTint="F2"/>
                <w14:textFill>
                  <w14:solidFill>
                    <w14:schemeClr w14:val="tx1">
                      <w14:lumMod w14:val="95000"/>
                      <w14:lumOff w14:val="5000"/>
                    </w14:schemeClr>
                  </w14:solidFill>
                </w14:textFill>
              </w:rPr>
              <w:t>见</w:t>
            </w:r>
            <w:r>
              <w:rPr>
                <w:rStyle w:val="60"/>
                <w:rFonts w:hint="eastAsia"/>
                <w:color w:val="0D0D0D" w:themeColor="text1" w:themeTint="F2"/>
                <w14:textFill>
                  <w14:solidFill>
                    <w14:schemeClr w14:val="tx1">
                      <w14:lumMod w14:val="95000"/>
                      <w14:lumOff w14:val="5000"/>
                    </w14:schemeClr>
                  </w14:solidFill>
                </w14:textFill>
              </w:rPr>
              <w:fldChar w:fldCharType="begin"/>
            </w:r>
            <w:r>
              <w:rPr>
                <w:rStyle w:val="60"/>
                <w:rFonts w:hint="eastAsia"/>
                <w:color w:val="0D0D0D" w:themeColor="text1" w:themeTint="F2"/>
                <w14:textFill>
                  <w14:solidFill>
                    <w14:schemeClr w14:val="tx1">
                      <w14:lumMod w14:val="95000"/>
                      <w14:lumOff w14:val="5000"/>
                    </w14:schemeClr>
                  </w14:solidFill>
                </w14:textFill>
              </w:rPr>
              <w:instrText xml:space="preserve"> REF _Ref206147301 \h  \* MERGEFORMAT </w:instrText>
            </w:r>
            <w:r>
              <w:rPr>
                <w:rStyle w:val="60"/>
                <w:rFonts w:hint="eastAsia"/>
                <w:color w:val="0D0D0D" w:themeColor="text1" w:themeTint="F2"/>
                <w14:textFill>
                  <w14:solidFill>
                    <w14:schemeClr w14:val="tx1">
                      <w14:lumMod w14:val="95000"/>
                      <w14:lumOff w14:val="5000"/>
                    </w14:schemeClr>
                  </w14:solidFill>
                </w14:textFill>
              </w:rPr>
              <w:fldChar w:fldCharType="separate"/>
            </w:r>
            <w:r>
              <w:rPr>
                <w:rStyle w:val="60"/>
              </w:rPr>
              <w:t>表7</w:t>
            </w:r>
            <w:r>
              <w:rPr>
                <w:rStyle w:val="60"/>
                <w:rFonts w:hint="eastAsia"/>
                <w:color w:val="0D0D0D" w:themeColor="text1" w:themeTint="F2"/>
                <w14:textFill>
                  <w14:solidFill>
                    <w14:schemeClr w14:val="tx1">
                      <w14:lumMod w14:val="95000"/>
                      <w14:lumOff w14:val="5000"/>
                    </w14:schemeClr>
                  </w14:solidFill>
                </w14:textFill>
              </w:rPr>
              <w:fldChar w:fldCharType="end"/>
            </w:r>
            <w:r>
              <w:rPr>
                <w:rStyle w:val="60"/>
                <w:rFonts w:hint="eastAsia"/>
                <w:color w:val="0D0D0D" w:themeColor="text1" w:themeTint="F2"/>
                <w14:textFill>
                  <w14:solidFill>
                    <w14:schemeClr w14:val="tx1">
                      <w14:lumMod w14:val="95000"/>
                      <w14:lumOff w14:val="5000"/>
                    </w14:schemeClr>
                  </w14:solidFill>
                </w14:textFill>
              </w:rPr>
              <w:t>。</w:t>
            </w:r>
          </w:p>
          <w:p w14:paraId="38DEA62B">
            <w:pPr>
              <w:snapToGrid w:val="0"/>
              <w:spacing w:line="500" w:lineRule="exact"/>
              <w:jc w:val="center"/>
              <w:rPr>
                <w:rStyle w:val="66"/>
                <w:rFonts w:hint="eastAsia"/>
                <w:color w:val="0D0D0D" w:themeColor="text1" w:themeTint="F2"/>
                <w14:textFill>
                  <w14:solidFill>
                    <w14:schemeClr w14:val="tx1">
                      <w14:lumMod w14:val="95000"/>
                      <w14:lumOff w14:val="5000"/>
                    </w14:schemeClr>
                  </w14:solidFill>
                </w14:textFill>
              </w:rPr>
            </w:pPr>
            <w:bookmarkStart w:id="22" w:name="_Ref206147301"/>
            <w:bookmarkStart w:id="23" w:name="_Hlk208320629"/>
            <w:r>
              <w:rPr>
                <w:rStyle w:val="66"/>
                <w:rFonts w:hint="eastAsia"/>
                <w:color w:val="0D0D0D" w:themeColor="text1" w:themeTint="F2"/>
                <w14:textFill>
                  <w14:solidFill>
                    <w14:schemeClr w14:val="tx1">
                      <w14:lumMod w14:val="95000"/>
                      <w14:lumOff w14:val="5000"/>
                    </w14:schemeClr>
                  </w14:solidFill>
                </w14:textFill>
              </w:rPr>
              <w:t>表</w:t>
            </w:r>
            <w:r>
              <w:rPr>
                <w:rStyle w:val="66"/>
                <w:rFonts w:hint="eastAsia"/>
                <w:color w:val="0D0D0D" w:themeColor="text1" w:themeTint="F2"/>
                <w14:textFill>
                  <w14:solidFill>
                    <w14:schemeClr w14:val="tx1">
                      <w14:lumMod w14:val="95000"/>
                      <w14:lumOff w14:val="5000"/>
                    </w14:schemeClr>
                  </w14:solidFill>
                </w14:textFill>
              </w:rPr>
              <w:fldChar w:fldCharType="begin"/>
            </w:r>
            <w:r>
              <w:rPr>
                <w:rStyle w:val="66"/>
                <w:rFonts w:hint="eastAsia"/>
                <w:color w:val="0D0D0D" w:themeColor="text1" w:themeTint="F2"/>
                <w14:textFill>
                  <w14:solidFill>
                    <w14:schemeClr w14:val="tx1">
                      <w14:lumMod w14:val="95000"/>
                      <w14:lumOff w14:val="5000"/>
                    </w14:schemeClr>
                  </w14:solidFill>
                </w14:textFill>
              </w:rPr>
              <w:instrText xml:space="preserve"> SEQ 表 \* ARABIC </w:instrText>
            </w:r>
            <w:r>
              <w:rPr>
                <w:rStyle w:val="66"/>
                <w:rFonts w:hint="eastAsia"/>
                <w:color w:val="0D0D0D" w:themeColor="text1" w:themeTint="F2"/>
                <w14:textFill>
                  <w14:solidFill>
                    <w14:schemeClr w14:val="tx1">
                      <w14:lumMod w14:val="95000"/>
                      <w14:lumOff w14:val="5000"/>
                    </w14:schemeClr>
                  </w14:solidFill>
                </w14:textFill>
              </w:rPr>
              <w:fldChar w:fldCharType="separate"/>
            </w:r>
            <w:r>
              <w:rPr>
                <w:rStyle w:val="66"/>
                <w:rFonts w:hint="eastAsia"/>
                <w:color w:val="0D0D0D" w:themeColor="text1" w:themeTint="F2"/>
                <w14:textFill>
                  <w14:solidFill>
                    <w14:schemeClr w14:val="tx1">
                      <w14:lumMod w14:val="95000"/>
                      <w14:lumOff w14:val="5000"/>
                    </w14:schemeClr>
                  </w14:solidFill>
                </w14:textFill>
              </w:rPr>
              <w:t>7</w:t>
            </w:r>
            <w:r>
              <w:rPr>
                <w:rStyle w:val="66"/>
                <w:rFonts w:hint="eastAsia"/>
                <w:color w:val="0D0D0D" w:themeColor="text1" w:themeTint="F2"/>
                <w14:textFill>
                  <w14:solidFill>
                    <w14:schemeClr w14:val="tx1">
                      <w14:lumMod w14:val="95000"/>
                      <w14:lumOff w14:val="5000"/>
                    </w14:schemeClr>
                  </w14:solidFill>
                </w14:textFill>
              </w:rPr>
              <w:fldChar w:fldCharType="end"/>
            </w:r>
            <w:bookmarkEnd w:id="22"/>
            <w:r>
              <w:rPr>
                <w:rStyle w:val="66"/>
                <w:rFonts w:hint="eastAsia"/>
                <w:color w:val="0D0D0D" w:themeColor="text1" w:themeTint="F2"/>
                <w14:textFill>
                  <w14:solidFill>
                    <w14:schemeClr w14:val="tx1">
                      <w14:lumMod w14:val="95000"/>
                      <w14:lumOff w14:val="5000"/>
                    </w14:schemeClr>
                  </w14:solidFill>
                </w14:textFill>
              </w:rPr>
              <w:t xml:space="preserve">    工程组成一览表</w:t>
            </w:r>
          </w:p>
          <w:bookmarkEnd w:id="23"/>
          <w:tbl>
            <w:tblPr>
              <w:tblStyle w:val="29"/>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449"/>
              <w:gridCol w:w="485"/>
              <w:gridCol w:w="847"/>
              <w:gridCol w:w="5612"/>
            </w:tblGrid>
            <w:tr w14:paraId="49AC23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blHeader/>
              </w:trPr>
              <w:tc>
                <w:tcPr>
                  <w:tcW w:w="304" w:type="pct"/>
                  <w:vAlign w:val="center"/>
                </w:tcPr>
                <w:p w14:paraId="5099A22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bookmarkStart w:id="24" w:name="_Hlk176172371"/>
                  <w:r>
                    <w:rPr>
                      <w:rFonts w:hint="eastAsia" w:ascii="宋体" w:hAnsi="宋体" w:cs="宋体"/>
                      <w:color w:val="0D0D0D" w:themeColor="text1" w:themeTint="F2"/>
                      <w:sz w:val="21"/>
                      <w:szCs w:val="21"/>
                      <w14:textFill>
                        <w14:solidFill>
                          <w14:schemeClr w14:val="tx1">
                            <w14:lumMod w14:val="95000"/>
                            <w14:lumOff w14:val="5000"/>
                          </w14:schemeClr>
                        </w14:solidFill>
                      </w14:textFill>
                    </w:rPr>
                    <w:t>工程组成</w:t>
                  </w:r>
                </w:p>
              </w:tc>
              <w:tc>
                <w:tcPr>
                  <w:tcW w:w="4696" w:type="pct"/>
                  <w:gridSpan w:val="3"/>
                  <w:vAlign w:val="center"/>
                </w:tcPr>
                <w:p w14:paraId="30EE868A">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工程内容</w:t>
                  </w:r>
                </w:p>
              </w:tc>
            </w:tr>
            <w:tr w14:paraId="5F3AD6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restart"/>
                  <w:vAlign w:val="center"/>
                </w:tcPr>
                <w:p w14:paraId="6BE7C26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主体工程</w:t>
                  </w:r>
                </w:p>
              </w:tc>
              <w:tc>
                <w:tcPr>
                  <w:tcW w:w="901" w:type="pct"/>
                  <w:gridSpan w:val="2"/>
                  <w:vAlign w:val="center"/>
                </w:tcPr>
                <w:p w14:paraId="351AA8D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钻前工程</w:t>
                  </w:r>
                </w:p>
              </w:tc>
              <w:tc>
                <w:tcPr>
                  <w:tcW w:w="3795" w:type="pct"/>
                  <w:vAlign w:val="center"/>
                </w:tcPr>
                <w:p w14:paraId="5ACC0078">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井场平整、钻机基础建设、探临道路和生活营地建设以及设备进场。</w:t>
                  </w:r>
                </w:p>
              </w:tc>
            </w:tr>
            <w:tr w14:paraId="3C08D5D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6F45F30E">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bookmarkStart w:id="25" w:name="_Hlk186369386"/>
                </w:p>
              </w:tc>
              <w:tc>
                <w:tcPr>
                  <w:tcW w:w="901" w:type="pct"/>
                  <w:gridSpan w:val="2"/>
                  <w:vAlign w:val="center"/>
                </w:tcPr>
                <w:p w14:paraId="698A486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钻井工程</w:t>
                  </w:r>
                </w:p>
              </w:tc>
              <w:tc>
                <w:tcPr>
                  <w:tcW w:w="3795" w:type="pct"/>
                  <w:vAlign w:val="center"/>
                </w:tcPr>
                <w:p w14:paraId="7907D1C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曙探1井井场尺寸为167m×104m</w:t>
                  </w:r>
                  <w:r>
                    <w:rPr>
                      <w:rFonts w:hint="eastAsia"/>
                      <w:color w:val="0D0D0D" w:themeColor="text1" w:themeTint="F2"/>
                      <w:sz w:val="21"/>
                      <w:szCs w:val="21"/>
                      <w14:textFill>
                        <w14:solidFill>
                          <w14:schemeClr w14:val="tx1">
                            <w14:lumMod w14:val="95000"/>
                            <w14:lumOff w14:val="5000"/>
                          </w14:schemeClr>
                        </w14:solidFill>
                      </w14:textFill>
                    </w:rPr>
                    <w:t>，</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钻井进尺为8050m，采用五开直井井身结构，一开采用非磺化水基钻井液，二开至五开采用油基钻井液；钻井期为246天，施工人数为3</w:t>
                  </w:r>
                  <w:r>
                    <w:rPr>
                      <w:rFonts w:ascii="宋体" w:hAnsi="宋体" w:cs="宋体"/>
                      <w:color w:val="0D0D0D" w:themeColor="text1" w:themeTint="F2"/>
                      <w:sz w:val="21"/>
                      <w:szCs w:val="21"/>
                      <w14:textFill>
                        <w14:solidFill>
                          <w14:schemeClr w14:val="tx1">
                            <w14:lumMod w14:val="95000"/>
                            <w14:lumOff w14:val="5000"/>
                          </w14:schemeClr>
                        </w14:solidFill>
                      </w14:textFill>
                    </w:rPr>
                    <w:t>5</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人。</w:t>
                  </w:r>
                </w:p>
              </w:tc>
            </w:tr>
            <w:bookmarkEnd w:id="25"/>
            <w:tr w14:paraId="0EC1BE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3A00FC8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52E4122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试油工程</w:t>
                  </w:r>
                </w:p>
              </w:tc>
              <w:tc>
                <w:tcPr>
                  <w:tcW w:w="3795" w:type="pct"/>
                  <w:vAlign w:val="center"/>
                </w:tcPr>
                <w:p w14:paraId="1298E624">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主要包括试油准备、储层改造和试油，其中试油准备包括通井、洗井和试压工作，储层改造包括射孔和压裂；并配套试油设备、记录油气产量；试油期为180天，施工人数为2人。</w:t>
                  </w:r>
                </w:p>
              </w:tc>
            </w:tr>
            <w:tr w14:paraId="4EDE781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39BA1DB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3413EF4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完井</w:t>
                  </w:r>
                </w:p>
              </w:tc>
              <w:tc>
                <w:tcPr>
                  <w:tcW w:w="3795" w:type="pct"/>
                  <w:vAlign w:val="center"/>
                </w:tcPr>
                <w:p w14:paraId="7BCEFD75">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根据试油结果进行关井或封井作业，最后撤去所有生产设施，清理、平整井场。</w:t>
                  </w:r>
                </w:p>
              </w:tc>
            </w:tr>
            <w:tr w14:paraId="403678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restart"/>
                  <w:vAlign w:val="center"/>
                </w:tcPr>
                <w:p w14:paraId="47B1536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辅助工程</w:t>
                  </w:r>
                </w:p>
              </w:tc>
              <w:tc>
                <w:tcPr>
                  <w:tcW w:w="901" w:type="pct"/>
                  <w:gridSpan w:val="2"/>
                  <w:vAlign w:val="center"/>
                </w:tcPr>
                <w:p w14:paraId="78DA9DB1">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放喷设施</w:t>
                  </w:r>
                </w:p>
              </w:tc>
              <w:tc>
                <w:tcPr>
                  <w:tcW w:w="3795" w:type="pct"/>
                  <w:vAlign w:val="center"/>
                </w:tcPr>
                <w:p w14:paraId="75E07D5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井场左右两侧各设置1条放喷管线，在井场两侧预留应急放喷池位置（10m</w:t>
                  </w:r>
                  <w:bookmarkStart w:id="26" w:name="OLE_LINK12"/>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bookmarkEnd w:id="26"/>
                  <w:r>
                    <w:rPr>
                      <w:rFonts w:hint="eastAsia" w:ascii="宋体" w:hAnsi="宋体" w:cs="宋体"/>
                      <w:color w:val="0D0D0D" w:themeColor="text1" w:themeTint="F2"/>
                      <w:sz w:val="21"/>
                      <w:szCs w:val="21"/>
                      <w14:textFill>
                        <w14:solidFill>
                          <w14:schemeClr w14:val="tx1">
                            <w14:lumMod w14:val="95000"/>
                            <w14:lumOff w14:val="5000"/>
                          </w14:schemeClr>
                        </w14:solidFill>
                      </w14:textFill>
                    </w:rPr>
                    <w:t>20m）。</w:t>
                  </w:r>
                </w:p>
              </w:tc>
            </w:tr>
            <w:tr w14:paraId="1EFEB7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6185FACA">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6BF313C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生活营地</w:t>
                  </w:r>
                </w:p>
              </w:tc>
              <w:tc>
                <w:tcPr>
                  <w:tcW w:w="3795" w:type="pct"/>
                  <w:vAlign w:val="center"/>
                </w:tcPr>
                <w:p w14:paraId="674A0DC2">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位于井场西北侧约560m，</w:t>
                  </w:r>
                  <w:bookmarkStart w:id="27" w:name="_Hlk213895349"/>
                  <w:r>
                    <w:rPr>
                      <w:rFonts w:hint="eastAsia" w:ascii="宋体" w:hAnsi="宋体" w:cs="宋体"/>
                      <w:color w:val="0D0D0D" w:themeColor="text1" w:themeTint="F2"/>
                      <w:sz w:val="21"/>
                      <w:szCs w:val="21"/>
                      <w14:textFill>
                        <w14:solidFill>
                          <w14:schemeClr w14:val="tx1">
                            <w14:lumMod w14:val="95000"/>
                            <w14:lumOff w14:val="5000"/>
                          </w14:schemeClr>
                        </w14:solidFill>
                      </w14:textFill>
                    </w:rPr>
                    <w:t>尺寸65m×50m，占地面积3250m</w:t>
                  </w:r>
                  <w:r>
                    <w:rPr>
                      <w:rFonts w:hint="eastAsia" w:ascii="宋体" w:hAnsi="宋体" w:cs="宋体"/>
                      <w:color w:val="0D0D0D" w:themeColor="text1" w:themeTint="F2"/>
                      <w:sz w:val="21"/>
                      <w:szCs w:val="21"/>
                      <w:vertAlign w:val="superscript"/>
                      <w14:textFill>
                        <w14:solidFill>
                          <w14:schemeClr w14:val="tx1">
                            <w14:lumMod w14:val="95000"/>
                            <w14:lumOff w14:val="5000"/>
                          </w14:schemeClr>
                        </w14:solidFill>
                      </w14:textFill>
                    </w:rPr>
                    <w:t>2</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，内部建设生活污水防渗收集池、生活垃圾收集设施。冬季采用电采暖，夏季安装空调。</w:t>
                  </w:r>
                  <w:bookmarkEnd w:id="27"/>
                </w:p>
              </w:tc>
            </w:tr>
            <w:tr w14:paraId="4B9373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04C93C91">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372549D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井控系统</w:t>
                  </w:r>
                </w:p>
              </w:tc>
              <w:tc>
                <w:tcPr>
                  <w:tcW w:w="3795" w:type="pct"/>
                  <w:vAlign w:val="center"/>
                </w:tcPr>
                <w:p w14:paraId="2C8D80D0">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钻井井场井口设置1套井控系统，</w:t>
                  </w:r>
                  <w:r>
                    <w:rPr>
                      <w:rFonts w:ascii="宋体" w:hAnsi="宋体" w:cs="宋体"/>
                      <w:color w:val="0D0D0D" w:themeColor="text1" w:themeTint="F2"/>
                      <w:sz w:val="21"/>
                      <w:szCs w:val="21"/>
                      <w14:textFill>
                        <w14:solidFill>
                          <w14:schemeClr w14:val="tx1">
                            <w14:lumMod w14:val="95000"/>
                            <w14:lumOff w14:val="5000"/>
                          </w14:schemeClr>
                        </w14:solidFill>
                      </w14:textFill>
                    </w:rPr>
                    <w:t>防止钻井及试油</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作业</w:t>
                  </w:r>
                  <w:r>
                    <w:rPr>
                      <w:rFonts w:ascii="宋体" w:hAnsi="宋体" w:cs="宋体"/>
                      <w:color w:val="0D0D0D" w:themeColor="text1" w:themeTint="F2"/>
                      <w:sz w:val="21"/>
                      <w:szCs w:val="21"/>
                      <w14:textFill>
                        <w14:solidFill>
                          <w14:schemeClr w14:val="tx1">
                            <w14:lumMod w14:val="95000"/>
                            <w14:lumOff w14:val="5000"/>
                          </w14:schemeClr>
                        </w14:solidFill>
                      </w14:textFill>
                    </w:rPr>
                    <w:t>时</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发生</w:t>
                  </w:r>
                  <w:r>
                    <w:rPr>
                      <w:rFonts w:ascii="宋体" w:hAnsi="宋体" w:cs="宋体"/>
                      <w:color w:val="0D0D0D" w:themeColor="text1" w:themeTint="F2"/>
                      <w:sz w:val="21"/>
                      <w:szCs w:val="21"/>
                      <w14:textFill>
                        <w14:solidFill>
                          <w14:schemeClr w14:val="tx1">
                            <w14:lumMod w14:val="95000"/>
                            <w14:lumOff w14:val="5000"/>
                          </w14:schemeClr>
                        </w14:solidFill>
                      </w14:textFill>
                    </w:rPr>
                    <w:t>井喷</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tr w14:paraId="13E946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72C850BD">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09CE4DA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钻井动力系统</w:t>
                  </w:r>
                </w:p>
              </w:tc>
              <w:tc>
                <w:tcPr>
                  <w:tcW w:w="3795" w:type="pct"/>
                  <w:vAlign w:val="center"/>
                </w:tcPr>
                <w:p w14:paraId="4A860E8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钻井井场设置6台发电机组。</w:t>
                  </w:r>
                </w:p>
              </w:tc>
            </w:tr>
            <w:tr w14:paraId="3A2ED4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773C2888">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59EBDAB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不落地系统</w:t>
                  </w:r>
                </w:p>
              </w:tc>
              <w:tc>
                <w:tcPr>
                  <w:tcW w:w="3795" w:type="pct"/>
                  <w:vAlign w:val="center"/>
                </w:tcPr>
                <w:p w14:paraId="4831D114">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钻井井场设置1套钻井液不落地设备。</w:t>
                  </w:r>
                </w:p>
              </w:tc>
            </w:tr>
            <w:tr w14:paraId="229639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restart"/>
                  <w:vAlign w:val="center"/>
                </w:tcPr>
                <w:p w14:paraId="318C534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公用工程</w:t>
                  </w:r>
                </w:p>
              </w:tc>
              <w:tc>
                <w:tcPr>
                  <w:tcW w:w="901" w:type="pct"/>
                  <w:gridSpan w:val="2"/>
                  <w:vAlign w:val="center"/>
                </w:tcPr>
                <w:p w14:paraId="6F6460A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供配电</w:t>
                  </w:r>
                </w:p>
              </w:tc>
              <w:tc>
                <w:tcPr>
                  <w:tcW w:w="3795" w:type="pct"/>
                  <w:vAlign w:val="center"/>
                </w:tcPr>
                <w:p w14:paraId="78DBC80B">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井场用电由柴油发电机供给；外购柴油由罐车从呼图壁县拉运至井场，井场设置柴油储罐区，井场储罐区内设置1座3</w:t>
                  </w:r>
                  <w:r>
                    <w:rPr>
                      <w:rFonts w:ascii="宋体" w:hAnsi="宋体" w:cs="宋体"/>
                      <w:color w:val="0D0D0D" w:themeColor="text1" w:themeTint="F2"/>
                      <w:sz w:val="21"/>
                      <w:szCs w:val="21"/>
                      <w14:textFill>
                        <w14:solidFill>
                          <w14:schemeClr w14:val="tx1">
                            <w14:lumMod w14:val="95000"/>
                            <w14:lumOff w14:val="5000"/>
                          </w14:schemeClr>
                        </w14:solidFill>
                      </w14:textFill>
                    </w:rPr>
                    <w:t>0</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m</w:t>
                  </w:r>
                  <w:r>
                    <w:rPr>
                      <w:rFonts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的柴油储罐，日常储备柴油20t，钻试期柴油消耗总量约2450t。</w:t>
                  </w:r>
                </w:p>
              </w:tc>
            </w:tr>
            <w:tr w14:paraId="76CDE6E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7834EF7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21D2F78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给排水</w:t>
                  </w:r>
                </w:p>
              </w:tc>
              <w:tc>
                <w:tcPr>
                  <w:tcW w:w="3795" w:type="pct"/>
                  <w:vAlign w:val="center"/>
                </w:tcPr>
                <w:p w14:paraId="356ECD7C">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施工期用水主要为洗井用水和生活用水，从呼图壁县由罐车拉运至井场，运距约15km；洗井废水和压裂返排液暂存至试油废水储罐；生活污水排至生活营地临时防渗收集池暂存。</w:t>
                  </w:r>
                </w:p>
              </w:tc>
            </w:tr>
            <w:tr w14:paraId="44B66E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542062D1">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797BD49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供暖</w:t>
                  </w:r>
                </w:p>
              </w:tc>
              <w:tc>
                <w:tcPr>
                  <w:tcW w:w="3795" w:type="pct"/>
                  <w:vAlign w:val="center"/>
                </w:tcPr>
                <w:p w14:paraId="1E97E845">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冬季生活营地采用电采暖。</w:t>
                  </w:r>
                </w:p>
              </w:tc>
            </w:tr>
            <w:tr w14:paraId="3A7936F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25AB4094">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35D932C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道路</w:t>
                  </w:r>
                </w:p>
              </w:tc>
              <w:tc>
                <w:tcPr>
                  <w:tcW w:w="3795" w:type="pct"/>
                  <w:vAlign w:val="center"/>
                </w:tcPr>
                <w:p w14:paraId="687DBAE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bookmarkStart w:id="28" w:name="_Hlk176171515"/>
                  <w:r>
                    <w:rPr>
                      <w:rFonts w:hint="eastAsia" w:ascii="宋体" w:hAnsi="宋体" w:cs="宋体"/>
                      <w:color w:val="0D0D0D" w:themeColor="text1" w:themeTint="F2"/>
                      <w:sz w:val="21"/>
                      <w:szCs w:val="21"/>
                      <w14:textFill>
                        <w14:solidFill>
                          <w14:schemeClr w14:val="tx1">
                            <w14:lumMod w14:val="95000"/>
                            <w14:lumOff w14:val="5000"/>
                          </w14:schemeClr>
                        </w14:solidFill>
                      </w14:textFill>
                    </w:rPr>
                    <w:t>新建探临道路257m，宽度24m，采用砂石路面。</w:t>
                  </w:r>
                  <w:bookmarkEnd w:id="28"/>
                </w:p>
              </w:tc>
            </w:tr>
            <w:tr w14:paraId="07374B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573EA14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18BD40AA">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消防</w:t>
                  </w:r>
                </w:p>
              </w:tc>
              <w:tc>
                <w:tcPr>
                  <w:tcW w:w="3795" w:type="pct"/>
                  <w:vAlign w:val="center"/>
                </w:tcPr>
                <w:p w14:paraId="2F666B83">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按规范配置一定数量的消防器材。</w:t>
                  </w:r>
                </w:p>
              </w:tc>
            </w:tr>
            <w:tr w14:paraId="752999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restart"/>
                  <w:vAlign w:val="center"/>
                </w:tcPr>
                <w:p w14:paraId="6F56197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环保工程</w:t>
                  </w:r>
                </w:p>
              </w:tc>
              <w:tc>
                <w:tcPr>
                  <w:tcW w:w="328" w:type="pct"/>
                  <w:vMerge w:val="restart"/>
                  <w:tcBorders>
                    <w:right w:val="single" w:color="auto" w:sz="4" w:space="0"/>
                  </w:tcBorders>
                  <w:vAlign w:val="center"/>
                </w:tcPr>
                <w:p w14:paraId="551D091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废气</w:t>
                  </w:r>
                </w:p>
              </w:tc>
              <w:tc>
                <w:tcPr>
                  <w:tcW w:w="572" w:type="pct"/>
                  <w:tcBorders>
                    <w:left w:val="single" w:color="auto" w:sz="4" w:space="0"/>
                  </w:tcBorders>
                  <w:vAlign w:val="center"/>
                </w:tcPr>
                <w:p w14:paraId="55F3474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伴生气</w:t>
                  </w:r>
                </w:p>
              </w:tc>
              <w:tc>
                <w:tcPr>
                  <w:tcW w:w="3795" w:type="pct"/>
                  <w:vAlign w:val="center"/>
                </w:tcPr>
                <w:p w14:paraId="71020292">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由排气管线充分燃烧后放空。</w:t>
                  </w:r>
                </w:p>
              </w:tc>
            </w:tr>
            <w:tr w14:paraId="655D17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57F06E5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28" w:type="pct"/>
                  <w:vMerge w:val="continue"/>
                  <w:tcBorders>
                    <w:right w:val="single" w:color="auto" w:sz="4" w:space="0"/>
                  </w:tcBorders>
                  <w:vAlign w:val="center"/>
                </w:tcPr>
                <w:p w14:paraId="3DC7292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572" w:type="pct"/>
                  <w:tcBorders>
                    <w:left w:val="single" w:color="auto" w:sz="4" w:space="0"/>
                  </w:tcBorders>
                  <w:vAlign w:val="center"/>
                </w:tcPr>
                <w:p w14:paraId="1C8178B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olor w:val="0D0D0D" w:themeColor="text1" w:themeTint="F2"/>
                      <w:sz w:val="21"/>
                      <w:szCs w:val="21"/>
                      <w14:textFill>
                        <w14:solidFill>
                          <w14:schemeClr w14:val="tx1">
                            <w14:lumMod w14:val="95000"/>
                            <w14:lumOff w14:val="5000"/>
                          </w14:schemeClr>
                        </w14:solidFill>
                      </w14:textFill>
                    </w:rPr>
                    <w:t>施工扬尘</w:t>
                  </w:r>
                </w:p>
              </w:tc>
              <w:tc>
                <w:tcPr>
                  <w:tcW w:w="3795" w:type="pct"/>
                  <w:vAlign w:val="center"/>
                </w:tcPr>
                <w:p w14:paraId="2E00878E">
                  <w:pPr>
                    <w:adjustRightInd w:val="0"/>
                    <w:snapToGrid w:val="0"/>
                    <w:spacing w:line="300" w:lineRule="exact"/>
                    <w:rPr>
                      <w:rFonts w:hint="eastAsia" w:ascii="宋体" w:hAnsi="宋体" w:cs="宋体"/>
                      <w:color w:val="0D0D0D" w:themeColor="text1" w:themeTint="F2"/>
                      <w:spacing w:val="-6"/>
                      <w:sz w:val="21"/>
                      <w:szCs w:val="21"/>
                      <w14:textFill>
                        <w14:solidFill>
                          <w14:schemeClr w14:val="tx1">
                            <w14:lumMod w14:val="95000"/>
                            <w14:lumOff w14:val="5000"/>
                          </w14:schemeClr>
                        </w14:solidFill>
                      </w14:textFill>
                    </w:rPr>
                  </w:pPr>
                  <w:r>
                    <w:rPr>
                      <w:rFonts w:hint="eastAsia" w:ascii="宋体" w:hAnsi="宋体"/>
                      <w:color w:val="0D0D0D" w:themeColor="text1" w:themeTint="F2"/>
                      <w:spacing w:val="-6"/>
                      <w:sz w:val="21"/>
                      <w:szCs w:val="21"/>
                      <w14:textFill>
                        <w14:solidFill>
                          <w14:schemeClr w14:val="tx1">
                            <w14:lumMod w14:val="95000"/>
                            <w14:lumOff w14:val="5000"/>
                          </w14:schemeClr>
                        </w14:solidFill>
                      </w14:textFill>
                    </w:rPr>
                    <w:t>对易起尘物料进行遮盖；加强车辆管理等</w:t>
                  </w:r>
                  <w:r>
                    <w:rPr>
                      <w:rFonts w:ascii="宋体" w:hAnsi="宋体"/>
                      <w:color w:val="0D0D0D" w:themeColor="text1" w:themeTint="F2"/>
                      <w:spacing w:val="-6"/>
                      <w:sz w:val="21"/>
                      <w:szCs w:val="21"/>
                      <w14:textFill>
                        <w14:solidFill>
                          <w14:schemeClr w14:val="tx1">
                            <w14:lumMod w14:val="95000"/>
                            <w14:lumOff w14:val="5000"/>
                          </w14:schemeClr>
                        </w14:solidFill>
                      </w14:textFill>
                    </w:rPr>
                    <w:t>措施</w:t>
                  </w:r>
                  <w:r>
                    <w:rPr>
                      <w:rFonts w:hint="eastAsia" w:ascii="宋体" w:hAnsi="宋体"/>
                      <w:color w:val="0D0D0D" w:themeColor="text1" w:themeTint="F2"/>
                      <w:spacing w:val="-6"/>
                      <w:sz w:val="21"/>
                      <w:szCs w:val="21"/>
                      <w14:textFill>
                        <w14:solidFill>
                          <w14:schemeClr w14:val="tx1">
                            <w14:lumMod w14:val="95000"/>
                            <w14:lumOff w14:val="5000"/>
                          </w14:schemeClr>
                        </w14:solidFill>
                      </w14:textFill>
                    </w:rPr>
                    <w:t>；水基钻井岩屑暂存于罐中，并及时清运，不长期存储。</w:t>
                  </w:r>
                </w:p>
              </w:tc>
            </w:tr>
            <w:tr w14:paraId="77482B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3F50A7DE">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28" w:type="pct"/>
                  <w:vMerge w:val="continue"/>
                  <w:tcBorders>
                    <w:right w:val="single" w:color="auto" w:sz="4" w:space="0"/>
                  </w:tcBorders>
                  <w:vAlign w:val="center"/>
                </w:tcPr>
                <w:p w14:paraId="1444D86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572" w:type="pct"/>
                  <w:tcBorders>
                    <w:left w:val="single" w:color="auto" w:sz="4" w:space="0"/>
                  </w:tcBorders>
                  <w:vAlign w:val="center"/>
                </w:tcPr>
                <w:p w14:paraId="302E985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无组织挥发烃类</w:t>
                  </w:r>
                </w:p>
              </w:tc>
              <w:tc>
                <w:tcPr>
                  <w:tcW w:w="3795" w:type="pct"/>
                  <w:vAlign w:val="center"/>
                </w:tcPr>
                <w:p w14:paraId="06975944">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加强采出液储罐管理；装卸必须采取密闭装载方式；柴油储罐采用固定顶罐，罐体应保持完好，不应有孔洞，加强密闭管理。</w:t>
                  </w:r>
                </w:p>
              </w:tc>
            </w:tr>
            <w:tr w14:paraId="5D93363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26B5832E">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28" w:type="pct"/>
                  <w:vMerge w:val="restart"/>
                  <w:tcBorders>
                    <w:right w:val="single" w:color="auto" w:sz="4" w:space="0"/>
                  </w:tcBorders>
                  <w:vAlign w:val="center"/>
                </w:tcPr>
                <w:p w14:paraId="1C764C4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废水</w:t>
                  </w:r>
                </w:p>
              </w:tc>
              <w:tc>
                <w:tcPr>
                  <w:tcW w:w="572" w:type="pct"/>
                  <w:tcBorders>
                    <w:left w:val="single" w:color="auto" w:sz="4" w:space="0"/>
                  </w:tcBorders>
                  <w:vAlign w:val="center"/>
                </w:tcPr>
                <w:p w14:paraId="015863E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生活污水</w:t>
                  </w:r>
                </w:p>
              </w:tc>
              <w:tc>
                <w:tcPr>
                  <w:tcW w:w="3795" w:type="pct"/>
                  <w:vAlign w:val="center"/>
                </w:tcPr>
                <w:p w14:paraId="36FE8724">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生活营地设1座容积为4</w:t>
                  </w:r>
                  <w:r>
                    <w:rPr>
                      <w:rFonts w:ascii="宋体" w:hAnsi="宋体" w:cs="宋体"/>
                      <w:color w:val="0D0D0D" w:themeColor="text1" w:themeTint="F2"/>
                      <w:sz w:val="21"/>
                      <w:szCs w:val="21"/>
                      <w14:textFill>
                        <w14:solidFill>
                          <w14:schemeClr w14:val="tx1">
                            <w14:lumMod w14:val="95000"/>
                            <w14:lumOff w14:val="5000"/>
                          </w14:schemeClr>
                        </w14:solidFill>
                      </w14:textFill>
                    </w:rPr>
                    <w:t>0m</w:t>
                  </w:r>
                  <w:r>
                    <w:rPr>
                      <w:rFonts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防渗收集池，定期清运至呼图壁县丰泉污水处理厂处理。</w:t>
                  </w:r>
                </w:p>
              </w:tc>
            </w:tr>
            <w:tr w14:paraId="151268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73939B84">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28" w:type="pct"/>
                  <w:vMerge w:val="continue"/>
                  <w:tcBorders>
                    <w:right w:val="single" w:color="auto" w:sz="4" w:space="0"/>
                  </w:tcBorders>
                  <w:vAlign w:val="center"/>
                </w:tcPr>
                <w:p w14:paraId="00C2185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572" w:type="pct"/>
                  <w:tcBorders>
                    <w:left w:val="single" w:color="auto" w:sz="4" w:space="0"/>
                  </w:tcBorders>
                  <w:vAlign w:val="center"/>
                </w:tcPr>
                <w:p w14:paraId="312D2936">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洗井废水和压裂返排液</w:t>
                  </w:r>
                </w:p>
              </w:tc>
              <w:tc>
                <w:tcPr>
                  <w:tcW w:w="3795" w:type="pct"/>
                  <w:vAlign w:val="center"/>
                </w:tcPr>
                <w:p w14:paraId="2C92C167">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采用专用储罐收集后送至采油一厂红山嘴原油处理站采出水处理系统处理。</w:t>
                  </w:r>
                </w:p>
              </w:tc>
            </w:tr>
            <w:tr w14:paraId="7025DB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7E2D509B">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28" w:type="pct"/>
                  <w:tcBorders>
                    <w:right w:val="single" w:color="auto" w:sz="4" w:space="0"/>
                  </w:tcBorders>
                  <w:vAlign w:val="center"/>
                </w:tcPr>
                <w:p w14:paraId="2B7A492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噪声</w:t>
                  </w:r>
                </w:p>
              </w:tc>
              <w:tc>
                <w:tcPr>
                  <w:tcW w:w="572" w:type="pct"/>
                  <w:tcBorders>
                    <w:left w:val="single" w:color="auto" w:sz="4" w:space="0"/>
                  </w:tcBorders>
                  <w:vAlign w:val="center"/>
                </w:tcPr>
                <w:p w14:paraId="0D5427C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钻试设备运行噪声</w:t>
                  </w:r>
                </w:p>
              </w:tc>
              <w:tc>
                <w:tcPr>
                  <w:tcW w:w="3795" w:type="pct"/>
                  <w:vAlign w:val="center"/>
                </w:tcPr>
                <w:p w14:paraId="70866D8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优先选用低噪声设备，设备底部进行基础减振。</w:t>
                  </w:r>
                </w:p>
              </w:tc>
            </w:tr>
            <w:tr w14:paraId="1F71A2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7758C0B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28" w:type="pct"/>
                  <w:vMerge w:val="restart"/>
                  <w:tcBorders>
                    <w:right w:val="single" w:color="auto" w:sz="4" w:space="0"/>
                  </w:tcBorders>
                  <w:vAlign w:val="center"/>
                </w:tcPr>
                <w:p w14:paraId="22E57184">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固体废物</w:t>
                  </w:r>
                </w:p>
              </w:tc>
              <w:tc>
                <w:tcPr>
                  <w:tcW w:w="572" w:type="pct"/>
                  <w:tcBorders>
                    <w:left w:val="single" w:color="auto" w:sz="4" w:space="0"/>
                  </w:tcBorders>
                  <w:vAlign w:val="center"/>
                </w:tcPr>
                <w:p w14:paraId="57408A6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钻井岩屑</w:t>
                  </w:r>
                </w:p>
              </w:tc>
              <w:tc>
                <w:tcPr>
                  <w:tcW w:w="3795" w:type="pct"/>
                  <w:vAlign w:val="center"/>
                </w:tcPr>
                <w:p w14:paraId="62097245">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使用钻井液不落地设备，钻井过程中分离出的水基钻井岩屑暂存于岩屑储罐区的岩屑储罐中，由委托的岩屑处置单位及时清运、处置；分</w:t>
                  </w:r>
                  <w:r>
                    <w:rPr>
                      <w:rFonts w:ascii="宋体" w:hAnsi="宋体" w:cs="宋体"/>
                      <w:color w:val="0D0D0D" w:themeColor="text1" w:themeTint="F2"/>
                      <w:sz w:val="21"/>
                      <w:szCs w:val="21"/>
                      <w14:textFill>
                        <w14:solidFill>
                          <w14:schemeClr w14:val="tx1">
                            <w14:lumMod w14:val="95000"/>
                            <w14:lumOff w14:val="5000"/>
                          </w14:schemeClr>
                        </w14:solidFill>
                      </w14:textFill>
                    </w:rPr>
                    <w:t>离出的油基钻井岩屑</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暂存于</w:t>
                  </w:r>
                  <w:r>
                    <w:rPr>
                      <w:rFonts w:ascii="宋体" w:hAnsi="宋体" w:cs="宋体"/>
                      <w:color w:val="0D0D0D" w:themeColor="text1" w:themeTint="F2"/>
                      <w:sz w:val="21"/>
                      <w:szCs w:val="21"/>
                      <w14:textFill>
                        <w14:solidFill>
                          <w14:schemeClr w14:val="tx1">
                            <w14:lumMod w14:val="95000"/>
                            <w14:lumOff w14:val="5000"/>
                          </w14:schemeClr>
                        </w14:solidFill>
                      </w14:textFill>
                    </w:rPr>
                    <w:t>油基钻井岩屑专用方罐</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r>
                    <w:rPr>
                      <w:rFonts w:ascii="宋体" w:hAnsi="宋体" w:cs="宋体"/>
                      <w:color w:val="0D0D0D" w:themeColor="text1" w:themeTint="F2"/>
                      <w:sz w:val="21"/>
                      <w:szCs w:val="21"/>
                      <w14:textFill>
                        <w14:solidFill>
                          <w14:schemeClr w14:val="tx1">
                            <w14:lumMod w14:val="95000"/>
                            <w14:lumOff w14:val="5000"/>
                          </w14:schemeClr>
                        </w14:solidFill>
                      </w14:textFill>
                    </w:rPr>
                    <w:t>交由具有相应危险废物处置资质的单位负责接收、转运及处置。</w:t>
                  </w:r>
                </w:p>
              </w:tc>
            </w:tr>
            <w:tr w14:paraId="60ECE0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656FFB0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28" w:type="pct"/>
                  <w:vMerge w:val="continue"/>
                  <w:tcBorders>
                    <w:right w:val="single" w:color="auto" w:sz="4" w:space="0"/>
                  </w:tcBorders>
                  <w:vAlign w:val="center"/>
                </w:tcPr>
                <w:p w14:paraId="13FDD21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572" w:type="pct"/>
                  <w:tcBorders>
                    <w:left w:val="single" w:color="auto" w:sz="4" w:space="0"/>
                  </w:tcBorders>
                  <w:vAlign w:val="center"/>
                </w:tcPr>
                <w:p w14:paraId="0B71D669">
                  <w:pPr>
                    <w:adjustRightInd w:val="0"/>
                    <w:snapToGrid w:val="0"/>
                    <w:spacing w:line="24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废防渗材料、废润滑油、废润滑油桶</w:t>
                  </w:r>
                </w:p>
              </w:tc>
              <w:tc>
                <w:tcPr>
                  <w:tcW w:w="3795" w:type="pct"/>
                  <w:vAlign w:val="center"/>
                </w:tcPr>
                <w:p w14:paraId="293B3F01">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井场设置1座危险废物贮存点，分区暂存各类危险废物；施工过程中产生的沾油废防渗材料、设备检修与维护过程中产生的废润滑油及废润滑油桶均属于危险废物，沾油废防渗材料、废润滑油和废润滑油桶分区暂存在井场设置的危险废物贮存点，定期由具有相应危险废物处置资质的单位进行接收、转运和处置。</w:t>
                  </w:r>
                </w:p>
              </w:tc>
            </w:tr>
            <w:tr w14:paraId="3A17B07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7A6AB858">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28" w:type="pct"/>
                  <w:vMerge w:val="continue"/>
                  <w:tcBorders>
                    <w:right w:val="single" w:color="auto" w:sz="4" w:space="0"/>
                  </w:tcBorders>
                  <w:vAlign w:val="center"/>
                </w:tcPr>
                <w:p w14:paraId="6B2F06B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572" w:type="pct"/>
                  <w:tcBorders>
                    <w:left w:val="single" w:color="auto" w:sz="4" w:space="0"/>
                  </w:tcBorders>
                  <w:vAlign w:val="center"/>
                </w:tcPr>
                <w:p w14:paraId="0622B41E">
                  <w:pPr>
                    <w:adjustRightInd w:val="0"/>
                    <w:snapToGrid w:val="0"/>
                    <w:spacing w:line="24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建筑垃圾</w:t>
                  </w:r>
                </w:p>
              </w:tc>
              <w:tc>
                <w:tcPr>
                  <w:tcW w:w="3795" w:type="pct"/>
                  <w:vAlign w:val="center"/>
                </w:tcPr>
                <w:p w14:paraId="7C649792">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建筑垃圾主要为废边角料、废包装物等，产生量较少，优先回收利用，无法回收利用的由钻井队负责清运。</w:t>
                  </w:r>
                </w:p>
              </w:tc>
            </w:tr>
            <w:tr w14:paraId="6A4448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39DA1CA6">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28" w:type="pct"/>
                  <w:vMerge w:val="continue"/>
                  <w:tcBorders>
                    <w:right w:val="single" w:color="auto" w:sz="4" w:space="0"/>
                  </w:tcBorders>
                  <w:vAlign w:val="center"/>
                </w:tcPr>
                <w:p w14:paraId="7F89EE7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572" w:type="pct"/>
                  <w:tcBorders>
                    <w:left w:val="single" w:color="auto" w:sz="4" w:space="0"/>
                  </w:tcBorders>
                  <w:vAlign w:val="center"/>
                </w:tcPr>
                <w:p w14:paraId="698DFCC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生活垃圾</w:t>
                  </w:r>
                </w:p>
              </w:tc>
              <w:tc>
                <w:tcPr>
                  <w:tcW w:w="3795" w:type="pct"/>
                  <w:vAlign w:val="center"/>
                </w:tcPr>
                <w:p w14:paraId="07267AD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井场和生活营地均设有垃圾箱暂存生活垃圾，定期清运至呼图壁县生活垃圾填埋场处置。</w:t>
                  </w:r>
                </w:p>
              </w:tc>
            </w:tr>
            <w:tr w14:paraId="31F7B6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58A5E1C1">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6ED2841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生态措施</w:t>
                  </w:r>
                </w:p>
              </w:tc>
              <w:tc>
                <w:tcPr>
                  <w:tcW w:w="3795" w:type="pct"/>
                  <w:vAlign w:val="center"/>
                </w:tcPr>
                <w:p w14:paraId="1D21BA60">
                  <w:pPr>
                    <w:adjustRightInd w:val="0"/>
                    <w:snapToGrid w:val="0"/>
                    <w:spacing w:line="300" w:lineRule="exact"/>
                    <w:rPr>
                      <w:rFonts w:hint="eastAsia" w:ascii="宋体" w:hAnsi="宋体" w:cs="宋体"/>
                      <w:color w:val="0D0D0D" w:themeColor="text1" w:themeTint="F2"/>
                      <w:spacing w:val="-6"/>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pacing w:val="-6"/>
                      <w:sz w:val="21"/>
                      <w:szCs w:val="21"/>
                      <w14:textFill>
                        <w14:solidFill>
                          <w14:schemeClr w14:val="tx1">
                            <w14:lumMod w14:val="95000"/>
                            <w14:lumOff w14:val="5000"/>
                          </w14:schemeClr>
                        </w14:solidFill>
                      </w14:textFill>
                    </w:rPr>
                    <w:t>施工结束后及时对临时占地进行清理、平整，植被自然恢复。</w:t>
                  </w:r>
                </w:p>
              </w:tc>
            </w:tr>
            <w:tr w14:paraId="3E642BC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072FFD48">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57146C5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H</w:t>
                  </w:r>
                  <w:r>
                    <w:rPr>
                      <w:rFonts w:hint="eastAsia" w:ascii="宋体" w:hAnsi="宋体" w:cs="宋体"/>
                      <w:color w:val="0D0D0D" w:themeColor="text1" w:themeTint="F2"/>
                      <w:sz w:val="21"/>
                      <w:szCs w:val="21"/>
                      <w:vertAlign w:val="subscript"/>
                      <w14:textFill>
                        <w14:solidFill>
                          <w14:schemeClr w14:val="tx1">
                            <w14:lumMod w14:val="95000"/>
                            <w14:lumOff w14:val="5000"/>
                          </w14:schemeClr>
                        </w14:solidFill>
                      </w14:textFill>
                    </w:rPr>
                    <w:t>2</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S监测</w:t>
                  </w:r>
                </w:p>
              </w:tc>
              <w:tc>
                <w:tcPr>
                  <w:tcW w:w="3795" w:type="pct"/>
                  <w:vAlign w:val="center"/>
                </w:tcPr>
                <w:p w14:paraId="458C9CB2">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井场按规范设置H</w:t>
                  </w:r>
                  <w:r>
                    <w:rPr>
                      <w:rFonts w:hint="eastAsia" w:ascii="宋体" w:hAnsi="宋体" w:cs="宋体"/>
                      <w:color w:val="0D0D0D" w:themeColor="text1" w:themeTint="F2"/>
                      <w:sz w:val="21"/>
                      <w:szCs w:val="21"/>
                      <w:vertAlign w:val="subscript"/>
                      <w14:textFill>
                        <w14:solidFill>
                          <w14:schemeClr w14:val="tx1">
                            <w14:lumMod w14:val="95000"/>
                            <w14:lumOff w14:val="5000"/>
                          </w14:schemeClr>
                        </w14:solidFill>
                      </w14:textFill>
                    </w:rPr>
                    <w:t>2</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S监测仪。</w:t>
                  </w:r>
                </w:p>
              </w:tc>
            </w:tr>
            <w:tr w14:paraId="3487B9C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04" w:type="pct"/>
                  <w:vMerge w:val="continue"/>
                  <w:vAlign w:val="center"/>
                </w:tcPr>
                <w:p w14:paraId="23EF9C2D">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3A47370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放喷设施</w:t>
                  </w:r>
                </w:p>
              </w:tc>
              <w:tc>
                <w:tcPr>
                  <w:tcW w:w="3795" w:type="pct"/>
                  <w:vAlign w:val="center"/>
                </w:tcPr>
                <w:p w14:paraId="5915CDDF">
                  <w:pPr>
                    <w:adjustRightInd w:val="0"/>
                    <w:snapToGrid w:val="0"/>
                    <w:spacing w:line="300" w:lineRule="exact"/>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pPr>
                  <w:r>
                    <w:rPr>
                      <w:rFonts w:ascii="宋体" w:hAnsi="宋体" w:cs="宋体"/>
                      <w:color w:val="0D0D0D" w:themeColor="text1" w:themeTint="F2"/>
                      <w:spacing w:val="-2"/>
                      <w:sz w:val="21"/>
                      <w:szCs w:val="21"/>
                      <w14:textFill>
                        <w14:solidFill>
                          <w14:schemeClr w14:val="tx1">
                            <w14:lumMod w14:val="95000"/>
                            <w14:lumOff w14:val="5000"/>
                          </w14:schemeClr>
                        </w14:solidFill>
                      </w14:textFill>
                    </w:rPr>
                    <w:t>井场左右两侧各设置1条</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放喷管线</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预留应急放喷池位置，左右两侧各1个，容积约100m</w:t>
                  </w:r>
                  <w:r>
                    <w:rPr>
                      <w:rFonts w:hint="eastAsia"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井喷出的采出物通过液气分离器进行气液分离，井喷液体应立即通过放喷管线排放至应急放喷池内，应急放喷池场地进行防渗。待事故结束后，将应急放喷池内的放喷液运至采油一厂红山嘴原油处理站处理。井喷气体由排气管线充分燃烧后放空。</w:t>
                  </w:r>
                </w:p>
              </w:tc>
            </w:tr>
            <w:tr w14:paraId="52DB95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04" w:type="pct"/>
                  <w:vMerge w:val="restart"/>
                  <w:vAlign w:val="center"/>
                </w:tcPr>
                <w:p w14:paraId="55EFECDA">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依托工程</w:t>
                  </w:r>
                </w:p>
              </w:tc>
              <w:tc>
                <w:tcPr>
                  <w:tcW w:w="901" w:type="pct"/>
                  <w:gridSpan w:val="2"/>
                  <w:vAlign w:val="center"/>
                </w:tcPr>
                <w:p w14:paraId="705E38F1">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试油废水（洗井废水、压裂返排液）</w:t>
                  </w:r>
                </w:p>
              </w:tc>
              <w:tc>
                <w:tcPr>
                  <w:tcW w:w="3795" w:type="pct"/>
                  <w:vAlign w:val="center"/>
                </w:tcPr>
                <w:p w14:paraId="69BB55E8">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由罐车送至采油一厂红山嘴原油处理站采出水处理系统处理。</w:t>
                  </w:r>
                </w:p>
              </w:tc>
            </w:tr>
            <w:tr w14:paraId="500C50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04" w:type="pct"/>
                  <w:vMerge w:val="continue"/>
                  <w:vAlign w:val="center"/>
                </w:tcPr>
                <w:p w14:paraId="4D12729E">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57C3FDF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采出液</w:t>
                  </w:r>
                </w:p>
              </w:tc>
              <w:tc>
                <w:tcPr>
                  <w:tcW w:w="3795" w:type="pct"/>
                  <w:vAlign w:val="center"/>
                </w:tcPr>
                <w:p w14:paraId="14F32CD9">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由罐车送至采油一厂红山嘴原油处理站原油处理系统处理。</w:t>
                  </w:r>
                </w:p>
              </w:tc>
            </w:tr>
            <w:tr w14:paraId="1E6FC1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04" w:type="pct"/>
                  <w:vMerge w:val="continue"/>
                  <w:vAlign w:val="center"/>
                </w:tcPr>
                <w:p w14:paraId="036CDC44">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024AD13B">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生活污水</w:t>
                  </w:r>
                </w:p>
              </w:tc>
              <w:tc>
                <w:tcPr>
                  <w:tcW w:w="3795" w:type="pct"/>
                  <w:vAlign w:val="center"/>
                </w:tcPr>
                <w:p w14:paraId="0B498493">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生活营地设1座容积为4</w:t>
                  </w:r>
                  <w:r>
                    <w:rPr>
                      <w:rFonts w:ascii="宋体" w:hAnsi="宋体" w:cs="宋体"/>
                      <w:color w:val="0D0D0D" w:themeColor="text1" w:themeTint="F2"/>
                      <w:sz w:val="21"/>
                      <w:szCs w:val="21"/>
                      <w14:textFill>
                        <w14:solidFill>
                          <w14:schemeClr w14:val="tx1">
                            <w14:lumMod w14:val="95000"/>
                            <w14:lumOff w14:val="5000"/>
                          </w14:schemeClr>
                        </w14:solidFill>
                      </w14:textFill>
                    </w:rPr>
                    <w:t>0m</w:t>
                  </w:r>
                  <w:r>
                    <w:rPr>
                      <w:rFonts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防渗收集池，定期清运至呼图壁县丰泉污水处理厂处理。</w:t>
                  </w:r>
                </w:p>
              </w:tc>
            </w:tr>
            <w:tr w14:paraId="6B34204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04" w:type="pct"/>
                  <w:vMerge w:val="continue"/>
                  <w:vAlign w:val="center"/>
                </w:tcPr>
                <w:p w14:paraId="405DB65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6628A9BD">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生活垃圾</w:t>
                  </w:r>
                </w:p>
              </w:tc>
              <w:tc>
                <w:tcPr>
                  <w:tcW w:w="3795" w:type="pct"/>
                  <w:vAlign w:val="center"/>
                </w:tcPr>
                <w:p w14:paraId="4104AB80">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井场和生活营地均设有垃圾箱暂存生活垃圾，定期清运至呼图壁县生活垃圾填埋场处置。</w:t>
                  </w:r>
                </w:p>
              </w:tc>
            </w:tr>
            <w:tr w14:paraId="710D59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40" w:hRule="atLeast"/>
                <w:jc w:val="center"/>
              </w:trPr>
              <w:tc>
                <w:tcPr>
                  <w:tcW w:w="304" w:type="pct"/>
                  <w:vMerge w:val="continue"/>
                  <w:vAlign w:val="center"/>
                </w:tcPr>
                <w:p w14:paraId="49C7D26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11E0C97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水基钻井岩屑</w:t>
                  </w:r>
                </w:p>
              </w:tc>
              <w:tc>
                <w:tcPr>
                  <w:tcW w:w="3795" w:type="pct"/>
                  <w:vAlign w:val="center"/>
                </w:tcPr>
                <w:p w14:paraId="779D853C">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委托岩屑处置单位处置。</w:t>
                  </w:r>
                </w:p>
              </w:tc>
            </w:tr>
            <w:tr w14:paraId="10BE43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04" w:type="pct"/>
                  <w:vMerge w:val="continue"/>
                  <w:vAlign w:val="center"/>
                </w:tcPr>
                <w:p w14:paraId="281DB36B">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901" w:type="pct"/>
                  <w:gridSpan w:val="2"/>
                  <w:vAlign w:val="center"/>
                </w:tcPr>
                <w:p w14:paraId="1678E12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危险废物</w:t>
                  </w:r>
                </w:p>
              </w:tc>
              <w:tc>
                <w:tcPr>
                  <w:tcW w:w="3795" w:type="pct"/>
                  <w:vAlign w:val="center"/>
                </w:tcPr>
                <w:p w14:paraId="36630B88">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钻试过程中产生的沾油废防渗材料、废润滑油及废润滑油桶均属于危险废物，最终交由有相应危废处置资质的单位负责接收、转运以及处置。</w:t>
                  </w:r>
                </w:p>
              </w:tc>
            </w:tr>
            <w:tr w14:paraId="49182F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04" w:type="pct"/>
                  <w:vAlign w:val="center"/>
                </w:tcPr>
                <w:p w14:paraId="6E26450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储运工程</w:t>
                  </w:r>
                </w:p>
              </w:tc>
              <w:tc>
                <w:tcPr>
                  <w:tcW w:w="4696" w:type="pct"/>
                  <w:gridSpan w:val="3"/>
                  <w:vAlign w:val="center"/>
                </w:tcPr>
                <w:p w14:paraId="4D336E38">
                  <w:pPr>
                    <w:keepNext/>
                    <w:adjustRightInd w:val="0"/>
                    <w:snapToGrid w:val="0"/>
                    <w:spacing w:line="300" w:lineRule="exact"/>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试油废水、采出液、钻井液、钻井岩屑、柴油等均为罐装，储罐区底部铺设有防渗膜；其他施工材料在井场专门区域（材料房、材料爬犁、化工爬犁）堆放。</w:t>
                  </w:r>
                  <w:bookmarkStart w:id="29" w:name="_Hlk143203469"/>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试油井场设置1座20m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的试油废水储罐及4座20m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采出液方罐</w:t>
                  </w:r>
                  <w:bookmarkEnd w:id="29"/>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；钻井井场设柴油储罐区（1座</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0m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柴油储罐）、</w:t>
                  </w:r>
                  <w:bookmarkStart w:id="30" w:name="_Hlk213891708"/>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1座6</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0</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的储水罐</w:t>
                  </w:r>
                  <w:bookmarkEnd w:id="30"/>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，设钻井液储罐区（12座5</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0</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的钻井液储罐，容积不小于600m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），4座2</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5</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的水基钻井岩屑储罐。</w:t>
                  </w:r>
                </w:p>
              </w:tc>
            </w:tr>
            <w:bookmarkEnd w:id="24"/>
          </w:tbl>
          <w:p w14:paraId="3FD90948">
            <w:pPr>
              <w:pStyle w:val="8"/>
              <w:rPr>
                <w:rFonts w:hint="eastAsia" w:ascii="宋体" w:hAnsi="宋体" w:cs="宋体"/>
                <w:color w:val="0D0D0D" w:themeColor="text1" w:themeTint="F2"/>
                <w14:textFill>
                  <w14:solidFill>
                    <w14:schemeClr w14:val="tx1">
                      <w14:lumMod w14:val="95000"/>
                      <w14:lumOff w14:val="5000"/>
                    </w14:schemeClr>
                  </w14:solidFill>
                </w14:textFill>
              </w:rPr>
            </w:pPr>
          </w:p>
        </w:tc>
      </w:tr>
      <w:bookmarkEnd w:id="21"/>
      <w:tr w14:paraId="63CB9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097B4B24">
            <w:pPr>
              <w:snapToGrid w:val="0"/>
              <w:spacing w:line="5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总平面及现场布置</w:t>
            </w:r>
          </w:p>
        </w:tc>
        <w:tc>
          <w:tcPr>
            <w:tcW w:w="7824" w:type="dxa"/>
          </w:tcPr>
          <w:p w14:paraId="59FE4BB7">
            <w:pPr>
              <w:snapToGrid w:val="0"/>
              <w:spacing w:line="49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r>
              <w:rPr>
                <w:rFonts w:hint="eastAsia" w:ascii="宋体" w:hAnsi="宋体" w:cs="宋体"/>
                <w:b/>
                <w:bCs/>
                <w:color w:val="0D0D0D" w:themeColor="text1" w:themeTint="F2"/>
                <w14:textFill>
                  <w14:solidFill>
                    <w14:schemeClr w14:val="tx1">
                      <w14:lumMod w14:val="95000"/>
                      <w14:lumOff w14:val="5000"/>
                    </w14:schemeClr>
                  </w14:solidFill>
                </w14:textFill>
              </w:rPr>
              <w:t>1、工程布局情况</w:t>
            </w:r>
          </w:p>
          <w:p w14:paraId="0BAB88B2">
            <w:pPr>
              <w:pStyle w:val="38"/>
              <w:ind w:firstLine="480"/>
              <w:rPr>
                <w:rFonts w:hint="eastAsia"/>
              </w:rPr>
            </w:pPr>
            <w:r>
              <w:rPr>
                <w:rFonts w:hint="eastAsia" w:cs="宋体"/>
              </w:rPr>
              <w:t>曙探1井施工期设钻井井场、试油井场和生活营地各1座。</w:t>
            </w:r>
            <w:r>
              <w:rPr>
                <w:rFonts w:hint="eastAsia"/>
              </w:rPr>
              <w:t>钻井井场以部署井井口为中心按照钻井期井场平面布置图布置，</w:t>
            </w:r>
            <w:r>
              <w:rPr>
                <w:rFonts w:hint="eastAsia" w:cs="宋体"/>
              </w:rPr>
              <w:t>钻井井场和试油井场场址相同、占地面积大小不同，</w:t>
            </w:r>
            <w:r>
              <w:rPr>
                <w:rFonts w:hint="eastAsia"/>
              </w:rPr>
              <w:t>钻井结束后将钻井井场改为试油井场，试油设备均在原钻井井场内布置，不新增占地。新建探临道路257m，将已建道路与钻井井场连接。利旧</w:t>
            </w:r>
            <w:r>
              <w:rPr>
                <w:rFonts w:hint="eastAsia" w:cs="宋体"/>
              </w:rPr>
              <w:t>曙探1井</w:t>
            </w:r>
            <w:r>
              <w:rPr>
                <w:rFonts w:hint="eastAsia"/>
              </w:rPr>
              <w:t>井场西北呼9井已建生活营地，便于施工人员施工及生活。</w:t>
            </w:r>
          </w:p>
          <w:p w14:paraId="4EA7C6A4">
            <w:pPr>
              <w:snapToGrid w:val="0"/>
              <w:spacing w:line="50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r>
              <w:rPr>
                <w:rFonts w:hint="eastAsia" w:ascii="宋体" w:hAnsi="宋体" w:cs="宋体"/>
                <w:b/>
                <w:bCs/>
                <w:color w:val="0D0D0D" w:themeColor="text1" w:themeTint="F2"/>
                <w14:textFill>
                  <w14:solidFill>
                    <w14:schemeClr w14:val="tx1">
                      <w14:lumMod w14:val="95000"/>
                      <w14:lumOff w14:val="5000"/>
                    </w14:schemeClr>
                  </w14:solidFill>
                </w14:textFill>
              </w:rPr>
              <w:t>2、施工现场布置情况</w:t>
            </w:r>
          </w:p>
          <w:p w14:paraId="157C6157">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（1）钻井期井场平面布置</w:t>
            </w:r>
          </w:p>
          <w:p w14:paraId="5FAEFF53">
            <w:pPr>
              <w:pStyle w:val="38"/>
              <w:ind w:firstLine="480"/>
              <w:rPr>
                <w:rFonts w:hint="eastAsia"/>
              </w:rPr>
            </w:pPr>
            <w:r>
              <w:rPr>
                <w:rFonts w:hint="eastAsia"/>
              </w:rPr>
              <w:t>钻井期井场内布置有值班房、材料房、钳工房、录井房、配电房、发电房、罐区、钻井液不落地设备等，平面布置见附图4。</w:t>
            </w:r>
          </w:p>
          <w:p w14:paraId="5786003F">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（2）试油期井场平面布置</w:t>
            </w:r>
          </w:p>
          <w:p w14:paraId="204074BF">
            <w:pPr>
              <w:pStyle w:val="38"/>
              <w:ind w:firstLine="480"/>
              <w:rPr>
                <w:rFonts w:hint="eastAsia"/>
              </w:rPr>
            </w:pPr>
            <w:r>
              <w:rPr>
                <w:rFonts w:hint="eastAsia"/>
              </w:rPr>
              <w:t>试油期井场内布置有井口方罐、发电房、值班房、井口放喷管线、应急放喷池、消防沙箱等设施，并在井场设置紧急集合点，平面布置见附图5。</w:t>
            </w:r>
          </w:p>
        </w:tc>
      </w:tr>
      <w:tr w14:paraId="32FD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14D191F4">
            <w:pPr>
              <w:snapToGrid w:val="0"/>
              <w:spacing w:line="5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施工方案</w:t>
            </w:r>
          </w:p>
        </w:tc>
        <w:tc>
          <w:tcPr>
            <w:tcW w:w="7824" w:type="dxa"/>
          </w:tcPr>
          <w:p w14:paraId="46D8F6A9">
            <w:pPr>
              <w:snapToGrid w:val="0"/>
              <w:spacing w:line="50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r>
              <w:rPr>
                <w:rFonts w:hint="eastAsia" w:ascii="宋体" w:hAnsi="宋体" w:cs="宋体"/>
                <w:b/>
                <w:bCs/>
                <w:color w:val="0D0D0D" w:themeColor="text1" w:themeTint="F2"/>
                <w14:textFill>
                  <w14:solidFill>
                    <w14:schemeClr w14:val="tx1">
                      <w14:lumMod w14:val="95000"/>
                      <w14:lumOff w14:val="5000"/>
                    </w14:schemeClr>
                  </w14:solidFill>
                </w14:textFill>
              </w:rPr>
              <w:t>1、施工时序及工艺</w:t>
            </w:r>
          </w:p>
          <w:p w14:paraId="0C7B9401">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施工时序依次为钻前工程、钻井工程、试油工程和完井四个阶段。</w:t>
            </w:r>
          </w:p>
          <w:p w14:paraId="7BE99F56">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（1）钻前工程</w:t>
            </w:r>
          </w:p>
          <w:p w14:paraId="4C929031">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包括井场平整、铺垫、钻机基础建设、探临道路和生活营地建设，以及设备进场。探临道路搭接至现有公路，建设过程不对现有公路进行开挖。</w:t>
            </w:r>
          </w:p>
          <w:p w14:paraId="2DB27BA6">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（2）钻井工程</w:t>
            </w:r>
          </w:p>
          <w:p w14:paraId="333E4C99">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①钻井流程</w:t>
            </w:r>
          </w:p>
          <w:p w14:paraId="780D5362">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钻前准备工作完成后即可开展钻井工作。钻井是破岩和加深井眼的过程，首先埋设导管后钻达下表层套管深度后，再下入表层套管并固井试压；然后继续钻进，待安全钻达目标深度后下油层套管；施工中根据钻井设计要求，进行测井、录井、固井等其他作业。</w:t>
            </w:r>
          </w:p>
          <w:p w14:paraId="3244D395">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ascii="宋体" w:hAnsi="宋体" w:cs="宋体"/>
                <w:color w:val="0D0D0D" w:themeColor="text1" w:themeTint="F2"/>
                <w14:textFill>
                  <w14:solidFill>
                    <w14:schemeClr w14:val="tx1">
                      <w14:lumMod w14:val="95000"/>
                      <w14:lumOff w14:val="5000"/>
                    </w14:schemeClr>
                  </w14:solidFill>
                </w14:textFill>
              </w:rPr>
              <w:t>②</w:t>
            </w:r>
            <w:r>
              <w:rPr>
                <w:rFonts w:hint="eastAsia" w:ascii="宋体" w:hAnsi="宋体" w:cs="宋体"/>
                <w:color w:val="0D0D0D" w:themeColor="text1" w:themeTint="F2"/>
                <w14:textFill>
                  <w14:solidFill>
                    <w14:schemeClr w14:val="tx1">
                      <w14:lumMod w14:val="95000"/>
                      <w14:lumOff w14:val="5000"/>
                    </w14:schemeClr>
                  </w14:solidFill>
                </w14:textFill>
              </w:rPr>
              <w:t>井身结构</w:t>
            </w:r>
          </w:p>
          <w:p w14:paraId="1575D412">
            <w:pPr>
              <w:pStyle w:val="38"/>
              <w:ind w:firstLine="480"/>
              <w:rPr>
                <w:rFonts w:hint="eastAsia" w:cs="宋体"/>
                <w:color w:val="0D0D0D" w:themeColor="text1" w:themeTint="F2"/>
                <w14:textFill>
                  <w14:solidFill>
                    <w14:schemeClr w14:val="tx1">
                      <w14:lumMod w14:val="95000"/>
                      <w14:lumOff w14:val="5000"/>
                    </w14:schemeClr>
                  </w14:solidFill>
                </w14:textFill>
              </w:rPr>
            </w:pPr>
            <w:r>
              <w:rPr>
                <w:rStyle w:val="60"/>
                <w:rFonts w:hint="eastAsia"/>
                <w:color w:val="0D0D0D" w:themeColor="text1" w:themeTint="F2"/>
                <w14:textFill>
                  <w14:solidFill>
                    <w14:schemeClr w14:val="tx1">
                      <w14:lumMod w14:val="95000"/>
                      <w14:lumOff w14:val="5000"/>
                    </w14:schemeClr>
                  </w14:solidFill>
                </w14:textFill>
              </w:rPr>
              <w:t>曙探1井钻井进尺为8050m，采用五开直井井身结构，设计参数见</w:t>
            </w:r>
            <w:r>
              <w:rPr>
                <w:rStyle w:val="60"/>
                <w:rFonts w:hint="eastAsia"/>
                <w:color w:val="0D0D0D" w:themeColor="text1" w:themeTint="F2"/>
                <w14:textFill>
                  <w14:solidFill>
                    <w14:schemeClr w14:val="tx1">
                      <w14:lumMod w14:val="95000"/>
                      <w14:lumOff w14:val="5000"/>
                    </w14:schemeClr>
                  </w14:solidFill>
                </w14:textFill>
              </w:rPr>
              <w:fldChar w:fldCharType="begin"/>
            </w:r>
            <w:r>
              <w:rPr>
                <w:rStyle w:val="60"/>
                <w:rFonts w:hint="eastAsia"/>
                <w:color w:val="0D0D0D" w:themeColor="text1" w:themeTint="F2"/>
                <w14:textFill>
                  <w14:solidFill>
                    <w14:schemeClr w14:val="tx1">
                      <w14:lumMod w14:val="95000"/>
                      <w14:lumOff w14:val="5000"/>
                    </w14:schemeClr>
                  </w14:solidFill>
                </w14:textFill>
              </w:rPr>
              <w:instrText xml:space="preserve"> REF _Ref206149016 \h  \* MERGEFORMAT </w:instrText>
            </w:r>
            <w:r>
              <w:rPr>
                <w:rStyle w:val="60"/>
                <w:rFonts w:hint="eastAsia"/>
                <w:color w:val="0D0D0D" w:themeColor="text1" w:themeTint="F2"/>
                <w14:textFill>
                  <w14:solidFill>
                    <w14:schemeClr w14:val="tx1">
                      <w14:lumMod w14:val="95000"/>
                      <w14:lumOff w14:val="5000"/>
                    </w14:schemeClr>
                  </w14:solidFill>
                </w14:textFill>
              </w:rPr>
              <w:fldChar w:fldCharType="separate"/>
            </w:r>
            <w:r>
              <w:rPr>
                <w:rStyle w:val="60"/>
              </w:rPr>
              <w:t>表8</w:t>
            </w:r>
            <w:r>
              <w:rPr>
                <w:rStyle w:val="60"/>
                <w:rFonts w:hint="eastAsia"/>
                <w:color w:val="0D0D0D" w:themeColor="text1" w:themeTint="F2"/>
                <w14:textFill>
                  <w14:solidFill>
                    <w14:schemeClr w14:val="tx1">
                      <w14:lumMod w14:val="95000"/>
                      <w14:lumOff w14:val="5000"/>
                    </w14:schemeClr>
                  </w14:solidFill>
                </w14:textFill>
              </w:rPr>
              <w:fldChar w:fldCharType="end"/>
            </w:r>
            <w:r>
              <w:rPr>
                <w:rFonts w:hint="eastAsia" w:cs="宋体"/>
                <w:color w:val="0D0D0D" w:themeColor="text1" w:themeTint="F2"/>
                <w14:textFill>
                  <w14:solidFill>
                    <w14:schemeClr w14:val="tx1">
                      <w14:lumMod w14:val="95000"/>
                      <w14:lumOff w14:val="5000"/>
                    </w14:schemeClr>
                  </w14:solidFill>
                </w14:textFill>
              </w:rPr>
              <w:t>，井身结构见附图6。</w:t>
            </w:r>
          </w:p>
          <w:p w14:paraId="2289E9E6">
            <w:pPr>
              <w:pStyle w:val="8"/>
              <w:rPr>
                <w:rFonts w:hint="eastAsia"/>
                <w:color w:val="0D0D0D" w:themeColor="text1" w:themeTint="F2"/>
                <w14:textFill>
                  <w14:solidFill>
                    <w14:schemeClr w14:val="tx1">
                      <w14:lumMod w14:val="95000"/>
                      <w14:lumOff w14:val="5000"/>
                    </w14:schemeClr>
                  </w14:solidFill>
                </w14:textFill>
              </w:rPr>
            </w:pPr>
            <w:bookmarkStart w:id="31" w:name="_Ref206149016"/>
            <w:bookmarkStart w:id="32" w:name="OLE_LINK4"/>
            <w:r>
              <w:rPr>
                <w:rFonts w:hint="eastAsia"/>
                <w:color w:val="0D0D0D" w:themeColor="text1" w:themeTint="F2"/>
                <w14:textFill>
                  <w14:solidFill>
                    <w14:schemeClr w14:val="tx1">
                      <w14:lumMod w14:val="95000"/>
                      <w14:lumOff w14:val="5000"/>
                    </w14:schemeClr>
                  </w14:solidFill>
                </w14:textFill>
              </w:rPr>
              <w:t>表</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SEQ 表 \* ARABIC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8</w:t>
            </w:r>
            <w:r>
              <w:rPr>
                <w:rFonts w:hint="eastAsia"/>
                <w:color w:val="0D0D0D" w:themeColor="text1" w:themeTint="F2"/>
                <w14:textFill>
                  <w14:solidFill>
                    <w14:schemeClr w14:val="tx1">
                      <w14:lumMod w14:val="95000"/>
                      <w14:lumOff w14:val="5000"/>
                    </w14:schemeClr>
                  </w14:solidFill>
                </w14:textFill>
              </w:rPr>
              <w:fldChar w:fldCharType="end"/>
            </w:r>
            <w:bookmarkEnd w:id="31"/>
            <w:r>
              <w:rPr>
                <w:rFonts w:hint="eastAsia" w:cs="黑体"/>
                <w:color w:val="0D0D0D" w:themeColor="text1" w:themeTint="F2"/>
                <w14:textFill>
                  <w14:solidFill>
                    <w14:schemeClr w14:val="tx1">
                      <w14:lumMod w14:val="95000"/>
                      <w14:lumOff w14:val="5000"/>
                    </w14:schemeClr>
                  </w14:solidFill>
                </w14:textFill>
              </w:rPr>
              <w:t xml:space="preserve"> </w:t>
            </w:r>
            <w:bookmarkEnd w:id="32"/>
            <w:r>
              <w:rPr>
                <w:rFonts w:hint="eastAsia" w:cs="黑体"/>
                <w:color w:val="0D0D0D" w:themeColor="text1" w:themeTint="F2"/>
                <w14:textFill>
                  <w14:solidFill>
                    <w14:schemeClr w14:val="tx1">
                      <w14:lumMod w14:val="95000"/>
                      <w14:lumOff w14:val="5000"/>
                    </w14:schemeClr>
                  </w14:solidFill>
                </w14:textFill>
              </w:rPr>
              <w:t xml:space="preserve">   井身结构设计参数一览表</w:t>
            </w:r>
          </w:p>
          <w:tbl>
            <w:tblPr>
              <w:tblStyle w:val="2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59"/>
              <w:gridCol w:w="510"/>
              <w:gridCol w:w="652"/>
              <w:gridCol w:w="793"/>
              <w:gridCol w:w="1130"/>
              <w:gridCol w:w="1158"/>
              <w:gridCol w:w="1219"/>
              <w:gridCol w:w="1475"/>
            </w:tblGrid>
            <w:tr w14:paraId="23239D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64" w:hRule="atLeast"/>
                <w:jc w:val="center"/>
              </w:trPr>
              <w:tc>
                <w:tcPr>
                  <w:tcW w:w="310" w:type="pct"/>
                  <w:vAlign w:val="center"/>
                </w:tcPr>
                <w:p w14:paraId="3F4EE4E8">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bookmarkStart w:id="33" w:name="_Hlk167964015"/>
                  <w:r>
                    <w:rPr>
                      <w:rFonts w:hint="eastAsia" w:ascii="宋体" w:hAnsi="宋体" w:cs="Arial"/>
                      <w:color w:val="0D0D0D" w:themeColor="text1" w:themeTint="F2"/>
                      <w:sz w:val="21"/>
                      <w:szCs w:val="21"/>
                      <w14:textFill>
                        <w14:solidFill>
                          <w14:schemeClr w14:val="tx1">
                            <w14:lumMod w14:val="95000"/>
                            <w14:lumOff w14:val="5000"/>
                          </w14:schemeClr>
                        </w14:solidFill>
                      </w14:textFill>
                    </w:rPr>
                    <w:t>井号</w:t>
                  </w:r>
                </w:p>
              </w:tc>
              <w:tc>
                <w:tcPr>
                  <w:tcW w:w="345" w:type="pct"/>
                  <w:vAlign w:val="center"/>
                </w:tcPr>
                <w:p w14:paraId="258817C2">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井型</w:t>
                  </w:r>
                </w:p>
              </w:tc>
              <w:tc>
                <w:tcPr>
                  <w:tcW w:w="441" w:type="pct"/>
                  <w:tcMar>
                    <w:top w:w="57" w:type="dxa"/>
                  </w:tcMar>
                  <w:vAlign w:val="center"/>
                </w:tcPr>
                <w:p w14:paraId="50B06203">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开钻</w:t>
                  </w:r>
                </w:p>
                <w:p w14:paraId="19ACDCBE">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次序</w:t>
                  </w:r>
                </w:p>
              </w:tc>
              <w:tc>
                <w:tcPr>
                  <w:tcW w:w="536" w:type="pct"/>
                  <w:tcMar>
                    <w:top w:w="57" w:type="dxa"/>
                  </w:tcMar>
                  <w:vAlign w:val="center"/>
                </w:tcPr>
                <w:p w14:paraId="179D1BB9">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井深</w:t>
                  </w:r>
                </w:p>
                <w:p w14:paraId="013D529D">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（m）</w:t>
                  </w:r>
                </w:p>
              </w:tc>
              <w:tc>
                <w:tcPr>
                  <w:tcW w:w="764" w:type="pct"/>
                  <w:tcMar>
                    <w:top w:w="57" w:type="dxa"/>
                  </w:tcMar>
                  <w:vAlign w:val="center"/>
                </w:tcPr>
                <w:p w14:paraId="46B42ED2">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钻头尺寸</w:t>
                  </w:r>
                  <w:r>
                    <w:rPr>
                      <w:rFonts w:hint="eastAsia" w:ascii="宋体" w:hAnsi="宋体" w:cs="Arial"/>
                      <w:color w:val="0D0D0D" w:themeColor="text1" w:themeTint="F2"/>
                      <w:sz w:val="21"/>
                      <w:szCs w:val="21"/>
                      <w14:textFill>
                        <w14:solidFill>
                          <w14:schemeClr w14:val="tx1">
                            <w14:lumMod w14:val="95000"/>
                            <w14:lumOff w14:val="5000"/>
                          </w14:schemeClr>
                        </w14:solidFill>
                      </w14:textFill>
                    </w:rPr>
                    <w:t>（m</w:t>
                  </w:r>
                  <w:r>
                    <w:rPr>
                      <w:rFonts w:ascii="宋体" w:hAnsi="宋体" w:cs="Arial"/>
                      <w:color w:val="0D0D0D" w:themeColor="text1" w:themeTint="F2"/>
                      <w:sz w:val="21"/>
                      <w:szCs w:val="21"/>
                      <w14:textFill>
                        <w14:solidFill>
                          <w14:schemeClr w14:val="tx1">
                            <w14:lumMod w14:val="95000"/>
                            <w14:lumOff w14:val="5000"/>
                          </w14:schemeClr>
                        </w14:solidFill>
                      </w14:textFill>
                    </w:rPr>
                    <w:t>m</w:t>
                  </w:r>
                  <w:r>
                    <w:rPr>
                      <w:rFonts w:hint="eastAsia" w:ascii="宋体" w:hAnsi="宋体" w:cs="Arial"/>
                      <w:color w:val="0D0D0D" w:themeColor="text1" w:themeTint="F2"/>
                      <w:sz w:val="21"/>
                      <w:szCs w:val="21"/>
                      <w14:textFill>
                        <w14:solidFill>
                          <w14:schemeClr w14:val="tx1">
                            <w14:lumMod w14:val="95000"/>
                            <w14:lumOff w14:val="5000"/>
                          </w14:schemeClr>
                        </w14:solidFill>
                      </w14:textFill>
                    </w:rPr>
                    <w:t>）</w:t>
                  </w:r>
                </w:p>
              </w:tc>
              <w:tc>
                <w:tcPr>
                  <w:tcW w:w="783" w:type="pct"/>
                  <w:tcMar>
                    <w:top w:w="57" w:type="dxa"/>
                  </w:tcMar>
                  <w:vAlign w:val="center"/>
                </w:tcPr>
                <w:p w14:paraId="09750792">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套管尺寸</w:t>
                  </w:r>
                  <w:r>
                    <w:rPr>
                      <w:rFonts w:hint="eastAsia" w:ascii="宋体" w:hAnsi="宋体" w:cs="Arial"/>
                      <w:color w:val="0D0D0D" w:themeColor="text1" w:themeTint="F2"/>
                      <w:sz w:val="21"/>
                      <w:szCs w:val="21"/>
                      <w14:textFill>
                        <w14:solidFill>
                          <w14:schemeClr w14:val="tx1">
                            <w14:lumMod w14:val="95000"/>
                            <w14:lumOff w14:val="5000"/>
                          </w14:schemeClr>
                        </w14:solidFill>
                      </w14:textFill>
                    </w:rPr>
                    <w:t>（m</w:t>
                  </w:r>
                  <w:r>
                    <w:rPr>
                      <w:rFonts w:ascii="宋体" w:hAnsi="宋体" w:cs="Arial"/>
                      <w:color w:val="0D0D0D" w:themeColor="text1" w:themeTint="F2"/>
                      <w:sz w:val="21"/>
                      <w:szCs w:val="21"/>
                      <w14:textFill>
                        <w14:solidFill>
                          <w14:schemeClr w14:val="tx1">
                            <w14:lumMod w14:val="95000"/>
                            <w14:lumOff w14:val="5000"/>
                          </w14:schemeClr>
                        </w14:solidFill>
                      </w14:textFill>
                    </w:rPr>
                    <w:t>m</w:t>
                  </w:r>
                  <w:r>
                    <w:rPr>
                      <w:rFonts w:hint="eastAsia" w:ascii="宋体" w:hAnsi="宋体" w:cs="Arial"/>
                      <w:color w:val="0D0D0D" w:themeColor="text1" w:themeTint="F2"/>
                      <w:sz w:val="21"/>
                      <w:szCs w:val="21"/>
                      <w14:textFill>
                        <w14:solidFill>
                          <w14:schemeClr w14:val="tx1">
                            <w14:lumMod w14:val="95000"/>
                            <w14:lumOff w14:val="5000"/>
                          </w14:schemeClr>
                        </w14:solidFill>
                      </w14:textFill>
                    </w:rPr>
                    <w:t>）</w:t>
                  </w:r>
                </w:p>
              </w:tc>
              <w:tc>
                <w:tcPr>
                  <w:tcW w:w="824" w:type="pct"/>
                  <w:tcMar>
                    <w:top w:w="57" w:type="dxa"/>
                  </w:tcMar>
                  <w:vAlign w:val="center"/>
                </w:tcPr>
                <w:p w14:paraId="69B01C97">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套管下入深度</w:t>
                  </w:r>
                  <w:r>
                    <w:rPr>
                      <w:rFonts w:hint="eastAsia" w:ascii="宋体" w:hAnsi="宋体" w:cs="Arial"/>
                      <w:color w:val="0D0D0D" w:themeColor="text1" w:themeTint="F2"/>
                      <w:sz w:val="21"/>
                      <w:szCs w:val="21"/>
                      <w14:textFill>
                        <w14:solidFill>
                          <w14:schemeClr w14:val="tx1">
                            <w14:lumMod w14:val="95000"/>
                            <w14:lumOff w14:val="5000"/>
                          </w14:schemeClr>
                        </w14:solidFill>
                      </w14:textFill>
                    </w:rPr>
                    <w:t>（m）</w:t>
                  </w:r>
                </w:p>
              </w:tc>
              <w:tc>
                <w:tcPr>
                  <w:tcW w:w="997" w:type="pct"/>
                  <w:vAlign w:val="center"/>
                </w:tcPr>
                <w:p w14:paraId="2445C1AC">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环空水泥浆返至井深（m）</w:t>
                  </w:r>
                </w:p>
              </w:tc>
            </w:tr>
            <w:tr w14:paraId="03F095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64" w:hRule="atLeast"/>
                <w:jc w:val="center"/>
              </w:trPr>
              <w:tc>
                <w:tcPr>
                  <w:tcW w:w="310" w:type="pct"/>
                  <w:vMerge w:val="restart"/>
                  <w:vAlign w:val="center"/>
                </w:tcPr>
                <w:p w14:paraId="2868C146">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曙探1井</w:t>
                  </w:r>
                </w:p>
              </w:tc>
              <w:tc>
                <w:tcPr>
                  <w:tcW w:w="345" w:type="pct"/>
                  <w:vMerge w:val="restart"/>
                  <w:vAlign w:val="center"/>
                </w:tcPr>
                <w:p w14:paraId="49CF5B84">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五开直井</w:t>
                  </w:r>
                </w:p>
              </w:tc>
              <w:tc>
                <w:tcPr>
                  <w:tcW w:w="441" w:type="pct"/>
                  <w:tcMar>
                    <w:top w:w="57" w:type="dxa"/>
                  </w:tcMar>
                  <w:vAlign w:val="center"/>
                </w:tcPr>
                <w:p w14:paraId="55CB5612">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一开</w:t>
                  </w:r>
                </w:p>
              </w:tc>
              <w:tc>
                <w:tcPr>
                  <w:tcW w:w="536" w:type="pct"/>
                  <w:tcMar>
                    <w:top w:w="57" w:type="dxa"/>
                  </w:tcMar>
                  <w:vAlign w:val="center"/>
                </w:tcPr>
                <w:p w14:paraId="74B1E0DB">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～1400</w:t>
                  </w:r>
                </w:p>
              </w:tc>
              <w:tc>
                <w:tcPr>
                  <w:tcW w:w="764" w:type="pct"/>
                  <w:tcMar>
                    <w:top w:w="57" w:type="dxa"/>
                  </w:tcMar>
                  <w:vAlign w:val="center"/>
                </w:tcPr>
                <w:p w14:paraId="670C161C">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660.4</w:t>
                  </w:r>
                </w:p>
              </w:tc>
              <w:tc>
                <w:tcPr>
                  <w:tcW w:w="783" w:type="pct"/>
                  <w:tcMar>
                    <w:top w:w="57" w:type="dxa"/>
                  </w:tcMar>
                  <w:vAlign w:val="center"/>
                </w:tcPr>
                <w:p w14:paraId="55B92762">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508</w:t>
                  </w:r>
                </w:p>
              </w:tc>
              <w:tc>
                <w:tcPr>
                  <w:tcW w:w="824" w:type="pct"/>
                  <w:tcMar>
                    <w:top w:w="57" w:type="dxa"/>
                  </w:tcMar>
                  <w:vAlign w:val="center"/>
                </w:tcPr>
                <w:p w14:paraId="3B28B411">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1400</w:t>
                  </w:r>
                </w:p>
              </w:tc>
              <w:tc>
                <w:tcPr>
                  <w:tcW w:w="997" w:type="pct"/>
                  <w:vAlign w:val="center"/>
                </w:tcPr>
                <w:p w14:paraId="2390C55F">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地面</w:t>
                  </w:r>
                </w:p>
              </w:tc>
            </w:tr>
            <w:tr w14:paraId="69B3D3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64" w:hRule="atLeast"/>
                <w:jc w:val="center"/>
              </w:trPr>
              <w:tc>
                <w:tcPr>
                  <w:tcW w:w="310" w:type="pct"/>
                  <w:vMerge w:val="continue"/>
                  <w:vAlign w:val="center"/>
                </w:tcPr>
                <w:p w14:paraId="3F9678CB">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p>
              </w:tc>
              <w:tc>
                <w:tcPr>
                  <w:tcW w:w="345" w:type="pct"/>
                  <w:vMerge w:val="continue"/>
                  <w:vAlign w:val="center"/>
                </w:tcPr>
                <w:p w14:paraId="3B903CF0">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p>
              </w:tc>
              <w:tc>
                <w:tcPr>
                  <w:tcW w:w="441" w:type="pct"/>
                  <w:tcMar>
                    <w:top w:w="57" w:type="dxa"/>
                  </w:tcMar>
                  <w:vAlign w:val="center"/>
                </w:tcPr>
                <w:p w14:paraId="0AA4E11C">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二开</w:t>
                  </w:r>
                </w:p>
              </w:tc>
              <w:tc>
                <w:tcPr>
                  <w:tcW w:w="536" w:type="pct"/>
                  <w:tcMar>
                    <w:top w:w="57" w:type="dxa"/>
                  </w:tcMar>
                  <w:vAlign w:val="center"/>
                </w:tcPr>
                <w:p w14:paraId="725CAF15">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～3900</w:t>
                  </w:r>
                </w:p>
              </w:tc>
              <w:tc>
                <w:tcPr>
                  <w:tcW w:w="764" w:type="pct"/>
                  <w:tcMar>
                    <w:top w:w="57" w:type="dxa"/>
                  </w:tcMar>
                  <w:vAlign w:val="center"/>
                </w:tcPr>
                <w:p w14:paraId="68B5B682">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444.5</w:t>
                  </w:r>
                </w:p>
              </w:tc>
              <w:tc>
                <w:tcPr>
                  <w:tcW w:w="783" w:type="pct"/>
                  <w:tcMar>
                    <w:top w:w="57" w:type="dxa"/>
                  </w:tcMar>
                  <w:vAlign w:val="center"/>
                </w:tcPr>
                <w:p w14:paraId="1E277910">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365.1</w:t>
                  </w:r>
                </w:p>
              </w:tc>
              <w:tc>
                <w:tcPr>
                  <w:tcW w:w="824" w:type="pct"/>
                  <w:tcMar>
                    <w:top w:w="57" w:type="dxa"/>
                  </w:tcMar>
                  <w:vAlign w:val="center"/>
                </w:tcPr>
                <w:p w14:paraId="6B5C1A80">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3900</w:t>
                  </w:r>
                </w:p>
              </w:tc>
              <w:tc>
                <w:tcPr>
                  <w:tcW w:w="997" w:type="pct"/>
                  <w:vAlign w:val="center"/>
                </w:tcPr>
                <w:p w14:paraId="47718979">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地面</w:t>
                  </w:r>
                </w:p>
              </w:tc>
            </w:tr>
            <w:tr w14:paraId="25E153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64" w:hRule="atLeast"/>
                <w:jc w:val="center"/>
              </w:trPr>
              <w:tc>
                <w:tcPr>
                  <w:tcW w:w="310" w:type="pct"/>
                  <w:vMerge w:val="continue"/>
                  <w:vAlign w:val="center"/>
                </w:tcPr>
                <w:p w14:paraId="0B20F2A3">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p>
              </w:tc>
              <w:tc>
                <w:tcPr>
                  <w:tcW w:w="345" w:type="pct"/>
                  <w:vMerge w:val="continue"/>
                  <w:vAlign w:val="center"/>
                </w:tcPr>
                <w:p w14:paraId="0A08FC9C">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p>
              </w:tc>
              <w:tc>
                <w:tcPr>
                  <w:tcW w:w="441" w:type="pct"/>
                  <w:tcMar>
                    <w:top w:w="57" w:type="dxa"/>
                  </w:tcMar>
                  <w:vAlign w:val="center"/>
                </w:tcPr>
                <w:p w14:paraId="15CF924A">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三</w:t>
                  </w:r>
                  <w:r>
                    <w:rPr>
                      <w:rFonts w:ascii="宋体" w:hAnsi="宋体" w:cs="Arial"/>
                      <w:color w:val="0D0D0D" w:themeColor="text1" w:themeTint="F2"/>
                      <w:sz w:val="21"/>
                      <w:szCs w:val="21"/>
                      <w14:textFill>
                        <w14:solidFill>
                          <w14:schemeClr w14:val="tx1">
                            <w14:lumMod w14:val="95000"/>
                            <w14:lumOff w14:val="5000"/>
                          </w14:schemeClr>
                        </w14:solidFill>
                      </w14:textFill>
                    </w:rPr>
                    <w:t>开</w:t>
                  </w:r>
                </w:p>
              </w:tc>
              <w:tc>
                <w:tcPr>
                  <w:tcW w:w="536" w:type="pct"/>
                  <w:tcMar>
                    <w:top w:w="57" w:type="dxa"/>
                  </w:tcMar>
                  <w:vAlign w:val="center"/>
                </w:tcPr>
                <w:p w14:paraId="572BDB67">
                  <w:pPr>
                    <w:spacing w:line="300" w:lineRule="exact"/>
                    <w:jc w:val="center"/>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～5700</w:t>
                  </w:r>
                </w:p>
              </w:tc>
              <w:tc>
                <w:tcPr>
                  <w:tcW w:w="764" w:type="pct"/>
                  <w:tcMar>
                    <w:top w:w="57" w:type="dxa"/>
                  </w:tcMar>
                  <w:vAlign w:val="center"/>
                </w:tcPr>
                <w:p w14:paraId="488CD2F0">
                  <w:pPr>
                    <w:spacing w:line="300" w:lineRule="exact"/>
                    <w:jc w:val="center"/>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333.4</w:t>
                  </w:r>
                </w:p>
              </w:tc>
              <w:tc>
                <w:tcPr>
                  <w:tcW w:w="783" w:type="pct"/>
                  <w:tcMar>
                    <w:top w:w="57" w:type="dxa"/>
                  </w:tcMar>
                  <w:vAlign w:val="center"/>
                </w:tcPr>
                <w:p w14:paraId="5D8516D4">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273.1</w:t>
                  </w:r>
                </w:p>
              </w:tc>
              <w:tc>
                <w:tcPr>
                  <w:tcW w:w="824" w:type="pct"/>
                  <w:tcMar>
                    <w:top w:w="57" w:type="dxa"/>
                  </w:tcMar>
                  <w:vAlign w:val="center"/>
                </w:tcPr>
                <w:p w14:paraId="55C9B475">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5700</w:t>
                  </w:r>
                </w:p>
              </w:tc>
              <w:tc>
                <w:tcPr>
                  <w:tcW w:w="997" w:type="pct"/>
                  <w:vAlign w:val="center"/>
                </w:tcPr>
                <w:p w14:paraId="361CC67E">
                  <w:pPr>
                    <w:spacing w:line="300" w:lineRule="exact"/>
                    <w:jc w:val="center"/>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地面</w:t>
                  </w:r>
                </w:p>
              </w:tc>
            </w:tr>
            <w:tr w14:paraId="2629B5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64" w:hRule="atLeast"/>
                <w:jc w:val="center"/>
              </w:trPr>
              <w:tc>
                <w:tcPr>
                  <w:tcW w:w="310" w:type="pct"/>
                  <w:vMerge w:val="continue"/>
                  <w:vAlign w:val="center"/>
                </w:tcPr>
                <w:p w14:paraId="22F0AA60">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p>
              </w:tc>
              <w:tc>
                <w:tcPr>
                  <w:tcW w:w="345" w:type="pct"/>
                  <w:vMerge w:val="continue"/>
                  <w:vAlign w:val="center"/>
                </w:tcPr>
                <w:p w14:paraId="05C4E086">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p>
              </w:tc>
              <w:tc>
                <w:tcPr>
                  <w:tcW w:w="441" w:type="pct"/>
                  <w:tcMar>
                    <w:top w:w="57" w:type="dxa"/>
                  </w:tcMar>
                  <w:vAlign w:val="center"/>
                </w:tcPr>
                <w:p w14:paraId="6CE61845">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四</w:t>
                  </w:r>
                  <w:r>
                    <w:rPr>
                      <w:rFonts w:ascii="宋体" w:hAnsi="宋体" w:cs="Arial"/>
                      <w:color w:val="0D0D0D" w:themeColor="text1" w:themeTint="F2"/>
                      <w:sz w:val="21"/>
                      <w:szCs w:val="21"/>
                      <w14:textFill>
                        <w14:solidFill>
                          <w14:schemeClr w14:val="tx1">
                            <w14:lumMod w14:val="95000"/>
                            <w14:lumOff w14:val="5000"/>
                          </w14:schemeClr>
                        </w14:solidFill>
                      </w14:textFill>
                    </w:rPr>
                    <w:t>开</w:t>
                  </w:r>
                </w:p>
              </w:tc>
              <w:tc>
                <w:tcPr>
                  <w:tcW w:w="536" w:type="pct"/>
                  <w:tcMar>
                    <w:top w:w="57" w:type="dxa"/>
                  </w:tcMar>
                  <w:vAlign w:val="center"/>
                </w:tcPr>
                <w:p w14:paraId="523DF39F">
                  <w:pPr>
                    <w:spacing w:line="300" w:lineRule="exact"/>
                    <w:jc w:val="center"/>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～7700</w:t>
                  </w:r>
                </w:p>
              </w:tc>
              <w:tc>
                <w:tcPr>
                  <w:tcW w:w="764" w:type="pct"/>
                  <w:tcMar>
                    <w:top w:w="57" w:type="dxa"/>
                  </w:tcMar>
                  <w:vAlign w:val="center"/>
                </w:tcPr>
                <w:p w14:paraId="2DB7EB9C">
                  <w:pPr>
                    <w:spacing w:line="300" w:lineRule="exact"/>
                    <w:jc w:val="center"/>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241.3</w:t>
                  </w:r>
                </w:p>
              </w:tc>
              <w:tc>
                <w:tcPr>
                  <w:tcW w:w="783" w:type="pct"/>
                  <w:tcMar>
                    <w:top w:w="57" w:type="dxa"/>
                  </w:tcMar>
                  <w:vAlign w:val="center"/>
                </w:tcPr>
                <w:p w14:paraId="03D69924">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206.1</w:t>
                  </w:r>
                </w:p>
              </w:tc>
              <w:tc>
                <w:tcPr>
                  <w:tcW w:w="824" w:type="pct"/>
                  <w:tcMar>
                    <w:top w:w="57" w:type="dxa"/>
                  </w:tcMar>
                  <w:vAlign w:val="center"/>
                </w:tcPr>
                <w:p w14:paraId="5ABDA8E8">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5500～7700</w:t>
                  </w:r>
                </w:p>
              </w:tc>
              <w:tc>
                <w:tcPr>
                  <w:tcW w:w="997" w:type="pct"/>
                  <w:vAlign w:val="center"/>
                </w:tcPr>
                <w:p w14:paraId="3905BA47">
                  <w:pPr>
                    <w:spacing w:line="300" w:lineRule="exact"/>
                    <w:jc w:val="center"/>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5500</w:t>
                  </w:r>
                </w:p>
              </w:tc>
            </w:tr>
            <w:tr w14:paraId="3D0A8D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64" w:hRule="atLeast"/>
                <w:jc w:val="center"/>
              </w:trPr>
              <w:tc>
                <w:tcPr>
                  <w:tcW w:w="310" w:type="pct"/>
                  <w:vMerge w:val="continue"/>
                  <w:vAlign w:val="center"/>
                </w:tcPr>
                <w:p w14:paraId="460B21BB">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p>
              </w:tc>
              <w:tc>
                <w:tcPr>
                  <w:tcW w:w="345" w:type="pct"/>
                  <w:vMerge w:val="continue"/>
                  <w:vAlign w:val="center"/>
                </w:tcPr>
                <w:p w14:paraId="3419E5FD">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p>
              </w:tc>
              <w:tc>
                <w:tcPr>
                  <w:tcW w:w="441" w:type="pct"/>
                  <w:vMerge w:val="restart"/>
                  <w:tcMar>
                    <w:top w:w="57" w:type="dxa"/>
                  </w:tcMar>
                  <w:vAlign w:val="center"/>
                </w:tcPr>
                <w:p w14:paraId="6098F9B1">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五</w:t>
                  </w:r>
                  <w:r>
                    <w:rPr>
                      <w:rFonts w:ascii="宋体" w:hAnsi="宋体" w:cs="Arial"/>
                      <w:color w:val="0D0D0D" w:themeColor="text1" w:themeTint="F2"/>
                      <w:sz w:val="21"/>
                      <w:szCs w:val="21"/>
                      <w14:textFill>
                        <w14:solidFill>
                          <w14:schemeClr w14:val="tx1">
                            <w14:lumMod w14:val="95000"/>
                            <w14:lumOff w14:val="5000"/>
                          </w14:schemeClr>
                        </w14:solidFill>
                      </w14:textFill>
                    </w:rPr>
                    <w:t>开</w:t>
                  </w:r>
                </w:p>
              </w:tc>
              <w:tc>
                <w:tcPr>
                  <w:tcW w:w="536" w:type="pct"/>
                  <w:vMerge w:val="restart"/>
                  <w:tcMar>
                    <w:top w:w="57" w:type="dxa"/>
                  </w:tcMar>
                  <w:vAlign w:val="center"/>
                </w:tcPr>
                <w:p w14:paraId="67AFF2E2">
                  <w:pPr>
                    <w:spacing w:line="300" w:lineRule="exact"/>
                    <w:jc w:val="center"/>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～8050</w:t>
                  </w:r>
                </w:p>
              </w:tc>
              <w:tc>
                <w:tcPr>
                  <w:tcW w:w="764" w:type="pct"/>
                  <w:vMerge w:val="restart"/>
                  <w:tcMar>
                    <w:top w:w="57" w:type="dxa"/>
                  </w:tcMar>
                  <w:vAlign w:val="center"/>
                </w:tcPr>
                <w:p w14:paraId="6405C468">
                  <w:pPr>
                    <w:spacing w:line="300" w:lineRule="exact"/>
                    <w:jc w:val="center"/>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171.5</w:t>
                  </w:r>
                </w:p>
              </w:tc>
              <w:tc>
                <w:tcPr>
                  <w:tcW w:w="783" w:type="pct"/>
                  <w:tcMar>
                    <w:top w:w="57" w:type="dxa"/>
                  </w:tcMar>
                  <w:vAlign w:val="center"/>
                </w:tcPr>
                <w:p w14:paraId="4C4CB0BB">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139.7</w:t>
                  </w:r>
                </w:p>
              </w:tc>
              <w:tc>
                <w:tcPr>
                  <w:tcW w:w="824" w:type="pct"/>
                  <w:tcMar>
                    <w:top w:w="57" w:type="dxa"/>
                  </w:tcMar>
                  <w:vAlign w:val="center"/>
                </w:tcPr>
                <w:p w14:paraId="3524E5CD">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5450</w:t>
                  </w:r>
                  <w:r>
                    <w:rPr>
                      <w:rFonts w:hint="eastAsia" w:ascii="宋体" w:hAnsi="宋体"/>
                      <w:color w:val="0D0D0D" w:themeColor="text1" w:themeTint="F2"/>
                      <w:sz w:val="21"/>
                      <w:szCs w:val="21"/>
                      <w14:textFill>
                        <w14:solidFill>
                          <w14:schemeClr w14:val="tx1">
                            <w14:lumMod w14:val="95000"/>
                            <w14:lumOff w14:val="5000"/>
                          </w14:schemeClr>
                        </w14:solidFill>
                      </w14:textFill>
                    </w:rPr>
                    <w:t>～</w:t>
                  </w:r>
                  <w:r>
                    <w:rPr>
                      <w:rFonts w:hint="eastAsia" w:ascii="宋体" w:hAnsi="宋体" w:cs="Arial"/>
                      <w:color w:val="0D0D0D" w:themeColor="text1" w:themeTint="F2"/>
                      <w:sz w:val="21"/>
                      <w:szCs w:val="21"/>
                      <w14:textFill>
                        <w14:solidFill>
                          <w14:schemeClr w14:val="tx1">
                            <w14:lumMod w14:val="95000"/>
                            <w14:lumOff w14:val="5000"/>
                          </w14:schemeClr>
                        </w14:solidFill>
                      </w14:textFill>
                    </w:rPr>
                    <w:t>8050</w:t>
                  </w:r>
                </w:p>
              </w:tc>
              <w:tc>
                <w:tcPr>
                  <w:tcW w:w="997" w:type="pct"/>
                  <w:vAlign w:val="center"/>
                </w:tcPr>
                <w:p w14:paraId="6390CA94">
                  <w:pPr>
                    <w:spacing w:line="300" w:lineRule="exact"/>
                    <w:jc w:val="center"/>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5450</w:t>
                  </w:r>
                </w:p>
              </w:tc>
            </w:tr>
            <w:tr w14:paraId="4C6B7B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310" w:type="pct"/>
                  <w:vMerge w:val="continue"/>
                  <w:vAlign w:val="center"/>
                </w:tcPr>
                <w:p w14:paraId="7836CB75">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p>
              </w:tc>
              <w:tc>
                <w:tcPr>
                  <w:tcW w:w="345" w:type="pct"/>
                  <w:vMerge w:val="continue"/>
                  <w:vAlign w:val="center"/>
                </w:tcPr>
                <w:p w14:paraId="69283AD1">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p>
              </w:tc>
              <w:tc>
                <w:tcPr>
                  <w:tcW w:w="441" w:type="pct"/>
                  <w:vMerge w:val="continue"/>
                  <w:tcMar>
                    <w:top w:w="57" w:type="dxa"/>
                  </w:tcMar>
                  <w:vAlign w:val="center"/>
                </w:tcPr>
                <w:p w14:paraId="476552BF">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p>
              </w:tc>
              <w:tc>
                <w:tcPr>
                  <w:tcW w:w="536" w:type="pct"/>
                  <w:vMerge w:val="continue"/>
                  <w:tcMar>
                    <w:top w:w="57" w:type="dxa"/>
                  </w:tcMar>
                  <w:vAlign w:val="center"/>
                </w:tcPr>
                <w:p w14:paraId="152435AB">
                  <w:pPr>
                    <w:spacing w:line="300" w:lineRule="exact"/>
                    <w:jc w:val="center"/>
                    <w:rPr>
                      <w:rFonts w:hint="eastAsia" w:ascii="宋体" w:hAnsi="宋体"/>
                      <w:color w:val="0D0D0D" w:themeColor="text1" w:themeTint="F2"/>
                      <w:sz w:val="21"/>
                      <w:szCs w:val="21"/>
                      <w14:textFill>
                        <w14:solidFill>
                          <w14:schemeClr w14:val="tx1">
                            <w14:lumMod w14:val="95000"/>
                            <w14:lumOff w14:val="5000"/>
                          </w14:schemeClr>
                        </w14:solidFill>
                      </w14:textFill>
                    </w:rPr>
                  </w:pPr>
                </w:p>
              </w:tc>
              <w:tc>
                <w:tcPr>
                  <w:tcW w:w="764" w:type="pct"/>
                  <w:vMerge w:val="continue"/>
                  <w:tcMar>
                    <w:top w:w="57" w:type="dxa"/>
                  </w:tcMar>
                  <w:vAlign w:val="center"/>
                </w:tcPr>
                <w:p w14:paraId="292B9127">
                  <w:pPr>
                    <w:spacing w:line="300" w:lineRule="exact"/>
                    <w:jc w:val="center"/>
                    <w:rPr>
                      <w:rFonts w:hint="eastAsia" w:ascii="宋体" w:hAnsi="宋体"/>
                      <w:color w:val="0D0D0D" w:themeColor="text1" w:themeTint="F2"/>
                      <w:sz w:val="21"/>
                      <w:szCs w:val="21"/>
                      <w14:textFill>
                        <w14:solidFill>
                          <w14:schemeClr w14:val="tx1">
                            <w14:lumMod w14:val="95000"/>
                            <w14:lumOff w14:val="5000"/>
                          </w14:schemeClr>
                        </w14:solidFill>
                      </w14:textFill>
                    </w:rPr>
                  </w:pPr>
                </w:p>
              </w:tc>
              <w:tc>
                <w:tcPr>
                  <w:tcW w:w="783" w:type="pct"/>
                  <w:tcMar>
                    <w:top w:w="57" w:type="dxa"/>
                  </w:tcMar>
                  <w:vAlign w:val="center"/>
                </w:tcPr>
                <w:p w14:paraId="076C4935">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193.7</w:t>
                  </w:r>
                </w:p>
              </w:tc>
              <w:tc>
                <w:tcPr>
                  <w:tcW w:w="824" w:type="pct"/>
                  <w:tcMar>
                    <w:top w:w="57" w:type="dxa"/>
                  </w:tcMar>
                  <w:vAlign w:val="center"/>
                </w:tcPr>
                <w:p w14:paraId="60412708">
                  <w:pPr>
                    <w:spacing w:line="300" w:lineRule="exact"/>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0-5450</w:t>
                  </w:r>
                </w:p>
              </w:tc>
              <w:tc>
                <w:tcPr>
                  <w:tcW w:w="997" w:type="pct"/>
                  <w:vAlign w:val="center"/>
                </w:tcPr>
                <w:p w14:paraId="3E834143">
                  <w:pPr>
                    <w:spacing w:line="300" w:lineRule="exact"/>
                    <w:jc w:val="center"/>
                    <w:rPr>
                      <w:rFonts w:hint="eastAsia" w:ascii="宋体" w:hAnsi="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地面</w:t>
                  </w:r>
                </w:p>
              </w:tc>
            </w:tr>
            <w:bookmarkEnd w:id="33"/>
          </w:tbl>
          <w:p w14:paraId="35CB7D70">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ascii="宋体" w:hAnsi="宋体" w:cs="宋体"/>
                <w:color w:val="0D0D0D" w:themeColor="text1" w:themeTint="F2"/>
                <w14:textFill>
                  <w14:solidFill>
                    <w14:schemeClr w14:val="tx1">
                      <w14:lumMod w14:val="95000"/>
                      <w14:lumOff w14:val="5000"/>
                    </w14:schemeClr>
                  </w14:solidFill>
                </w14:textFill>
              </w:rPr>
              <w:t>③</w:t>
            </w:r>
            <w:r>
              <w:rPr>
                <w:rFonts w:hint="eastAsia" w:ascii="宋体" w:hAnsi="宋体" w:cs="宋体"/>
                <w:color w:val="0D0D0D" w:themeColor="text1" w:themeTint="F2"/>
                <w14:textFill>
                  <w14:solidFill>
                    <w14:schemeClr w14:val="tx1">
                      <w14:lumMod w14:val="95000"/>
                      <w14:lumOff w14:val="5000"/>
                    </w14:schemeClr>
                  </w14:solidFill>
                </w14:textFill>
              </w:rPr>
              <w:t>钻井设备</w:t>
            </w:r>
          </w:p>
          <w:p w14:paraId="5A9812B8">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Style w:val="60"/>
                <w:rFonts w:hint="eastAsia"/>
                <w:color w:val="0D0D0D" w:themeColor="text1" w:themeTint="F2"/>
                <w14:textFill>
                  <w14:solidFill>
                    <w14:schemeClr w14:val="tx1">
                      <w14:lumMod w14:val="95000"/>
                      <w14:lumOff w14:val="5000"/>
                    </w14:schemeClr>
                  </w14:solidFill>
                </w14:textFill>
              </w:rPr>
              <w:t>钻井设备包括钻机、井架、钻井泵、发电机和不落地设备等等，主要钻井设备见</w:t>
            </w:r>
            <w:r>
              <w:rPr>
                <w:rStyle w:val="60"/>
                <w:rFonts w:hint="eastAsia"/>
                <w:color w:val="0D0D0D" w:themeColor="text1" w:themeTint="F2"/>
                <w14:textFill>
                  <w14:solidFill>
                    <w14:schemeClr w14:val="tx1">
                      <w14:lumMod w14:val="95000"/>
                      <w14:lumOff w14:val="5000"/>
                    </w14:schemeClr>
                  </w14:solidFill>
                </w14:textFill>
              </w:rPr>
              <w:fldChar w:fldCharType="begin"/>
            </w:r>
            <w:r>
              <w:rPr>
                <w:rStyle w:val="60"/>
                <w:rFonts w:hint="eastAsia"/>
                <w:color w:val="0D0D0D" w:themeColor="text1" w:themeTint="F2"/>
                <w14:textFill>
                  <w14:solidFill>
                    <w14:schemeClr w14:val="tx1">
                      <w14:lumMod w14:val="95000"/>
                      <w14:lumOff w14:val="5000"/>
                    </w14:schemeClr>
                  </w14:solidFill>
                </w14:textFill>
              </w:rPr>
              <w:instrText xml:space="preserve"> REF _Ref206149025 \h  \* MERGEFORMAT </w:instrText>
            </w:r>
            <w:r>
              <w:rPr>
                <w:rStyle w:val="60"/>
                <w:rFonts w:hint="eastAsia"/>
                <w:color w:val="0D0D0D" w:themeColor="text1" w:themeTint="F2"/>
                <w14:textFill>
                  <w14:solidFill>
                    <w14:schemeClr w14:val="tx1">
                      <w14:lumMod w14:val="95000"/>
                      <w14:lumOff w14:val="5000"/>
                    </w14:schemeClr>
                  </w14:solidFill>
                </w14:textFill>
              </w:rPr>
              <w:fldChar w:fldCharType="separate"/>
            </w:r>
            <w:r>
              <w:rPr>
                <w:rStyle w:val="60"/>
              </w:rPr>
              <w:t>表9</w:t>
            </w:r>
            <w:r>
              <w:rPr>
                <w:rStyle w:val="60"/>
                <w:rFonts w:hint="eastAsia"/>
                <w:color w:val="0D0D0D" w:themeColor="text1" w:themeTint="F2"/>
                <w14:textFill>
                  <w14:solidFill>
                    <w14:schemeClr w14:val="tx1">
                      <w14:lumMod w14:val="95000"/>
                      <w14:lumOff w14:val="5000"/>
                    </w14:schemeClr>
                  </w14:solidFill>
                </w14:textFill>
              </w:rPr>
              <w:fldChar w:fldCharType="end"/>
            </w:r>
            <w:r>
              <w:rPr>
                <w:rFonts w:hint="eastAsia" w:ascii="宋体" w:hAnsi="宋体" w:cs="宋体"/>
                <w:color w:val="0D0D0D" w:themeColor="text1" w:themeTint="F2"/>
                <w14:textFill>
                  <w14:solidFill>
                    <w14:schemeClr w14:val="tx1">
                      <w14:lumMod w14:val="95000"/>
                      <w14:lumOff w14:val="5000"/>
                    </w14:schemeClr>
                  </w14:solidFill>
                </w14:textFill>
              </w:rPr>
              <w:t>。</w:t>
            </w:r>
          </w:p>
          <w:p w14:paraId="1712FF4D">
            <w:pPr>
              <w:snapToGrid w:val="0"/>
              <w:spacing w:line="500" w:lineRule="exact"/>
              <w:jc w:val="center"/>
              <w:rPr>
                <w:rStyle w:val="66"/>
                <w:rFonts w:hint="eastAsia"/>
                <w:color w:val="0D0D0D" w:themeColor="text1" w:themeTint="F2"/>
                <w14:textFill>
                  <w14:solidFill>
                    <w14:schemeClr w14:val="tx1">
                      <w14:lumMod w14:val="95000"/>
                      <w14:lumOff w14:val="5000"/>
                    </w14:schemeClr>
                  </w14:solidFill>
                </w14:textFill>
              </w:rPr>
            </w:pPr>
            <w:bookmarkStart w:id="34" w:name="_Ref206149025"/>
            <w:r>
              <w:rPr>
                <w:rStyle w:val="66"/>
                <w:rFonts w:hint="eastAsia"/>
                <w:color w:val="0D0D0D" w:themeColor="text1" w:themeTint="F2"/>
                <w14:textFill>
                  <w14:solidFill>
                    <w14:schemeClr w14:val="tx1">
                      <w14:lumMod w14:val="95000"/>
                      <w14:lumOff w14:val="5000"/>
                    </w14:schemeClr>
                  </w14:solidFill>
                </w14:textFill>
              </w:rPr>
              <w:t>表</w:t>
            </w:r>
            <w:r>
              <w:rPr>
                <w:rStyle w:val="66"/>
                <w:rFonts w:hint="eastAsia"/>
                <w:color w:val="0D0D0D" w:themeColor="text1" w:themeTint="F2"/>
                <w14:textFill>
                  <w14:solidFill>
                    <w14:schemeClr w14:val="tx1">
                      <w14:lumMod w14:val="95000"/>
                      <w14:lumOff w14:val="5000"/>
                    </w14:schemeClr>
                  </w14:solidFill>
                </w14:textFill>
              </w:rPr>
              <w:fldChar w:fldCharType="begin"/>
            </w:r>
            <w:r>
              <w:rPr>
                <w:rStyle w:val="66"/>
                <w:rFonts w:hint="eastAsia"/>
                <w:color w:val="0D0D0D" w:themeColor="text1" w:themeTint="F2"/>
                <w14:textFill>
                  <w14:solidFill>
                    <w14:schemeClr w14:val="tx1">
                      <w14:lumMod w14:val="95000"/>
                      <w14:lumOff w14:val="5000"/>
                    </w14:schemeClr>
                  </w14:solidFill>
                </w14:textFill>
              </w:rPr>
              <w:instrText xml:space="preserve"> SEQ 表 \* ARABIC </w:instrText>
            </w:r>
            <w:r>
              <w:rPr>
                <w:rStyle w:val="66"/>
                <w:rFonts w:hint="eastAsia"/>
                <w:color w:val="0D0D0D" w:themeColor="text1" w:themeTint="F2"/>
                <w14:textFill>
                  <w14:solidFill>
                    <w14:schemeClr w14:val="tx1">
                      <w14:lumMod w14:val="95000"/>
                      <w14:lumOff w14:val="5000"/>
                    </w14:schemeClr>
                  </w14:solidFill>
                </w14:textFill>
              </w:rPr>
              <w:fldChar w:fldCharType="separate"/>
            </w:r>
            <w:r>
              <w:rPr>
                <w:rStyle w:val="66"/>
                <w:rFonts w:hint="eastAsia"/>
                <w:color w:val="0D0D0D" w:themeColor="text1" w:themeTint="F2"/>
                <w14:textFill>
                  <w14:solidFill>
                    <w14:schemeClr w14:val="tx1">
                      <w14:lumMod w14:val="95000"/>
                      <w14:lumOff w14:val="5000"/>
                    </w14:schemeClr>
                  </w14:solidFill>
                </w14:textFill>
              </w:rPr>
              <w:t>9</w:t>
            </w:r>
            <w:r>
              <w:rPr>
                <w:rStyle w:val="66"/>
                <w:rFonts w:hint="eastAsia"/>
                <w:color w:val="0D0D0D" w:themeColor="text1" w:themeTint="F2"/>
                <w14:textFill>
                  <w14:solidFill>
                    <w14:schemeClr w14:val="tx1">
                      <w14:lumMod w14:val="95000"/>
                      <w14:lumOff w14:val="5000"/>
                    </w14:schemeClr>
                  </w14:solidFill>
                </w14:textFill>
              </w:rPr>
              <w:fldChar w:fldCharType="end"/>
            </w:r>
            <w:bookmarkEnd w:id="34"/>
            <w:r>
              <w:rPr>
                <w:rStyle w:val="66"/>
                <w:rFonts w:hint="eastAsia"/>
                <w:color w:val="0D0D0D" w:themeColor="text1" w:themeTint="F2"/>
                <w14:textFill>
                  <w14:solidFill>
                    <w14:schemeClr w14:val="tx1">
                      <w14:lumMod w14:val="95000"/>
                      <w14:lumOff w14:val="5000"/>
                    </w14:schemeClr>
                  </w14:solidFill>
                </w14:textFill>
              </w:rPr>
              <w:t xml:space="preserve">    主要钻井设备一览表</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57" w:type="dxa"/>
                <w:bottom w:w="0" w:type="dxa"/>
                <w:right w:w="57" w:type="dxa"/>
              </w:tblCellMar>
            </w:tblPr>
            <w:tblGrid>
              <w:gridCol w:w="512"/>
              <w:gridCol w:w="1850"/>
              <w:gridCol w:w="1836"/>
              <w:gridCol w:w="2110"/>
              <w:gridCol w:w="1085"/>
            </w:tblGrid>
            <w:tr w14:paraId="2A9F0AF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4ED8FA5F">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序号</w:t>
                  </w:r>
                </w:p>
              </w:tc>
              <w:tc>
                <w:tcPr>
                  <w:tcW w:w="1251" w:type="pct"/>
                  <w:vAlign w:val="center"/>
                </w:tcPr>
                <w:p w14:paraId="750A00B3">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名称</w:t>
                  </w:r>
                </w:p>
              </w:tc>
              <w:tc>
                <w:tcPr>
                  <w:tcW w:w="1242" w:type="pct"/>
                  <w:vAlign w:val="center"/>
                </w:tcPr>
                <w:p w14:paraId="1BC9CC57">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型号</w:t>
                  </w:r>
                </w:p>
              </w:tc>
              <w:tc>
                <w:tcPr>
                  <w:tcW w:w="1427" w:type="pct"/>
                  <w:vAlign w:val="center"/>
                </w:tcPr>
                <w:p w14:paraId="27B0DC15">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规格</w:t>
                  </w:r>
                </w:p>
              </w:tc>
              <w:tc>
                <w:tcPr>
                  <w:tcW w:w="734" w:type="pct"/>
                  <w:vAlign w:val="center"/>
                </w:tcPr>
                <w:p w14:paraId="46F7C721">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数量</w:t>
                  </w:r>
                </w:p>
              </w:tc>
            </w:tr>
            <w:tr w14:paraId="6D3DEA8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3275691F">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w:t>
                  </w:r>
                </w:p>
              </w:tc>
              <w:tc>
                <w:tcPr>
                  <w:tcW w:w="1251" w:type="pct"/>
                  <w:vAlign w:val="center"/>
                </w:tcPr>
                <w:p w14:paraId="5D4EA29A">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钻机</w:t>
                  </w:r>
                </w:p>
              </w:tc>
              <w:tc>
                <w:tcPr>
                  <w:tcW w:w="1242" w:type="pct"/>
                  <w:vAlign w:val="center"/>
                </w:tcPr>
                <w:p w14:paraId="2CC0CDB5">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ZJ</w:t>
                  </w:r>
                  <w:r>
                    <w:rPr>
                      <w:rFonts w:hint="eastAsia" w:ascii="宋体" w:hAnsi="宋体" w:cs="Arial"/>
                      <w:color w:val="0D0D0D" w:themeColor="text1" w:themeTint="F2"/>
                      <w:sz w:val="21"/>
                      <w:szCs w:val="21"/>
                      <w14:textFill>
                        <w14:solidFill>
                          <w14:schemeClr w14:val="tx1">
                            <w14:lumMod w14:val="95000"/>
                            <w14:lumOff w14:val="5000"/>
                          </w14:schemeClr>
                        </w14:solidFill>
                      </w14:textFill>
                    </w:rPr>
                    <w:t>90</w:t>
                  </w:r>
                  <w:r>
                    <w:rPr>
                      <w:rFonts w:ascii="宋体" w:hAnsi="宋体" w:cs="Arial"/>
                      <w:color w:val="0D0D0D" w:themeColor="text1" w:themeTint="F2"/>
                      <w:sz w:val="21"/>
                      <w:szCs w:val="21"/>
                      <w14:textFill>
                        <w14:solidFill>
                          <w14:schemeClr w14:val="tx1">
                            <w14:lumMod w14:val="95000"/>
                            <w14:lumOff w14:val="5000"/>
                          </w14:schemeClr>
                        </w14:solidFill>
                      </w14:textFill>
                    </w:rPr>
                    <w:t>D</w:t>
                  </w:r>
                  <w:r>
                    <w:rPr>
                      <w:rFonts w:hint="eastAsia" w:ascii="宋体" w:hAnsi="宋体" w:cs="Arial"/>
                      <w:color w:val="0D0D0D" w:themeColor="text1" w:themeTint="F2"/>
                      <w:sz w:val="21"/>
                      <w:szCs w:val="21"/>
                      <w14:textFill>
                        <w14:solidFill>
                          <w14:schemeClr w14:val="tx1">
                            <w14:lumMod w14:val="95000"/>
                            <w14:lumOff w14:val="5000"/>
                          </w14:schemeClr>
                        </w14:solidFill>
                      </w14:textFill>
                    </w:rPr>
                    <w:t>B</w:t>
                  </w:r>
                </w:p>
              </w:tc>
              <w:tc>
                <w:tcPr>
                  <w:tcW w:w="1427" w:type="pct"/>
                  <w:vAlign w:val="center"/>
                </w:tcPr>
                <w:p w14:paraId="7BA05179">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6750kN</w:t>
                  </w:r>
                </w:p>
              </w:tc>
              <w:tc>
                <w:tcPr>
                  <w:tcW w:w="734" w:type="pct"/>
                  <w:vAlign w:val="center"/>
                </w:tcPr>
                <w:p w14:paraId="50627C0D">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1台</w:t>
                  </w:r>
                </w:p>
              </w:tc>
            </w:tr>
            <w:tr w14:paraId="4DA4525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7B5BBEF1">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2</w:t>
                  </w:r>
                </w:p>
              </w:tc>
              <w:tc>
                <w:tcPr>
                  <w:tcW w:w="1251" w:type="pct"/>
                  <w:vAlign w:val="center"/>
                </w:tcPr>
                <w:p w14:paraId="09B92BD9">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井架</w:t>
                  </w:r>
                </w:p>
              </w:tc>
              <w:tc>
                <w:tcPr>
                  <w:tcW w:w="1242" w:type="pct"/>
                  <w:vAlign w:val="center"/>
                </w:tcPr>
                <w:p w14:paraId="1FD3E6E5">
                  <w:pPr>
                    <w:snapToGrid w:val="0"/>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JJ</w:t>
                  </w:r>
                  <w:r>
                    <w:rPr>
                      <w:rFonts w:hint="eastAsia" w:ascii="宋体" w:hAnsi="宋体" w:cs="Arial"/>
                      <w:color w:val="0D0D0D" w:themeColor="text1" w:themeTint="F2"/>
                      <w:sz w:val="21"/>
                      <w:szCs w:val="21"/>
                      <w14:textFill>
                        <w14:solidFill>
                          <w14:schemeClr w14:val="tx1">
                            <w14:lumMod w14:val="95000"/>
                            <w14:lumOff w14:val="5000"/>
                          </w14:schemeClr>
                        </w14:solidFill>
                      </w14:textFill>
                    </w:rPr>
                    <w:t>675</w:t>
                  </w:r>
                  <w:r>
                    <w:rPr>
                      <w:rFonts w:ascii="宋体" w:hAnsi="宋体" w:cs="Arial"/>
                      <w:color w:val="0D0D0D" w:themeColor="text1" w:themeTint="F2"/>
                      <w:sz w:val="21"/>
                      <w:szCs w:val="21"/>
                      <w14:textFill>
                        <w14:solidFill>
                          <w14:schemeClr w14:val="tx1">
                            <w14:lumMod w14:val="95000"/>
                            <w14:lumOff w14:val="5000"/>
                          </w14:schemeClr>
                        </w14:solidFill>
                      </w14:textFill>
                    </w:rPr>
                    <w:t>/</w:t>
                  </w:r>
                  <w:r>
                    <w:rPr>
                      <w:rFonts w:hint="eastAsia" w:ascii="宋体" w:hAnsi="宋体" w:cs="Arial"/>
                      <w:color w:val="0D0D0D" w:themeColor="text1" w:themeTint="F2"/>
                      <w:sz w:val="21"/>
                      <w:szCs w:val="21"/>
                      <w14:textFill>
                        <w14:solidFill>
                          <w14:schemeClr w14:val="tx1">
                            <w14:lumMod w14:val="95000"/>
                            <w14:lumOff w14:val="5000"/>
                          </w14:schemeClr>
                        </w14:solidFill>
                      </w14:textFill>
                    </w:rPr>
                    <w:t>48-K</w:t>
                  </w:r>
                </w:p>
              </w:tc>
              <w:tc>
                <w:tcPr>
                  <w:tcW w:w="1427" w:type="pct"/>
                  <w:vAlign w:val="center"/>
                </w:tcPr>
                <w:p w14:paraId="1F4DA879">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6750k</w:t>
                  </w:r>
                  <w:r>
                    <w:rPr>
                      <w:rFonts w:ascii="宋体" w:hAnsi="宋体" w:cs="宋体"/>
                      <w:color w:val="0D0D0D" w:themeColor="text1" w:themeTint="F2"/>
                      <w:sz w:val="21"/>
                      <w:szCs w:val="21"/>
                      <w14:textFill>
                        <w14:solidFill>
                          <w14:schemeClr w14:val="tx1">
                            <w14:lumMod w14:val="95000"/>
                            <w14:lumOff w14:val="5000"/>
                          </w14:schemeClr>
                        </w14:solidFill>
                      </w14:textFill>
                    </w:rPr>
                    <w:t>W</w:t>
                  </w:r>
                </w:p>
              </w:tc>
              <w:tc>
                <w:tcPr>
                  <w:tcW w:w="734" w:type="pct"/>
                  <w:vAlign w:val="center"/>
                </w:tcPr>
                <w:p w14:paraId="0144F62A">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1台</w:t>
                  </w:r>
                </w:p>
              </w:tc>
            </w:tr>
            <w:tr w14:paraId="6BC138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33F6DBF2">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3</w:t>
                  </w:r>
                </w:p>
              </w:tc>
              <w:tc>
                <w:tcPr>
                  <w:tcW w:w="1251" w:type="pct"/>
                  <w:vAlign w:val="center"/>
                </w:tcPr>
                <w:p w14:paraId="2060B526">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钻井泵</w:t>
                  </w:r>
                </w:p>
              </w:tc>
              <w:tc>
                <w:tcPr>
                  <w:tcW w:w="1242" w:type="pct"/>
                  <w:vAlign w:val="center"/>
                </w:tcPr>
                <w:p w14:paraId="39122B4D">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F</w:t>
                  </w:r>
                  <w:r>
                    <w:rPr>
                      <w:rFonts w:hint="eastAsia" w:ascii="宋体" w:hAnsi="宋体" w:cs="Arial"/>
                      <w:color w:val="0D0D0D" w:themeColor="text1" w:themeTint="F2"/>
                      <w:sz w:val="21"/>
                      <w:szCs w:val="21"/>
                      <w14:textFill>
                        <w14:solidFill>
                          <w14:schemeClr w14:val="tx1">
                            <w14:lumMod w14:val="95000"/>
                            <w14:lumOff w14:val="5000"/>
                          </w14:schemeClr>
                        </w14:solidFill>
                      </w14:textFill>
                    </w:rPr>
                    <w:t>-2200HL</w:t>
                  </w:r>
                </w:p>
              </w:tc>
              <w:tc>
                <w:tcPr>
                  <w:tcW w:w="1427" w:type="pct"/>
                  <w:vAlign w:val="center"/>
                </w:tcPr>
                <w:p w14:paraId="0914012B">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宋体"/>
                      <w:color w:val="0D0D0D" w:themeColor="text1" w:themeTint="F2"/>
                      <w:sz w:val="21"/>
                      <w:szCs w:val="21"/>
                      <w14:textFill>
                        <w14:solidFill>
                          <w14:schemeClr w14:val="tx1">
                            <w14:lumMod w14:val="95000"/>
                            <w14:lumOff w14:val="5000"/>
                          </w14:schemeClr>
                        </w14:solidFill>
                      </w14:textFill>
                    </w:rPr>
                    <w:t>1617k</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W</w:t>
                  </w:r>
                  <w:r>
                    <w:rPr>
                      <w:rFonts w:ascii="宋体" w:hAnsi="宋体" w:cs="宋体"/>
                      <w:color w:val="0D0D0D" w:themeColor="text1" w:themeTint="F2"/>
                      <w:sz w:val="21"/>
                      <w:szCs w:val="21"/>
                      <w14:textFill>
                        <w14:solidFill>
                          <w14:schemeClr w14:val="tx1">
                            <w14:lumMod w14:val="95000"/>
                            <w14:lumOff w14:val="5000"/>
                          </w14:schemeClr>
                        </w14:solidFill>
                      </w14:textFill>
                    </w:rPr>
                    <w:t>/52MPa</w:t>
                  </w:r>
                </w:p>
              </w:tc>
              <w:tc>
                <w:tcPr>
                  <w:tcW w:w="734" w:type="pct"/>
                  <w:vAlign w:val="center"/>
                </w:tcPr>
                <w:p w14:paraId="5F7D7A14">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3台</w:t>
                  </w:r>
                </w:p>
              </w:tc>
            </w:tr>
            <w:tr w14:paraId="6895D2E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6EA4E533">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4</w:t>
                  </w:r>
                </w:p>
              </w:tc>
              <w:tc>
                <w:tcPr>
                  <w:tcW w:w="1251" w:type="pct"/>
                  <w:vAlign w:val="center"/>
                </w:tcPr>
                <w:p w14:paraId="46F9C88B">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钻井液罐</w:t>
                  </w:r>
                </w:p>
              </w:tc>
              <w:tc>
                <w:tcPr>
                  <w:tcW w:w="1242" w:type="pct"/>
                  <w:vAlign w:val="center"/>
                </w:tcPr>
                <w:p w14:paraId="778F4F70">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427" w:type="pct"/>
                  <w:vAlign w:val="center"/>
                </w:tcPr>
                <w:p w14:paraId="7EF8C69A">
                  <w:pPr>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循环罐总容积</w:t>
                  </w:r>
                  <w:r>
                    <w:rPr>
                      <w:rFonts w:hint="eastAsia" w:ascii="宋体" w:hAnsi="宋体" w:cs="Arial"/>
                      <w:color w:val="0D0D0D" w:themeColor="text1" w:themeTint="F2"/>
                      <w:sz w:val="21"/>
                      <w:szCs w:val="21"/>
                      <w14:textFill>
                        <w14:solidFill>
                          <w14:schemeClr w14:val="tx1">
                            <w14:lumMod w14:val="95000"/>
                            <w14:lumOff w14:val="5000"/>
                          </w14:schemeClr>
                        </w14:solidFill>
                      </w14:textFill>
                    </w:rPr>
                    <w:t>600</w:t>
                  </w:r>
                  <w:r>
                    <w:rPr>
                      <w:rFonts w:ascii="宋体" w:hAnsi="宋体" w:cs="Arial"/>
                      <w:color w:val="0D0D0D" w:themeColor="text1" w:themeTint="F2"/>
                      <w:sz w:val="21"/>
                      <w:szCs w:val="21"/>
                      <w14:textFill>
                        <w14:solidFill>
                          <w14:schemeClr w14:val="tx1">
                            <w14:lumMod w14:val="95000"/>
                            <w14:lumOff w14:val="5000"/>
                          </w14:schemeClr>
                        </w14:solidFill>
                      </w14:textFill>
                    </w:rPr>
                    <w:t>m³</w:t>
                  </w:r>
                </w:p>
              </w:tc>
              <w:tc>
                <w:tcPr>
                  <w:tcW w:w="734" w:type="pct"/>
                  <w:vAlign w:val="center"/>
                </w:tcPr>
                <w:p w14:paraId="28E8085E">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1套</w:t>
                  </w:r>
                </w:p>
              </w:tc>
            </w:tr>
            <w:tr w14:paraId="42E385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56C85F60">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5</w:t>
                  </w:r>
                </w:p>
              </w:tc>
              <w:tc>
                <w:tcPr>
                  <w:tcW w:w="1251" w:type="pct"/>
                  <w:vAlign w:val="center"/>
                </w:tcPr>
                <w:p w14:paraId="5FFFCAF4">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发电机组</w:t>
                  </w:r>
                </w:p>
              </w:tc>
              <w:tc>
                <w:tcPr>
                  <w:tcW w:w="1242" w:type="pct"/>
                  <w:vAlign w:val="center"/>
                </w:tcPr>
                <w:p w14:paraId="7319CDC0">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宋体"/>
                      <w:color w:val="0D0D0D" w:themeColor="text1" w:themeTint="F2"/>
                      <w:sz w:val="21"/>
                      <w:szCs w:val="21"/>
                      <w14:textFill>
                        <w14:solidFill>
                          <w14:schemeClr w14:val="tx1">
                            <w14:lumMod w14:val="95000"/>
                            <w14:lumOff w14:val="5000"/>
                          </w14:schemeClr>
                        </w14:solidFill>
                      </w14:textFill>
                    </w:rPr>
                    <w:t>CAT 3512B/SR4B</w:t>
                  </w:r>
                </w:p>
              </w:tc>
              <w:tc>
                <w:tcPr>
                  <w:tcW w:w="1427" w:type="pct"/>
                  <w:vAlign w:val="center"/>
                </w:tcPr>
                <w:p w14:paraId="3FF73A28">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1310kW</w:t>
                  </w:r>
                </w:p>
              </w:tc>
              <w:tc>
                <w:tcPr>
                  <w:tcW w:w="734" w:type="pct"/>
                  <w:vAlign w:val="center"/>
                </w:tcPr>
                <w:p w14:paraId="0A7EF0AB">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5台</w:t>
                  </w:r>
                </w:p>
              </w:tc>
            </w:tr>
            <w:tr w14:paraId="685175D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2D7E7348">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6</w:t>
                  </w:r>
                </w:p>
              </w:tc>
              <w:tc>
                <w:tcPr>
                  <w:tcW w:w="1251" w:type="pct"/>
                  <w:vAlign w:val="center"/>
                </w:tcPr>
                <w:p w14:paraId="6719587C">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辅助发电机组</w:t>
                  </w:r>
                </w:p>
              </w:tc>
              <w:tc>
                <w:tcPr>
                  <w:tcW w:w="1242" w:type="pct"/>
                  <w:vAlign w:val="center"/>
                </w:tcPr>
                <w:p w14:paraId="52648A40">
                  <w:pPr>
                    <w:snapToGrid w:val="0"/>
                    <w:jc w:val="center"/>
                    <w:rPr>
                      <w:rFonts w:hint="eastAsia" w:ascii="宋体" w:hAnsi="宋体" w:cs="Arial"/>
                      <w:color w:val="0D0D0D" w:themeColor="text1" w:themeTint="F2"/>
                      <w:spacing w:val="4"/>
                      <w:sz w:val="21"/>
                      <w:szCs w:val="21"/>
                      <w14:textFill>
                        <w14:solidFill>
                          <w14:schemeClr w14:val="tx1">
                            <w14:lumMod w14:val="95000"/>
                            <w14:lumOff w14:val="5000"/>
                          </w14:schemeClr>
                        </w14:solidFill>
                      </w14:textFill>
                    </w:rPr>
                  </w:pPr>
                  <w:r>
                    <w:rPr>
                      <w:rFonts w:ascii="宋体" w:hAnsi="宋体" w:cs="Arial"/>
                      <w:color w:val="0D0D0D" w:themeColor="text1" w:themeTint="F2"/>
                      <w:spacing w:val="4"/>
                      <w:sz w:val="21"/>
                      <w:szCs w:val="21"/>
                      <w14:textFill>
                        <w14:solidFill>
                          <w14:schemeClr w14:val="tx1">
                            <w14:lumMod w14:val="95000"/>
                            <w14:lumOff w14:val="5000"/>
                          </w14:schemeClr>
                        </w14:solidFill>
                      </w14:textFill>
                    </w:rPr>
                    <w:t>辅助发电机组</w:t>
                  </w:r>
                </w:p>
              </w:tc>
              <w:tc>
                <w:tcPr>
                  <w:tcW w:w="1427" w:type="pct"/>
                  <w:vAlign w:val="center"/>
                </w:tcPr>
                <w:p w14:paraId="7618A718">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400</w:t>
                  </w:r>
                  <w:r>
                    <w:rPr>
                      <w:rFonts w:ascii="宋体" w:hAnsi="宋体" w:cs="宋体"/>
                      <w:color w:val="0D0D0D" w:themeColor="text1" w:themeTint="F2"/>
                      <w:sz w:val="21"/>
                      <w:szCs w:val="21"/>
                      <w14:textFill>
                        <w14:solidFill>
                          <w14:schemeClr w14:val="tx1">
                            <w14:lumMod w14:val="95000"/>
                            <w14:lumOff w14:val="5000"/>
                          </w14:schemeClr>
                        </w14:solidFill>
                      </w14:textFill>
                    </w:rPr>
                    <w:t>kW</w:t>
                  </w:r>
                </w:p>
              </w:tc>
              <w:tc>
                <w:tcPr>
                  <w:tcW w:w="734" w:type="pct"/>
                  <w:vAlign w:val="center"/>
                </w:tcPr>
                <w:p w14:paraId="2ACF2880">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1台</w:t>
                  </w:r>
                </w:p>
              </w:tc>
            </w:tr>
            <w:tr w14:paraId="3F921A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18219910">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7</w:t>
                  </w:r>
                </w:p>
              </w:tc>
              <w:tc>
                <w:tcPr>
                  <w:tcW w:w="1251" w:type="pct"/>
                  <w:vAlign w:val="center"/>
                </w:tcPr>
                <w:p w14:paraId="5BF9AEE3">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SCR系统</w:t>
                  </w:r>
                </w:p>
              </w:tc>
              <w:tc>
                <w:tcPr>
                  <w:tcW w:w="1242" w:type="pct"/>
                  <w:vAlign w:val="center"/>
                </w:tcPr>
                <w:p w14:paraId="14B71D86">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宋体"/>
                      <w:color w:val="0D0D0D" w:themeColor="text1" w:themeTint="F2"/>
                      <w:sz w:val="21"/>
                      <w:szCs w:val="21"/>
                      <w14:textFill>
                        <w14:solidFill>
                          <w14:schemeClr w14:val="tx1">
                            <w14:lumMod w14:val="95000"/>
                            <w14:lumOff w14:val="5000"/>
                          </w14:schemeClr>
                        </w14:solidFill>
                      </w14:textFill>
                    </w:rPr>
                    <w:t>S7400 PLC</w:t>
                  </w:r>
                </w:p>
              </w:tc>
              <w:tc>
                <w:tcPr>
                  <w:tcW w:w="1427" w:type="pct"/>
                  <w:vAlign w:val="center"/>
                </w:tcPr>
                <w:p w14:paraId="4FF4561A">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734" w:type="pct"/>
                  <w:vAlign w:val="center"/>
                </w:tcPr>
                <w:p w14:paraId="6B97F4AA">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1套</w:t>
                  </w:r>
                </w:p>
              </w:tc>
            </w:tr>
            <w:tr w14:paraId="7A6D102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62FEBED6">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8</w:t>
                  </w:r>
                </w:p>
              </w:tc>
              <w:tc>
                <w:tcPr>
                  <w:tcW w:w="1251" w:type="pct"/>
                  <w:vAlign w:val="center"/>
                </w:tcPr>
                <w:p w14:paraId="61EC0E94">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顶部驱动装置</w:t>
                  </w:r>
                </w:p>
              </w:tc>
              <w:tc>
                <w:tcPr>
                  <w:tcW w:w="1242" w:type="pct"/>
                  <w:vAlign w:val="center"/>
                </w:tcPr>
                <w:p w14:paraId="37F820C1">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pacing w:val="4"/>
                      <w:sz w:val="21"/>
                      <w:szCs w:val="21"/>
                      <w14:textFill>
                        <w14:solidFill>
                          <w14:schemeClr w14:val="tx1">
                            <w14:lumMod w14:val="95000"/>
                            <w14:lumOff w14:val="5000"/>
                          </w14:schemeClr>
                        </w14:solidFill>
                      </w14:textFill>
                    </w:rPr>
                    <w:t>DQ90BS</w:t>
                  </w:r>
                </w:p>
              </w:tc>
              <w:tc>
                <w:tcPr>
                  <w:tcW w:w="1427" w:type="pct"/>
                  <w:vAlign w:val="center"/>
                </w:tcPr>
                <w:p w14:paraId="450D4F8C">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6750</w:t>
                  </w:r>
                  <w:r>
                    <w:rPr>
                      <w:rFonts w:hint="eastAsia" w:ascii="宋体" w:hAnsi="宋体" w:cs="Arial"/>
                      <w:color w:val="0D0D0D" w:themeColor="text1" w:themeTint="F2"/>
                      <w:sz w:val="21"/>
                      <w:szCs w:val="21"/>
                      <w14:textFill>
                        <w14:solidFill>
                          <w14:schemeClr w14:val="tx1">
                            <w14:lumMod w14:val="95000"/>
                            <w14:lumOff w14:val="5000"/>
                          </w14:schemeClr>
                        </w14:solidFill>
                      </w14:textFill>
                    </w:rPr>
                    <w:t>k</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N</w:t>
                  </w:r>
                </w:p>
              </w:tc>
              <w:tc>
                <w:tcPr>
                  <w:tcW w:w="734" w:type="pct"/>
                  <w:vAlign w:val="center"/>
                </w:tcPr>
                <w:p w14:paraId="2AB199FC">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1台</w:t>
                  </w:r>
                </w:p>
              </w:tc>
            </w:tr>
            <w:tr w14:paraId="397234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45112CBD">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9</w:t>
                  </w:r>
                </w:p>
              </w:tc>
              <w:tc>
                <w:tcPr>
                  <w:tcW w:w="1251" w:type="pct"/>
                  <w:vAlign w:val="center"/>
                </w:tcPr>
                <w:p w14:paraId="3EEE2BA6">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提升系统</w:t>
                  </w:r>
                </w:p>
              </w:tc>
              <w:tc>
                <w:tcPr>
                  <w:tcW w:w="1242" w:type="pct"/>
                  <w:vAlign w:val="center"/>
                </w:tcPr>
                <w:p w14:paraId="520D42BD">
                  <w:pPr>
                    <w:snapToGrid w:val="0"/>
                    <w:jc w:val="center"/>
                    <w:rPr>
                      <w:rFonts w:hint="eastAsia" w:ascii="宋体" w:hAnsi="宋体" w:cs="Arial"/>
                      <w:color w:val="0D0D0D" w:themeColor="text1" w:themeTint="F2"/>
                      <w:spacing w:val="4"/>
                      <w:sz w:val="21"/>
                      <w:szCs w:val="21"/>
                      <w14:textFill>
                        <w14:solidFill>
                          <w14:schemeClr w14:val="tx1">
                            <w14:lumMod w14:val="95000"/>
                            <w14:lumOff w14:val="5000"/>
                          </w14:schemeClr>
                        </w14:solidFill>
                      </w14:textFill>
                    </w:rPr>
                  </w:pPr>
                  <w:r>
                    <w:rPr>
                      <w:rFonts w:hint="eastAsia" w:ascii="宋体" w:hAnsi="宋体" w:cs="Arial"/>
                      <w:color w:val="0D0D0D" w:themeColor="text1" w:themeTint="F2"/>
                      <w:spacing w:val="4"/>
                      <w:sz w:val="21"/>
                      <w:szCs w:val="21"/>
                      <w14:textFill>
                        <w14:solidFill>
                          <w14:schemeClr w14:val="tx1">
                            <w14:lumMod w14:val="95000"/>
                            <w14:lumOff w14:val="5000"/>
                          </w14:schemeClr>
                        </w14:solidFill>
                      </w14:textFill>
                    </w:rPr>
                    <w:t>/</w:t>
                  </w:r>
                </w:p>
              </w:tc>
              <w:tc>
                <w:tcPr>
                  <w:tcW w:w="1427" w:type="pct"/>
                  <w:vAlign w:val="center"/>
                </w:tcPr>
                <w:p w14:paraId="61C638C8">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734" w:type="pct"/>
                  <w:vAlign w:val="center"/>
                </w:tcPr>
                <w:p w14:paraId="0C7D2E9F">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1套</w:t>
                  </w:r>
                </w:p>
              </w:tc>
            </w:tr>
            <w:tr w14:paraId="3A7C51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6D5C6D93">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w:t>
                  </w:r>
                  <w:r>
                    <w:rPr>
                      <w:rFonts w:ascii="宋体" w:hAnsi="宋体" w:cs="宋体"/>
                      <w:color w:val="0D0D0D" w:themeColor="text1" w:themeTint="F2"/>
                      <w:sz w:val="21"/>
                      <w:szCs w:val="21"/>
                      <w14:textFill>
                        <w14:solidFill>
                          <w14:schemeClr w14:val="tx1">
                            <w14:lumMod w14:val="95000"/>
                            <w14:lumOff w14:val="5000"/>
                          </w14:schemeClr>
                        </w14:solidFill>
                      </w14:textFill>
                    </w:rPr>
                    <w:t>0</w:t>
                  </w:r>
                </w:p>
              </w:tc>
              <w:tc>
                <w:tcPr>
                  <w:tcW w:w="1251" w:type="pct"/>
                  <w:vAlign w:val="center"/>
                </w:tcPr>
                <w:p w14:paraId="0DE4833C">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钻井液不落地设备</w:t>
                  </w:r>
                </w:p>
              </w:tc>
              <w:tc>
                <w:tcPr>
                  <w:tcW w:w="1242" w:type="pct"/>
                  <w:vAlign w:val="center"/>
                </w:tcPr>
                <w:p w14:paraId="128B5EC1">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427" w:type="pct"/>
                  <w:vAlign w:val="center"/>
                </w:tcPr>
                <w:p w14:paraId="07BED04F">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734" w:type="pct"/>
                  <w:vAlign w:val="center"/>
                </w:tcPr>
                <w:p w14:paraId="3E4A1109">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1套</w:t>
                  </w:r>
                </w:p>
              </w:tc>
            </w:tr>
            <w:tr w14:paraId="5A1FCD7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4E5ADC8B">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w:t>
                  </w:r>
                  <w:r>
                    <w:rPr>
                      <w:rFonts w:ascii="宋体" w:hAnsi="宋体" w:cs="宋体"/>
                      <w:color w:val="0D0D0D" w:themeColor="text1" w:themeTint="F2"/>
                      <w:sz w:val="21"/>
                      <w:szCs w:val="21"/>
                      <w14:textFill>
                        <w14:solidFill>
                          <w14:schemeClr w14:val="tx1">
                            <w14:lumMod w14:val="95000"/>
                            <w14:lumOff w14:val="5000"/>
                          </w14:schemeClr>
                        </w14:solidFill>
                      </w14:textFill>
                    </w:rPr>
                    <w:t>1</w:t>
                  </w:r>
                </w:p>
              </w:tc>
              <w:tc>
                <w:tcPr>
                  <w:tcW w:w="1251" w:type="pct"/>
                  <w:vAlign w:val="center"/>
                </w:tcPr>
                <w:p w14:paraId="0ECBADBF">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离心机</w:t>
                  </w:r>
                </w:p>
              </w:tc>
              <w:tc>
                <w:tcPr>
                  <w:tcW w:w="1242" w:type="pct"/>
                  <w:vAlign w:val="center"/>
                </w:tcPr>
                <w:p w14:paraId="36D5256B">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LW450×842N</w:t>
                  </w:r>
                </w:p>
              </w:tc>
              <w:tc>
                <w:tcPr>
                  <w:tcW w:w="1427" w:type="pct"/>
                  <w:vAlign w:val="center"/>
                </w:tcPr>
                <w:p w14:paraId="2A095A15">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734" w:type="pct"/>
                  <w:vAlign w:val="center"/>
                </w:tcPr>
                <w:p w14:paraId="43D193CC">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2台</w:t>
                  </w:r>
                </w:p>
              </w:tc>
            </w:tr>
            <w:tr w14:paraId="77A846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111AAF65">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w:t>
                  </w:r>
                  <w:r>
                    <w:rPr>
                      <w:rFonts w:ascii="宋体" w:hAnsi="宋体" w:cs="宋体"/>
                      <w:color w:val="0D0D0D" w:themeColor="text1" w:themeTint="F2"/>
                      <w:sz w:val="21"/>
                      <w:szCs w:val="21"/>
                      <w14:textFill>
                        <w14:solidFill>
                          <w14:schemeClr w14:val="tx1">
                            <w14:lumMod w14:val="95000"/>
                            <w14:lumOff w14:val="5000"/>
                          </w14:schemeClr>
                        </w14:solidFill>
                      </w14:textFill>
                    </w:rPr>
                    <w:t>2</w:t>
                  </w:r>
                </w:p>
              </w:tc>
              <w:tc>
                <w:tcPr>
                  <w:tcW w:w="1251" w:type="pct"/>
                  <w:vAlign w:val="center"/>
                </w:tcPr>
                <w:p w14:paraId="47C762A6">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振动筛</w:t>
                  </w:r>
                </w:p>
              </w:tc>
              <w:tc>
                <w:tcPr>
                  <w:tcW w:w="1242" w:type="pct"/>
                  <w:vAlign w:val="center"/>
                </w:tcPr>
                <w:p w14:paraId="4720538B">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DERRICK</w:t>
                  </w:r>
                </w:p>
              </w:tc>
              <w:tc>
                <w:tcPr>
                  <w:tcW w:w="1427" w:type="pct"/>
                  <w:vAlign w:val="center"/>
                </w:tcPr>
                <w:p w14:paraId="3E31E226">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734" w:type="pct"/>
                  <w:vAlign w:val="center"/>
                </w:tcPr>
                <w:p w14:paraId="1ABD9FCD">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4台</w:t>
                  </w:r>
                </w:p>
              </w:tc>
            </w:tr>
            <w:tr w14:paraId="78F6D64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0DAD28F5">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w:t>
                  </w:r>
                  <w:r>
                    <w:rPr>
                      <w:rFonts w:ascii="宋体" w:hAnsi="宋体" w:cs="宋体"/>
                      <w:color w:val="0D0D0D" w:themeColor="text1" w:themeTint="F2"/>
                      <w:sz w:val="21"/>
                      <w:szCs w:val="21"/>
                      <w14:textFill>
                        <w14:solidFill>
                          <w14:schemeClr w14:val="tx1">
                            <w14:lumMod w14:val="95000"/>
                            <w14:lumOff w14:val="5000"/>
                          </w14:schemeClr>
                        </w14:solidFill>
                      </w14:textFill>
                    </w:rPr>
                    <w:t>3</w:t>
                  </w:r>
                </w:p>
              </w:tc>
              <w:tc>
                <w:tcPr>
                  <w:tcW w:w="1251" w:type="pct"/>
                  <w:vAlign w:val="center"/>
                </w:tcPr>
                <w:p w14:paraId="4708F015">
                  <w:pPr>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除砂除泥</w:t>
                  </w:r>
                  <w:r>
                    <w:rPr>
                      <w:rFonts w:hint="eastAsia" w:ascii="宋体" w:hAnsi="宋体" w:cs="Arial"/>
                      <w:color w:val="0D0D0D" w:themeColor="text1" w:themeTint="F2"/>
                      <w:sz w:val="21"/>
                      <w:szCs w:val="21"/>
                      <w14:textFill>
                        <w14:solidFill>
                          <w14:schemeClr w14:val="tx1">
                            <w14:lumMod w14:val="95000"/>
                            <w14:lumOff w14:val="5000"/>
                          </w14:schemeClr>
                        </w14:solidFill>
                      </w14:textFill>
                    </w:rPr>
                    <w:t>清洁器</w:t>
                  </w:r>
                </w:p>
              </w:tc>
              <w:tc>
                <w:tcPr>
                  <w:tcW w:w="1242" w:type="pct"/>
                  <w:vAlign w:val="center"/>
                </w:tcPr>
                <w:p w14:paraId="3CEF2E7F">
                  <w:pPr>
                    <w:snapToGrid w:val="0"/>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DERRICK</w:t>
                  </w:r>
                </w:p>
              </w:tc>
              <w:tc>
                <w:tcPr>
                  <w:tcW w:w="1427" w:type="pct"/>
                  <w:vAlign w:val="center"/>
                </w:tcPr>
                <w:p w14:paraId="3ED781F2">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734" w:type="pct"/>
                  <w:vAlign w:val="center"/>
                </w:tcPr>
                <w:p w14:paraId="6CA10983">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1台</w:t>
                  </w:r>
                </w:p>
              </w:tc>
            </w:tr>
            <w:tr w14:paraId="28AD2E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308867F2">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w:t>
                  </w:r>
                  <w:r>
                    <w:rPr>
                      <w:rFonts w:ascii="宋体" w:hAnsi="宋体" w:cs="宋体"/>
                      <w:color w:val="0D0D0D" w:themeColor="text1" w:themeTint="F2"/>
                      <w:sz w:val="21"/>
                      <w:szCs w:val="21"/>
                      <w14:textFill>
                        <w14:solidFill>
                          <w14:schemeClr w14:val="tx1">
                            <w14:lumMod w14:val="95000"/>
                            <w14:lumOff w14:val="5000"/>
                          </w14:schemeClr>
                        </w14:solidFill>
                      </w14:textFill>
                    </w:rPr>
                    <w:t>4</w:t>
                  </w:r>
                </w:p>
              </w:tc>
              <w:tc>
                <w:tcPr>
                  <w:tcW w:w="1251" w:type="pct"/>
                  <w:vAlign w:val="center"/>
                </w:tcPr>
                <w:p w14:paraId="7C088142">
                  <w:pPr>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加重装置</w:t>
                  </w:r>
                </w:p>
              </w:tc>
              <w:tc>
                <w:tcPr>
                  <w:tcW w:w="1242" w:type="pct"/>
                  <w:vAlign w:val="center"/>
                </w:tcPr>
                <w:p w14:paraId="6D53B2B7">
                  <w:pPr>
                    <w:jc w:val="center"/>
                    <w:rPr>
                      <w:rFonts w:hint="eastAsia" w:ascii="宋体" w:hAnsi="宋体" w:cs="Arial"/>
                      <w:color w:val="0D0D0D" w:themeColor="text1" w:themeTint="F2"/>
                      <w:spacing w:val="4"/>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w:t>
                  </w:r>
                </w:p>
              </w:tc>
              <w:tc>
                <w:tcPr>
                  <w:tcW w:w="1427" w:type="pct"/>
                  <w:vAlign w:val="center"/>
                </w:tcPr>
                <w:p w14:paraId="3EFC0C7E">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734" w:type="pct"/>
                  <w:vAlign w:val="center"/>
                </w:tcPr>
                <w:p w14:paraId="66781AE8">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2套</w:t>
                  </w:r>
                </w:p>
              </w:tc>
            </w:tr>
            <w:tr w14:paraId="2B4548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16CB3356">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w:t>
                  </w:r>
                  <w:r>
                    <w:rPr>
                      <w:rFonts w:ascii="宋体" w:hAnsi="宋体" w:cs="宋体"/>
                      <w:color w:val="0D0D0D" w:themeColor="text1" w:themeTint="F2"/>
                      <w:sz w:val="21"/>
                      <w:szCs w:val="21"/>
                      <w14:textFill>
                        <w14:solidFill>
                          <w14:schemeClr w14:val="tx1">
                            <w14:lumMod w14:val="95000"/>
                            <w14:lumOff w14:val="5000"/>
                          </w14:schemeClr>
                        </w14:solidFill>
                      </w14:textFill>
                    </w:rPr>
                    <w:t>5</w:t>
                  </w:r>
                </w:p>
              </w:tc>
              <w:tc>
                <w:tcPr>
                  <w:tcW w:w="1251" w:type="pct"/>
                  <w:vAlign w:val="center"/>
                </w:tcPr>
                <w:p w14:paraId="0C7D2297">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井控系统</w:t>
                  </w:r>
                </w:p>
              </w:tc>
              <w:tc>
                <w:tcPr>
                  <w:tcW w:w="1242" w:type="pct"/>
                  <w:vAlign w:val="center"/>
                </w:tcPr>
                <w:p w14:paraId="37A4C51C">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二开至五开</w:t>
                  </w:r>
                </w:p>
              </w:tc>
              <w:tc>
                <w:tcPr>
                  <w:tcW w:w="1427" w:type="pct"/>
                  <w:vAlign w:val="center"/>
                </w:tcPr>
                <w:p w14:paraId="472A9D3C">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734" w:type="pct"/>
                  <w:vAlign w:val="center"/>
                </w:tcPr>
                <w:p w14:paraId="48DEED60">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1套</w:t>
                  </w:r>
                </w:p>
              </w:tc>
            </w:tr>
            <w:tr w14:paraId="449BB8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531B2C91">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w:t>
                  </w:r>
                  <w:r>
                    <w:rPr>
                      <w:rFonts w:ascii="宋体" w:hAnsi="宋体" w:cs="宋体"/>
                      <w:color w:val="0D0D0D" w:themeColor="text1" w:themeTint="F2"/>
                      <w:sz w:val="21"/>
                      <w:szCs w:val="21"/>
                      <w14:textFill>
                        <w14:solidFill>
                          <w14:schemeClr w14:val="tx1">
                            <w14:lumMod w14:val="95000"/>
                            <w14:lumOff w14:val="5000"/>
                          </w14:schemeClr>
                        </w14:solidFill>
                      </w14:textFill>
                    </w:rPr>
                    <w:t>6</w:t>
                  </w:r>
                </w:p>
              </w:tc>
              <w:tc>
                <w:tcPr>
                  <w:tcW w:w="1251" w:type="pct"/>
                  <w:vAlign w:val="center"/>
                </w:tcPr>
                <w:p w14:paraId="54899516">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液气分离器</w:t>
                  </w:r>
                </w:p>
              </w:tc>
              <w:tc>
                <w:tcPr>
                  <w:tcW w:w="1242" w:type="pct"/>
                  <w:vAlign w:val="center"/>
                </w:tcPr>
                <w:p w14:paraId="3D2941BD">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pacing w:val="4"/>
                      <w:sz w:val="21"/>
                      <w:szCs w:val="21"/>
                      <w14:textFill>
                        <w14:solidFill>
                          <w14:schemeClr w14:val="tx1">
                            <w14:lumMod w14:val="95000"/>
                            <w14:lumOff w14:val="5000"/>
                          </w14:schemeClr>
                        </w14:solidFill>
                      </w14:textFill>
                    </w:rPr>
                    <w:t>NFQ-1400</w:t>
                  </w:r>
                </w:p>
              </w:tc>
              <w:tc>
                <w:tcPr>
                  <w:tcW w:w="1427" w:type="pct"/>
                  <w:vAlign w:val="center"/>
                </w:tcPr>
                <w:p w14:paraId="72CBB3D8">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734" w:type="pct"/>
                  <w:vAlign w:val="center"/>
                </w:tcPr>
                <w:p w14:paraId="0BBF4A8D">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1台</w:t>
                  </w:r>
                </w:p>
              </w:tc>
            </w:tr>
            <w:tr w14:paraId="19EDD28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24F08060">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w:t>
                  </w:r>
                  <w:r>
                    <w:rPr>
                      <w:rFonts w:ascii="宋体" w:hAnsi="宋体" w:cs="宋体"/>
                      <w:color w:val="0D0D0D" w:themeColor="text1" w:themeTint="F2"/>
                      <w:sz w:val="21"/>
                      <w:szCs w:val="21"/>
                      <w14:textFill>
                        <w14:solidFill>
                          <w14:schemeClr w14:val="tx1">
                            <w14:lumMod w14:val="95000"/>
                            <w14:lumOff w14:val="5000"/>
                          </w14:schemeClr>
                        </w14:solidFill>
                      </w14:textFill>
                    </w:rPr>
                    <w:t>7</w:t>
                  </w:r>
                </w:p>
              </w:tc>
              <w:tc>
                <w:tcPr>
                  <w:tcW w:w="1251" w:type="pct"/>
                  <w:vAlign w:val="center"/>
                </w:tcPr>
                <w:p w14:paraId="39799873">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宋体"/>
                      <w:color w:val="0D0D0D" w:themeColor="text1" w:themeTint="F2"/>
                      <w:sz w:val="21"/>
                      <w:szCs w:val="21"/>
                      <w14:textFill>
                        <w14:solidFill>
                          <w14:schemeClr w14:val="tx1">
                            <w14:lumMod w14:val="95000"/>
                            <w14:lumOff w14:val="5000"/>
                          </w14:schemeClr>
                        </w14:solidFill>
                      </w14:textFill>
                    </w:rPr>
                    <w:t>节流控制箱</w:t>
                  </w:r>
                </w:p>
              </w:tc>
              <w:tc>
                <w:tcPr>
                  <w:tcW w:w="1242" w:type="pct"/>
                  <w:vAlign w:val="center"/>
                </w:tcPr>
                <w:p w14:paraId="08DA48C0">
                  <w:pPr>
                    <w:snapToGrid w:val="0"/>
                    <w:jc w:val="center"/>
                    <w:rPr>
                      <w:rFonts w:hint="eastAsia" w:ascii="宋体" w:hAnsi="宋体" w:cs="Arial"/>
                      <w:color w:val="0D0D0D" w:themeColor="text1" w:themeTint="F2"/>
                      <w:spacing w:val="4"/>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427" w:type="pct"/>
                  <w:vAlign w:val="center"/>
                </w:tcPr>
                <w:p w14:paraId="3925A07A">
                  <w:pPr>
                    <w:snapToGrid w:val="0"/>
                    <w:jc w:val="center"/>
                    <w:rPr>
                      <w:rFonts w:hint="eastAsia" w:ascii="宋体" w:hAnsi="宋体" w:cs="Arial"/>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734" w:type="pct"/>
                  <w:vAlign w:val="center"/>
                </w:tcPr>
                <w:p w14:paraId="738A4108">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宋体"/>
                      <w:color w:val="0D0D0D" w:themeColor="text1" w:themeTint="F2"/>
                      <w:sz w:val="21"/>
                      <w:szCs w:val="21"/>
                      <w14:textFill>
                        <w14:solidFill>
                          <w14:schemeClr w14:val="tx1">
                            <w14:lumMod w14:val="95000"/>
                            <w14:lumOff w14:val="5000"/>
                          </w14:schemeClr>
                        </w14:solidFill>
                      </w14:textFill>
                    </w:rPr>
                    <w:t>1</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套</w:t>
                  </w:r>
                </w:p>
              </w:tc>
            </w:tr>
            <w:tr w14:paraId="06AD62D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53B18FC8">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w:t>
                  </w:r>
                  <w:r>
                    <w:rPr>
                      <w:rFonts w:ascii="宋体" w:hAnsi="宋体" w:cs="宋体"/>
                      <w:color w:val="0D0D0D" w:themeColor="text1" w:themeTint="F2"/>
                      <w:sz w:val="21"/>
                      <w:szCs w:val="21"/>
                      <w14:textFill>
                        <w14:solidFill>
                          <w14:schemeClr w14:val="tx1">
                            <w14:lumMod w14:val="95000"/>
                            <w14:lumOff w14:val="5000"/>
                          </w14:schemeClr>
                        </w14:solidFill>
                      </w14:textFill>
                    </w:rPr>
                    <w:t>8</w:t>
                  </w:r>
                </w:p>
              </w:tc>
              <w:tc>
                <w:tcPr>
                  <w:tcW w:w="1251" w:type="pct"/>
                  <w:vAlign w:val="center"/>
                </w:tcPr>
                <w:p w14:paraId="5DE5BB3B">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硫化氢检测仪</w:t>
                  </w:r>
                </w:p>
              </w:tc>
              <w:tc>
                <w:tcPr>
                  <w:tcW w:w="1242" w:type="pct"/>
                  <w:vAlign w:val="center"/>
                </w:tcPr>
                <w:p w14:paraId="514C9C87">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427" w:type="pct"/>
                  <w:vAlign w:val="center"/>
                </w:tcPr>
                <w:p w14:paraId="031DB592">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便携式</w:t>
                  </w:r>
                  <w:r>
                    <w:rPr>
                      <w:rFonts w:ascii="宋体" w:hAnsi="宋体" w:cs="Arial"/>
                      <w:color w:val="0D0D0D" w:themeColor="text1" w:themeTint="F2"/>
                      <w:sz w:val="21"/>
                      <w:szCs w:val="21"/>
                      <w14:textFill>
                        <w14:solidFill>
                          <w14:schemeClr w14:val="tx1">
                            <w14:lumMod w14:val="95000"/>
                            <w14:lumOff w14:val="5000"/>
                          </w14:schemeClr>
                        </w14:solidFill>
                      </w14:textFill>
                    </w:rPr>
                    <w:t>≥</w:t>
                  </w:r>
                  <w:r>
                    <w:rPr>
                      <w:rFonts w:hint="eastAsia" w:ascii="宋体" w:hAnsi="宋体" w:cs="Arial"/>
                      <w:color w:val="0D0D0D" w:themeColor="text1" w:themeTint="F2"/>
                      <w:sz w:val="21"/>
                      <w:szCs w:val="21"/>
                      <w14:textFill>
                        <w14:solidFill>
                          <w14:schemeClr w14:val="tx1">
                            <w14:lumMod w14:val="95000"/>
                            <w14:lumOff w14:val="5000"/>
                          </w14:schemeClr>
                        </w14:solidFill>
                      </w14:textFill>
                    </w:rPr>
                    <w:t>4</w:t>
                  </w:r>
                  <w:r>
                    <w:rPr>
                      <w:rFonts w:ascii="宋体" w:hAnsi="宋体" w:cs="Arial"/>
                      <w:color w:val="0D0D0D" w:themeColor="text1" w:themeTint="F2"/>
                      <w:sz w:val="21"/>
                      <w:szCs w:val="21"/>
                      <w14:textFill>
                        <w14:solidFill>
                          <w14:schemeClr w14:val="tx1">
                            <w14:lumMod w14:val="95000"/>
                            <w14:lumOff w14:val="5000"/>
                          </w14:schemeClr>
                        </w14:solidFill>
                      </w14:textFill>
                    </w:rPr>
                    <w:t>套</w:t>
                  </w:r>
                  <w:r>
                    <w:rPr>
                      <w:rFonts w:hint="eastAsia" w:ascii="宋体" w:hAnsi="宋体" w:cs="Arial"/>
                      <w:color w:val="0D0D0D" w:themeColor="text1" w:themeTint="F2"/>
                      <w:sz w:val="21"/>
                      <w:szCs w:val="21"/>
                      <w14:textFill>
                        <w14:solidFill>
                          <w14:schemeClr w14:val="tx1">
                            <w14:lumMod w14:val="95000"/>
                            <w14:lumOff w14:val="5000"/>
                          </w14:schemeClr>
                        </w14:solidFill>
                      </w14:textFill>
                    </w:rPr>
                    <w:t>，固定式1套</w:t>
                  </w:r>
                </w:p>
              </w:tc>
              <w:tc>
                <w:tcPr>
                  <w:tcW w:w="734" w:type="pct"/>
                  <w:vAlign w:val="center"/>
                </w:tcPr>
                <w:p w14:paraId="25CB634E">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5套</w:t>
                  </w:r>
                </w:p>
              </w:tc>
            </w:tr>
            <w:tr w14:paraId="3B75472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44B55866">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w:t>
                  </w:r>
                  <w:r>
                    <w:rPr>
                      <w:rFonts w:ascii="宋体" w:hAnsi="宋体" w:cs="宋体"/>
                      <w:color w:val="0D0D0D" w:themeColor="text1" w:themeTint="F2"/>
                      <w:sz w:val="21"/>
                      <w:szCs w:val="21"/>
                      <w14:textFill>
                        <w14:solidFill>
                          <w14:schemeClr w14:val="tx1">
                            <w14:lumMod w14:val="95000"/>
                            <w14:lumOff w14:val="5000"/>
                          </w14:schemeClr>
                        </w14:solidFill>
                      </w14:textFill>
                    </w:rPr>
                    <w:t>9</w:t>
                  </w:r>
                </w:p>
              </w:tc>
              <w:tc>
                <w:tcPr>
                  <w:tcW w:w="1251" w:type="pct"/>
                  <w:vAlign w:val="center"/>
                </w:tcPr>
                <w:p w14:paraId="7C0D24C8">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司钻控制台</w:t>
                  </w:r>
                </w:p>
              </w:tc>
              <w:tc>
                <w:tcPr>
                  <w:tcW w:w="1242" w:type="pct"/>
                  <w:vAlign w:val="center"/>
                </w:tcPr>
                <w:p w14:paraId="1F4903CB">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z w:val="21"/>
                      <w:szCs w:val="21"/>
                      <w14:textFill>
                        <w14:solidFill>
                          <w14:schemeClr w14:val="tx1">
                            <w14:lumMod w14:val="95000"/>
                            <w14:lumOff w14:val="5000"/>
                          </w14:schemeClr>
                        </w14:solidFill>
                      </w14:textFill>
                    </w:rPr>
                    <w:t>/</w:t>
                  </w:r>
                </w:p>
              </w:tc>
              <w:tc>
                <w:tcPr>
                  <w:tcW w:w="1427" w:type="pct"/>
                  <w:vAlign w:val="center"/>
                </w:tcPr>
                <w:p w14:paraId="4F235564">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734" w:type="pct"/>
                  <w:vAlign w:val="center"/>
                </w:tcPr>
                <w:p w14:paraId="198FC495">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宋体"/>
                      <w:color w:val="0D0D0D" w:themeColor="text1" w:themeTint="F2"/>
                      <w:sz w:val="21"/>
                      <w:szCs w:val="21"/>
                      <w14:textFill>
                        <w14:solidFill>
                          <w14:schemeClr w14:val="tx1">
                            <w14:lumMod w14:val="95000"/>
                            <w14:lumOff w14:val="5000"/>
                          </w14:schemeClr>
                        </w14:solidFill>
                      </w14:textFill>
                    </w:rPr>
                    <w:t>1</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套</w:t>
                  </w:r>
                </w:p>
              </w:tc>
            </w:tr>
            <w:tr w14:paraId="40B9420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1D372711">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20</w:t>
                  </w:r>
                </w:p>
              </w:tc>
              <w:tc>
                <w:tcPr>
                  <w:tcW w:w="1251" w:type="pct"/>
                  <w:vAlign w:val="center"/>
                </w:tcPr>
                <w:p w14:paraId="67E27BBC">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宋体"/>
                      <w:color w:val="0D0D0D" w:themeColor="text1" w:themeTint="F2"/>
                      <w:sz w:val="21"/>
                      <w:szCs w:val="21"/>
                      <w14:textFill>
                        <w14:solidFill>
                          <w14:schemeClr w14:val="tx1">
                            <w14:lumMod w14:val="95000"/>
                            <w14:lumOff w14:val="5000"/>
                          </w14:schemeClr>
                        </w14:solidFill>
                      </w14:textFill>
                    </w:rPr>
                    <w:t>控制装置</w:t>
                  </w:r>
                </w:p>
              </w:tc>
              <w:tc>
                <w:tcPr>
                  <w:tcW w:w="1242" w:type="pct"/>
                  <w:vAlign w:val="center"/>
                </w:tcPr>
                <w:p w14:paraId="76B1BCDA">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Arial"/>
                      <w:color w:val="0D0D0D" w:themeColor="text1" w:themeTint="F2"/>
                      <w:spacing w:val="4"/>
                      <w:sz w:val="21"/>
                      <w:szCs w:val="21"/>
                      <w14:textFill>
                        <w14:solidFill>
                          <w14:schemeClr w14:val="tx1">
                            <w14:lumMod w14:val="95000"/>
                            <w14:lumOff w14:val="5000"/>
                          </w14:schemeClr>
                        </w14:solidFill>
                      </w14:textFill>
                    </w:rPr>
                    <w:t>FKDQ1280-10</w:t>
                  </w:r>
                </w:p>
              </w:tc>
              <w:tc>
                <w:tcPr>
                  <w:tcW w:w="1427" w:type="pct"/>
                  <w:vAlign w:val="center"/>
                </w:tcPr>
                <w:p w14:paraId="1BA6E412">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734" w:type="pct"/>
                  <w:vAlign w:val="center"/>
                </w:tcPr>
                <w:p w14:paraId="6C88372A">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宋体"/>
                      <w:color w:val="0D0D0D" w:themeColor="text1" w:themeTint="F2"/>
                      <w:sz w:val="21"/>
                      <w:szCs w:val="21"/>
                      <w14:textFill>
                        <w14:solidFill>
                          <w14:schemeClr w14:val="tx1">
                            <w14:lumMod w14:val="95000"/>
                            <w14:lumOff w14:val="5000"/>
                          </w14:schemeClr>
                        </w14:solidFill>
                      </w14:textFill>
                    </w:rPr>
                    <w:t>1</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套</w:t>
                  </w:r>
                </w:p>
              </w:tc>
            </w:tr>
            <w:tr w14:paraId="4CB080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1E27562C">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21</w:t>
                  </w:r>
                </w:p>
              </w:tc>
              <w:tc>
                <w:tcPr>
                  <w:tcW w:w="1251" w:type="pct"/>
                  <w:vAlign w:val="center"/>
                </w:tcPr>
                <w:p w14:paraId="662195F9">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液压大钳</w:t>
                  </w:r>
                </w:p>
              </w:tc>
              <w:tc>
                <w:tcPr>
                  <w:tcW w:w="1242" w:type="pct"/>
                  <w:vAlign w:val="center"/>
                </w:tcPr>
                <w:p w14:paraId="31834FF1">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Arial"/>
                      <w:color w:val="0D0D0D" w:themeColor="text1" w:themeTint="F2"/>
                      <w:sz w:val="21"/>
                      <w:szCs w:val="21"/>
                      <w14:textFill>
                        <w14:solidFill>
                          <w14:schemeClr w14:val="tx1">
                            <w14:lumMod w14:val="95000"/>
                            <w14:lumOff w14:val="5000"/>
                          </w14:schemeClr>
                        </w14:solidFill>
                      </w14:textFill>
                    </w:rPr>
                    <w:t>/</w:t>
                  </w:r>
                </w:p>
              </w:tc>
              <w:tc>
                <w:tcPr>
                  <w:tcW w:w="1427" w:type="pct"/>
                  <w:vAlign w:val="center"/>
                </w:tcPr>
                <w:p w14:paraId="159EAC44">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734" w:type="pct"/>
                  <w:vAlign w:val="center"/>
                </w:tcPr>
                <w:p w14:paraId="03436CC5">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1台</w:t>
                  </w:r>
                </w:p>
              </w:tc>
            </w:tr>
            <w:tr w14:paraId="135104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346" w:type="pct"/>
                  <w:vAlign w:val="center"/>
                </w:tcPr>
                <w:p w14:paraId="2A4484A0">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22</w:t>
                  </w:r>
                </w:p>
              </w:tc>
              <w:tc>
                <w:tcPr>
                  <w:tcW w:w="1251" w:type="pct"/>
                  <w:vAlign w:val="center"/>
                </w:tcPr>
                <w:p w14:paraId="21A0C592">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柴油储罐</w:t>
                  </w:r>
                </w:p>
              </w:tc>
              <w:tc>
                <w:tcPr>
                  <w:tcW w:w="1242" w:type="pct"/>
                  <w:vAlign w:val="center"/>
                </w:tcPr>
                <w:p w14:paraId="2FC8248B">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427" w:type="pct"/>
                  <w:vAlign w:val="center"/>
                </w:tcPr>
                <w:p w14:paraId="2C2EAC4F">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最大储量20t</w:t>
                  </w:r>
                </w:p>
              </w:tc>
              <w:tc>
                <w:tcPr>
                  <w:tcW w:w="734" w:type="pct"/>
                  <w:vAlign w:val="center"/>
                </w:tcPr>
                <w:p w14:paraId="159514F0">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1座30m</w:t>
                  </w:r>
                  <w:r>
                    <w:rPr>
                      <w:rFonts w:hint="eastAsia"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p>
              </w:tc>
            </w:tr>
          </w:tbl>
          <w:p w14:paraId="161B74E6">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④钻井液体系</w:t>
            </w:r>
          </w:p>
          <w:p w14:paraId="36606A4E">
            <w:pPr>
              <w:snapToGrid w:val="0"/>
              <w:spacing w:line="500" w:lineRule="exact"/>
              <w:ind w:firstLine="480" w:firstLineChars="200"/>
              <w:rPr>
                <w:rStyle w:val="60"/>
                <w:rFonts w:hint="eastAsia"/>
                <w:color w:val="0D0D0D" w:themeColor="text1" w:themeTint="F2"/>
                <w14:textFill>
                  <w14:solidFill>
                    <w14:schemeClr w14:val="tx1">
                      <w14:lumMod w14:val="95000"/>
                      <w14:lumOff w14:val="5000"/>
                    </w14:schemeClr>
                  </w14:solidFill>
                </w14:textFill>
              </w:rPr>
            </w:pPr>
            <w:bookmarkStart w:id="35" w:name="_Hlk167901113"/>
            <w:bookmarkStart w:id="36" w:name="_Hlk176173839"/>
            <w:bookmarkStart w:id="37" w:name="_Hlk186373794"/>
            <w:r>
              <w:rPr>
                <w:rFonts w:hint="eastAsia" w:ascii="宋体" w:hAnsi="宋体" w:cs="宋体"/>
                <w:color w:val="0D0D0D" w:themeColor="text1" w:themeTint="F2"/>
                <w14:textFill>
                  <w14:solidFill>
                    <w14:schemeClr w14:val="tx1">
                      <w14:lumMod w14:val="95000"/>
                      <w14:lumOff w14:val="5000"/>
                    </w14:schemeClr>
                  </w14:solidFill>
                </w14:textFill>
              </w:rPr>
              <w:t>钻井时一开采用非磺化水基钻井液（一开主要成分为坂土、Na</w:t>
            </w:r>
            <w:r>
              <w:rPr>
                <w:rFonts w:hint="eastAsia" w:ascii="宋体" w:hAnsi="宋体" w:cs="宋体"/>
                <w:color w:val="0D0D0D" w:themeColor="text1" w:themeTint="F2"/>
                <w:vertAlign w:val="subscript"/>
                <w14:textFill>
                  <w14:solidFill>
                    <w14:schemeClr w14:val="tx1">
                      <w14:lumMod w14:val="95000"/>
                      <w14:lumOff w14:val="5000"/>
                    </w14:schemeClr>
                  </w14:solidFill>
                </w14:textFill>
              </w:rPr>
              <w:t>2</w:t>
            </w:r>
            <w:r>
              <w:rPr>
                <w:rFonts w:hint="eastAsia" w:ascii="宋体" w:hAnsi="宋体" w:cs="宋体"/>
                <w:color w:val="0D0D0D" w:themeColor="text1" w:themeTint="F2"/>
                <w14:textFill>
                  <w14:solidFill>
                    <w14:schemeClr w14:val="tx1">
                      <w14:lumMod w14:val="95000"/>
                      <w14:lumOff w14:val="5000"/>
                    </w14:schemeClr>
                  </w14:solidFill>
                </w14:textFill>
              </w:rPr>
              <w:t>CO</w:t>
            </w:r>
            <w:r>
              <w:rPr>
                <w:rFonts w:hint="eastAsia" w:ascii="宋体" w:hAnsi="宋体" w:cs="宋体"/>
                <w:color w:val="0D0D0D" w:themeColor="text1" w:themeTint="F2"/>
                <w:vertAlign w:val="subscript"/>
                <w14:textFill>
                  <w14:solidFill>
                    <w14:schemeClr w14:val="tx1">
                      <w14:lumMod w14:val="95000"/>
                      <w14:lumOff w14:val="5000"/>
                    </w14:schemeClr>
                  </w14:solidFill>
                </w14:textFill>
              </w:rPr>
              <w:t>3</w:t>
            </w:r>
            <w:r>
              <w:rPr>
                <w:rFonts w:hint="eastAsia" w:ascii="宋体" w:hAnsi="宋体" w:cs="宋体"/>
                <w:color w:val="0D0D0D" w:themeColor="text1" w:themeTint="F2"/>
                <w14:textFill>
                  <w14:solidFill>
                    <w14:schemeClr w14:val="tx1">
                      <w14:lumMod w14:val="95000"/>
                      <w14:lumOff w14:val="5000"/>
                    </w14:schemeClr>
                  </w14:solidFill>
                </w14:textFill>
              </w:rPr>
              <w:t>、重晶石、复配铵盐等），用量为810m</w:t>
            </w:r>
            <w:r>
              <w:rPr>
                <w:rFonts w:hint="eastAsia" w:ascii="宋体" w:hAnsi="宋体" w:cs="宋体"/>
                <w:color w:val="0D0D0D" w:themeColor="text1" w:themeTint="F2"/>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14:textFill>
                  <w14:solidFill>
                    <w14:schemeClr w14:val="tx1">
                      <w14:lumMod w14:val="95000"/>
                      <w14:lumOff w14:val="5000"/>
                    </w14:schemeClr>
                  </w14:solidFill>
                </w14:textFill>
              </w:rPr>
              <w:t>；二开至五</w:t>
            </w:r>
            <w:r>
              <w:rPr>
                <w:rFonts w:ascii="宋体" w:hAnsi="宋体" w:cs="宋体"/>
                <w:color w:val="0D0D0D" w:themeColor="text1" w:themeTint="F2"/>
                <w14:textFill>
                  <w14:solidFill>
                    <w14:schemeClr w14:val="tx1">
                      <w14:lumMod w14:val="95000"/>
                      <w14:lumOff w14:val="5000"/>
                    </w14:schemeClr>
                  </w14:solidFill>
                </w14:textFill>
              </w:rPr>
              <w:t>开采用油基钻井液，主要成分为白油/柴油、乳化剂、有机土等，用量</w:t>
            </w:r>
            <w:r>
              <w:rPr>
                <w:rFonts w:hint="eastAsia" w:ascii="宋体" w:hAnsi="宋体" w:cs="宋体"/>
                <w:color w:val="0D0D0D" w:themeColor="text1" w:themeTint="F2"/>
                <w14:textFill>
                  <w14:solidFill>
                    <w14:schemeClr w14:val="tx1">
                      <w14:lumMod w14:val="95000"/>
                      <w14:lumOff w14:val="5000"/>
                    </w14:schemeClr>
                  </w14:solidFill>
                </w14:textFill>
              </w:rPr>
              <w:t>2563</w:t>
            </w:r>
            <w:r>
              <w:rPr>
                <w:rFonts w:ascii="宋体" w:hAnsi="宋体" w:cs="宋体"/>
                <w:color w:val="0D0D0D" w:themeColor="text1" w:themeTint="F2"/>
                <w14:textFill>
                  <w14:solidFill>
                    <w14:schemeClr w14:val="tx1">
                      <w14:lumMod w14:val="95000"/>
                      <w14:lumOff w14:val="5000"/>
                    </w14:schemeClr>
                  </w14:solidFill>
                </w14:textFill>
              </w:rPr>
              <w:t>m</w:t>
            </w:r>
            <w:r>
              <w:rPr>
                <w:rFonts w:ascii="宋体" w:hAnsi="宋体" w:cs="宋体"/>
                <w:color w:val="0D0D0D" w:themeColor="text1" w:themeTint="F2"/>
                <w:vertAlign w:val="superscript"/>
                <w14:textFill>
                  <w14:solidFill>
                    <w14:schemeClr w14:val="tx1">
                      <w14:lumMod w14:val="95000"/>
                      <w14:lumOff w14:val="5000"/>
                    </w14:schemeClr>
                  </w14:solidFill>
                </w14:textFill>
              </w:rPr>
              <w:t>3</w:t>
            </w:r>
            <w:r>
              <w:rPr>
                <w:rFonts w:ascii="宋体" w:hAnsi="宋体" w:cs="宋体"/>
                <w:color w:val="0D0D0D" w:themeColor="text1" w:themeTint="F2"/>
                <w14:textFill>
                  <w14:solidFill>
                    <w14:schemeClr w14:val="tx1">
                      <w14:lumMod w14:val="95000"/>
                      <w14:lumOff w14:val="5000"/>
                    </w14:schemeClr>
                  </w14:solidFill>
                </w14:textFill>
              </w:rPr>
              <w:t>。</w:t>
            </w:r>
            <w:r>
              <w:rPr>
                <w:rFonts w:hint="eastAsia" w:ascii="宋体" w:hAnsi="宋体" w:cs="宋体"/>
                <w:color w:val="0D0D0D" w:themeColor="text1" w:themeTint="F2"/>
                <w14:textFill>
                  <w14:solidFill>
                    <w14:schemeClr w14:val="tx1">
                      <w14:lumMod w14:val="95000"/>
                      <w14:lumOff w14:val="5000"/>
                    </w14:schemeClr>
                  </w14:solidFill>
                </w14:textFill>
              </w:rPr>
              <w:t>钻井液体系及用</w:t>
            </w:r>
            <w:r>
              <w:rPr>
                <w:rStyle w:val="60"/>
                <w:rFonts w:hint="eastAsia"/>
                <w:color w:val="0D0D0D" w:themeColor="text1" w:themeTint="F2"/>
                <w14:textFill>
                  <w14:solidFill>
                    <w14:schemeClr w14:val="tx1">
                      <w14:lumMod w14:val="95000"/>
                      <w14:lumOff w14:val="5000"/>
                    </w14:schemeClr>
                  </w14:solidFill>
                </w14:textFill>
              </w:rPr>
              <w:t>量见</w:t>
            </w:r>
            <w:r>
              <w:rPr>
                <w:rStyle w:val="60"/>
                <w:rFonts w:hint="eastAsia"/>
                <w:color w:val="0D0D0D" w:themeColor="text1" w:themeTint="F2"/>
                <w14:textFill>
                  <w14:solidFill>
                    <w14:schemeClr w14:val="tx1">
                      <w14:lumMod w14:val="95000"/>
                      <w14:lumOff w14:val="5000"/>
                    </w14:schemeClr>
                  </w14:solidFill>
                </w14:textFill>
              </w:rPr>
              <w:fldChar w:fldCharType="begin"/>
            </w:r>
            <w:r>
              <w:rPr>
                <w:rStyle w:val="60"/>
                <w:rFonts w:hint="eastAsia"/>
                <w:color w:val="0D0D0D" w:themeColor="text1" w:themeTint="F2"/>
                <w14:textFill>
                  <w14:solidFill>
                    <w14:schemeClr w14:val="tx1">
                      <w14:lumMod w14:val="95000"/>
                      <w14:lumOff w14:val="5000"/>
                    </w14:schemeClr>
                  </w14:solidFill>
                </w14:textFill>
              </w:rPr>
              <w:instrText xml:space="preserve"> REF _Ref206149627 \h  \* MERGEFORMAT </w:instrText>
            </w:r>
            <w:r>
              <w:rPr>
                <w:rStyle w:val="60"/>
                <w:rFonts w:hint="eastAsia"/>
                <w:color w:val="0D0D0D" w:themeColor="text1" w:themeTint="F2"/>
                <w14:textFill>
                  <w14:solidFill>
                    <w14:schemeClr w14:val="tx1">
                      <w14:lumMod w14:val="95000"/>
                      <w14:lumOff w14:val="5000"/>
                    </w14:schemeClr>
                  </w14:solidFill>
                </w14:textFill>
              </w:rPr>
              <w:fldChar w:fldCharType="separate"/>
            </w:r>
            <w:r>
              <w:rPr>
                <w:rStyle w:val="60"/>
              </w:rPr>
              <w:t>表10</w:t>
            </w:r>
            <w:r>
              <w:rPr>
                <w:rStyle w:val="60"/>
                <w:rFonts w:hint="eastAsia"/>
                <w:color w:val="0D0D0D" w:themeColor="text1" w:themeTint="F2"/>
                <w14:textFill>
                  <w14:solidFill>
                    <w14:schemeClr w14:val="tx1">
                      <w14:lumMod w14:val="95000"/>
                      <w14:lumOff w14:val="5000"/>
                    </w14:schemeClr>
                  </w14:solidFill>
                </w14:textFill>
              </w:rPr>
              <w:fldChar w:fldCharType="end"/>
            </w:r>
            <w:r>
              <w:rPr>
                <w:rStyle w:val="60"/>
                <w:rFonts w:hint="eastAsia"/>
                <w:color w:val="0D0D0D" w:themeColor="text1" w:themeTint="F2"/>
                <w14:textFill>
                  <w14:solidFill>
                    <w14:schemeClr w14:val="tx1">
                      <w14:lumMod w14:val="95000"/>
                      <w14:lumOff w14:val="5000"/>
                    </w14:schemeClr>
                  </w14:solidFill>
                </w14:textFill>
              </w:rPr>
              <w:t>。</w:t>
            </w:r>
          </w:p>
          <w:bookmarkEnd w:id="35"/>
          <w:bookmarkEnd w:id="36"/>
          <w:p w14:paraId="2BDB0881">
            <w:pPr>
              <w:snapToGrid w:val="0"/>
              <w:spacing w:line="500" w:lineRule="exact"/>
              <w:jc w:val="cente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pPr>
            <w:bookmarkStart w:id="38" w:name="_Ref206149627"/>
            <w:bookmarkStart w:id="39" w:name="_Hlk176173812"/>
            <w: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t>表</w:t>
            </w:r>
            <w: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fldChar w:fldCharType="begin"/>
            </w:r>
            <w: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instrText xml:space="preserve"> SEQ 表 \* ARABIC </w:instrText>
            </w:r>
            <w: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fldChar w:fldCharType="separate"/>
            </w:r>
            <w: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t>10</w:t>
            </w:r>
            <w: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fldChar w:fldCharType="end"/>
            </w:r>
            <w:bookmarkEnd w:id="38"/>
            <w: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t xml:space="preserve">    钻井液用量表</w:t>
            </w:r>
          </w:p>
          <w:bookmarkEnd w:id="37"/>
          <w:bookmarkEnd w:id="39"/>
          <w:tbl>
            <w:tblPr>
              <w:tblStyle w:val="2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703"/>
              <w:gridCol w:w="1243"/>
              <w:gridCol w:w="963"/>
              <w:gridCol w:w="1654"/>
              <w:gridCol w:w="1793"/>
              <w:gridCol w:w="1040"/>
            </w:tblGrid>
            <w:tr w14:paraId="7929F6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6" w:type="pct"/>
                  <w:vAlign w:val="center"/>
                </w:tcPr>
                <w:p w14:paraId="0CE2125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井号</w:t>
                  </w:r>
                </w:p>
              </w:tc>
              <w:tc>
                <w:tcPr>
                  <w:tcW w:w="840" w:type="pct"/>
                  <w:vAlign w:val="center"/>
                </w:tcPr>
                <w:p w14:paraId="57E7109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钻井液性质</w:t>
                  </w:r>
                </w:p>
              </w:tc>
              <w:tc>
                <w:tcPr>
                  <w:tcW w:w="651" w:type="pct"/>
                  <w:vAlign w:val="center"/>
                </w:tcPr>
                <w:p w14:paraId="5673468B">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开钻次序</w:t>
                  </w:r>
                </w:p>
              </w:tc>
              <w:tc>
                <w:tcPr>
                  <w:tcW w:w="1118" w:type="pct"/>
                  <w:vAlign w:val="center"/>
                </w:tcPr>
                <w:p w14:paraId="1F66215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钻井液体系</w:t>
                  </w:r>
                </w:p>
              </w:tc>
              <w:tc>
                <w:tcPr>
                  <w:tcW w:w="1212" w:type="pct"/>
                  <w:tcBorders>
                    <w:bottom w:val="single" w:color="auto" w:sz="4" w:space="0"/>
                  </w:tcBorders>
                  <w:vAlign w:val="center"/>
                </w:tcPr>
                <w:p w14:paraId="2C1A784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钻井液用量（m</w:t>
                  </w:r>
                  <w:r>
                    <w:rPr>
                      <w:rFonts w:hint="eastAsia"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703" w:type="pct"/>
                  <w:tcBorders>
                    <w:bottom w:val="single" w:color="auto" w:sz="4" w:space="0"/>
                  </w:tcBorders>
                  <w:vAlign w:val="center"/>
                </w:tcPr>
                <w:p w14:paraId="0E84011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合计（m</w:t>
                  </w:r>
                  <w:r>
                    <w:rPr>
                      <w:rFonts w:hint="eastAsia"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tr w14:paraId="514FFD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6" w:type="pct"/>
                  <w:vMerge w:val="restart"/>
                  <w:vAlign w:val="center"/>
                </w:tcPr>
                <w:p w14:paraId="59F068A1">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曙探1井</w:t>
                  </w:r>
                </w:p>
              </w:tc>
              <w:tc>
                <w:tcPr>
                  <w:tcW w:w="840" w:type="pct"/>
                  <w:vAlign w:val="center"/>
                </w:tcPr>
                <w:p w14:paraId="76EADB8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水基钻井液</w:t>
                  </w:r>
                </w:p>
              </w:tc>
              <w:tc>
                <w:tcPr>
                  <w:tcW w:w="651" w:type="pct"/>
                  <w:vAlign w:val="center"/>
                </w:tcPr>
                <w:p w14:paraId="2AF3B6B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一开</w:t>
                  </w:r>
                </w:p>
              </w:tc>
              <w:tc>
                <w:tcPr>
                  <w:tcW w:w="1118" w:type="pct"/>
                  <w:vAlign w:val="center"/>
                </w:tcPr>
                <w:p w14:paraId="62B6203D">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坂土-CMC</w:t>
                  </w:r>
                </w:p>
              </w:tc>
              <w:tc>
                <w:tcPr>
                  <w:tcW w:w="1212" w:type="pct"/>
                  <w:vAlign w:val="center"/>
                </w:tcPr>
                <w:p w14:paraId="7FFFAB1C">
                  <w:pPr>
                    <w:widowControl/>
                    <w:adjustRightInd w:val="0"/>
                    <w:snapToGrid w:val="0"/>
                    <w:spacing w:line="300" w:lineRule="exact"/>
                    <w:jc w:val="center"/>
                    <w:textAlignment w:val="cente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t>810</w:t>
                  </w:r>
                </w:p>
              </w:tc>
              <w:tc>
                <w:tcPr>
                  <w:tcW w:w="703" w:type="pct"/>
                  <w:vAlign w:val="center"/>
                </w:tcPr>
                <w:p w14:paraId="0E54410B">
                  <w:pPr>
                    <w:widowControl/>
                    <w:adjustRightInd w:val="0"/>
                    <w:snapToGrid w:val="0"/>
                    <w:spacing w:line="300" w:lineRule="exact"/>
                    <w:jc w:val="center"/>
                    <w:textAlignment w:val="cente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t>810</w:t>
                  </w:r>
                </w:p>
              </w:tc>
            </w:tr>
            <w:tr w14:paraId="7A5558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6" w:type="pct"/>
                  <w:vMerge w:val="continue"/>
                  <w:vAlign w:val="center"/>
                </w:tcPr>
                <w:p w14:paraId="04C904F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840" w:type="pct"/>
                  <w:vMerge w:val="restart"/>
                  <w:vAlign w:val="center"/>
                </w:tcPr>
                <w:p w14:paraId="2ECFF02A">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油基钻井液</w:t>
                  </w:r>
                </w:p>
              </w:tc>
              <w:tc>
                <w:tcPr>
                  <w:tcW w:w="651" w:type="pct"/>
                  <w:vAlign w:val="center"/>
                </w:tcPr>
                <w:p w14:paraId="7A3D47D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二开</w:t>
                  </w:r>
                </w:p>
              </w:tc>
              <w:tc>
                <w:tcPr>
                  <w:tcW w:w="1118" w:type="pct"/>
                  <w:vMerge w:val="restart"/>
                  <w:vAlign w:val="center"/>
                </w:tcPr>
                <w:p w14:paraId="1BF9A8A6">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宋体"/>
                      <w:color w:val="0D0D0D" w:themeColor="text1" w:themeTint="F2"/>
                      <w:sz w:val="21"/>
                      <w:szCs w:val="21"/>
                      <w14:textFill>
                        <w14:solidFill>
                          <w14:schemeClr w14:val="tx1">
                            <w14:lumMod w14:val="95000"/>
                            <w14:lumOff w14:val="5000"/>
                          </w14:schemeClr>
                        </w14:solidFill>
                      </w14:textFill>
                    </w:rPr>
                    <w:t>油基钻井液</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体系</w:t>
                  </w:r>
                </w:p>
              </w:tc>
              <w:tc>
                <w:tcPr>
                  <w:tcW w:w="1212" w:type="pct"/>
                  <w:vAlign w:val="center"/>
                </w:tcPr>
                <w:p w14:paraId="53C79BEE">
                  <w:pPr>
                    <w:widowControl/>
                    <w:adjustRightInd w:val="0"/>
                    <w:snapToGrid w:val="0"/>
                    <w:spacing w:line="300" w:lineRule="exact"/>
                    <w:jc w:val="center"/>
                    <w:textAlignment w:val="cente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t>1029</w:t>
                  </w:r>
                </w:p>
              </w:tc>
              <w:tc>
                <w:tcPr>
                  <w:tcW w:w="703" w:type="pct"/>
                  <w:vMerge w:val="restart"/>
                  <w:vAlign w:val="center"/>
                </w:tcPr>
                <w:p w14:paraId="2BB5D912">
                  <w:pPr>
                    <w:adjustRightInd w:val="0"/>
                    <w:snapToGrid w:val="0"/>
                    <w:spacing w:line="300" w:lineRule="exact"/>
                    <w:jc w:val="center"/>
                    <w:textAlignment w:val="cente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t>2563</w:t>
                  </w:r>
                </w:p>
              </w:tc>
            </w:tr>
            <w:tr w14:paraId="1135E8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6" w:type="pct"/>
                  <w:vMerge w:val="continue"/>
                  <w:vAlign w:val="center"/>
                </w:tcPr>
                <w:p w14:paraId="5CD580A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840" w:type="pct"/>
                  <w:vMerge w:val="continue"/>
                  <w:vAlign w:val="center"/>
                </w:tcPr>
                <w:p w14:paraId="05B69E3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651" w:type="pct"/>
                  <w:vAlign w:val="center"/>
                </w:tcPr>
                <w:p w14:paraId="49E0088E">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三开</w:t>
                  </w:r>
                </w:p>
              </w:tc>
              <w:tc>
                <w:tcPr>
                  <w:tcW w:w="1118" w:type="pct"/>
                  <w:vMerge w:val="continue"/>
                  <w:vAlign w:val="center"/>
                </w:tcPr>
                <w:p w14:paraId="32B51D5B">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212" w:type="pct"/>
                  <w:vAlign w:val="center"/>
                </w:tcPr>
                <w:p w14:paraId="693409DE">
                  <w:pPr>
                    <w:widowControl/>
                    <w:adjustRightInd w:val="0"/>
                    <w:snapToGrid w:val="0"/>
                    <w:spacing w:line="300" w:lineRule="exact"/>
                    <w:jc w:val="center"/>
                    <w:textAlignment w:val="cente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t>667</w:t>
                  </w:r>
                </w:p>
              </w:tc>
              <w:tc>
                <w:tcPr>
                  <w:tcW w:w="703" w:type="pct"/>
                  <w:vMerge w:val="continue"/>
                  <w:vAlign w:val="center"/>
                </w:tcPr>
                <w:p w14:paraId="0C6B7360">
                  <w:pPr>
                    <w:widowControl/>
                    <w:adjustRightInd w:val="0"/>
                    <w:snapToGrid w:val="0"/>
                    <w:spacing w:line="300" w:lineRule="exact"/>
                    <w:jc w:val="center"/>
                    <w:textAlignment w:val="cente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pPr>
                </w:p>
              </w:tc>
            </w:tr>
            <w:tr w14:paraId="6AFDCC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6" w:type="pct"/>
                  <w:vMerge w:val="continue"/>
                  <w:vAlign w:val="center"/>
                </w:tcPr>
                <w:p w14:paraId="475EEB3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840" w:type="pct"/>
                  <w:vMerge w:val="continue"/>
                  <w:vAlign w:val="center"/>
                </w:tcPr>
                <w:p w14:paraId="1F732EC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651" w:type="pct"/>
                  <w:vAlign w:val="center"/>
                </w:tcPr>
                <w:p w14:paraId="20D60A78">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四开</w:t>
                  </w:r>
                </w:p>
              </w:tc>
              <w:tc>
                <w:tcPr>
                  <w:tcW w:w="1118" w:type="pct"/>
                  <w:vMerge w:val="continue"/>
                </w:tcPr>
                <w:p w14:paraId="4E5C5B56">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212" w:type="pct"/>
                  <w:vAlign w:val="center"/>
                </w:tcPr>
                <w:p w14:paraId="4828BF7E">
                  <w:pPr>
                    <w:widowControl/>
                    <w:adjustRightInd w:val="0"/>
                    <w:snapToGrid w:val="0"/>
                    <w:spacing w:line="300" w:lineRule="exact"/>
                    <w:jc w:val="center"/>
                    <w:textAlignment w:val="cente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t>572</w:t>
                  </w:r>
                </w:p>
              </w:tc>
              <w:tc>
                <w:tcPr>
                  <w:tcW w:w="703" w:type="pct"/>
                  <w:vMerge w:val="continue"/>
                  <w:vAlign w:val="center"/>
                </w:tcPr>
                <w:p w14:paraId="5E472907">
                  <w:pPr>
                    <w:widowControl/>
                    <w:adjustRightInd w:val="0"/>
                    <w:snapToGrid w:val="0"/>
                    <w:spacing w:line="300" w:lineRule="exact"/>
                    <w:jc w:val="center"/>
                    <w:textAlignment w:val="cente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pPr>
                </w:p>
              </w:tc>
            </w:tr>
            <w:tr w14:paraId="70E18A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6" w:type="pct"/>
                  <w:vMerge w:val="continue"/>
                  <w:vAlign w:val="center"/>
                </w:tcPr>
                <w:p w14:paraId="3FE91B2D">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840" w:type="pct"/>
                  <w:vMerge w:val="continue"/>
                  <w:vAlign w:val="center"/>
                </w:tcPr>
                <w:p w14:paraId="6CC4759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651" w:type="pct"/>
                  <w:vAlign w:val="center"/>
                </w:tcPr>
                <w:p w14:paraId="47DF554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五开</w:t>
                  </w:r>
                </w:p>
              </w:tc>
              <w:tc>
                <w:tcPr>
                  <w:tcW w:w="1118" w:type="pct"/>
                  <w:vMerge w:val="continue"/>
                </w:tcPr>
                <w:p w14:paraId="5DD76CB8">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212" w:type="pct"/>
                  <w:vAlign w:val="center"/>
                </w:tcPr>
                <w:p w14:paraId="2C72A636">
                  <w:pPr>
                    <w:widowControl/>
                    <w:adjustRightInd w:val="0"/>
                    <w:snapToGrid w:val="0"/>
                    <w:spacing w:line="300" w:lineRule="exact"/>
                    <w:jc w:val="center"/>
                    <w:textAlignment w:val="cente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t>295</w:t>
                  </w:r>
                </w:p>
              </w:tc>
              <w:tc>
                <w:tcPr>
                  <w:tcW w:w="703" w:type="pct"/>
                  <w:vMerge w:val="continue"/>
                  <w:vAlign w:val="center"/>
                </w:tcPr>
                <w:p w14:paraId="455F3784">
                  <w:pPr>
                    <w:widowControl/>
                    <w:adjustRightInd w:val="0"/>
                    <w:snapToGrid w:val="0"/>
                    <w:spacing w:line="300" w:lineRule="exact"/>
                    <w:jc w:val="center"/>
                    <w:textAlignment w:val="center"/>
                    <w:rPr>
                      <w:rFonts w:hint="eastAsia" w:ascii="宋体" w:hAnsi="宋体" w:cs="宋体"/>
                      <w:color w:val="0D0D0D" w:themeColor="text1" w:themeTint="F2"/>
                      <w:kern w:val="0"/>
                      <w:sz w:val="21"/>
                      <w:szCs w:val="21"/>
                      <w:lang w:bidi="ar"/>
                      <w14:textFill>
                        <w14:solidFill>
                          <w14:schemeClr w14:val="tx1">
                            <w14:lumMod w14:val="95000"/>
                            <w14:lumOff w14:val="5000"/>
                          </w14:schemeClr>
                        </w14:solidFill>
                      </w14:textFill>
                    </w:rPr>
                  </w:pPr>
                </w:p>
              </w:tc>
            </w:tr>
          </w:tbl>
          <w:p w14:paraId="7204D392">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（3）试油工程</w:t>
            </w:r>
          </w:p>
          <w:p w14:paraId="3E35870B">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在钻井施工完毕后对目的层进行试油作业。试油工程主要包括试油准备、储层改造和试油。</w:t>
            </w:r>
          </w:p>
          <w:p w14:paraId="268A8657">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①试油准备</w:t>
            </w:r>
          </w:p>
          <w:p w14:paraId="2B508D2D">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试油准备主要进行通井、洗井和试压工作。通井时用钻杆或油管带通井规下入井内，检查套管是否有影响试油工具通过的弯曲和固体物质等；洗井使用泵注设备，利用洗井液，通过井内管柱内外循环，清除套管壁杂物等；试压用气体或液体介质，对地面流程、井口设备、井下套管等进行耐压程度检验。</w:t>
            </w:r>
          </w:p>
          <w:p w14:paraId="4C44BB75">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②储层改造</w:t>
            </w:r>
          </w:p>
          <w:p w14:paraId="03D8559E">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lang w:bidi="ar"/>
                <w14:textFill>
                  <w14:solidFill>
                    <w14:schemeClr w14:val="tx1">
                      <w14:lumMod w14:val="95000"/>
                      <w14:lumOff w14:val="5000"/>
                    </w14:schemeClr>
                  </w14:solidFill>
                </w14:textFill>
              </w:rPr>
              <w:t>储层改造包括</w:t>
            </w:r>
            <w:bookmarkStart w:id="40" w:name="_Hlk183350774"/>
            <w:r>
              <w:rPr>
                <w:rFonts w:hint="eastAsia" w:ascii="宋体" w:hAnsi="宋体" w:cs="宋体"/>
                <w:color w:val="0D0D0D" w:themeColor="text1" w:themeTint="F2"/>
                <w:lang w:bidi="ar"/>
                <w14:textFill>
                  <w14:solidFill>
                    <w14:schemeClr w14:val="tx1">
                      <w14:lumMod w14:val="95000"/>
                      <w14:lumOff w14:val="5000"/>
                    </w14:schemeClr>
                  </w14:solidFill>
                </w14:textFill>
              </w:rPr>
              <w:t>射孔和压裂两个工序</w:t>
            </w:r>
            <w:bookmarkEnd w:id="40"/>
            <w:r>
              <w:rPr>
                <w:rFonts w:hint="eastAsia" w:ascii="宋体" w:hAnsi="宋体" w:cs="宋体"/>
                <w:color w:val="0D0D0D" w:themeColor="text1" w:themeTint="F2"/>
                <w:lang w:bidi="ar"/>
                <w14:textFill>
                  <w14:solidFill>
                    <w14:schemeClr w14:val="tx1">
                      <w14:lumMod w14:val="95000"/>
                      <w14:lumOff w14:val="5000"/>
                    </w14:schemeClr>
                  </w14:solidFill>
                </w14:textFill>
              </w:rPr>
              <w:t>。</w:t>
            </w:r>
            <w:bookmarkStart w:id="41" w:name="_Hlk183352914"/>
            <w:bookmarkStart w:id="42" w:name="OLE_LINK6"/>
            <w:r>
              <w:rPr>
                <w:rFonts w:hint="eastAsia" w:ascii="宋体" w:hAnsi="宋体" w:cs="宋体"/>
                <w:color w:val="0D0D0D" w:themeColor="text1" w:themeTint="F2"/>
                <w:lang w:bidi="ar"/>
                <w14:textFill>
                  <w14:solidFill>
                    <w14:schemeClr w14:val="tx1">
                      <w14:lumMod w14:val="95000"/>
                      <w14:lumOff w14:val="5000"/>
                    </w14:schemeClr>
                  </w14:solidFill>
                </w14:textFill>
              </w:rPr>
              <w:t>射孔时利用专用设备和射孔枪，对套管和井壁进行射孔，建立地层与井筒之间的通道</w:t>
            </w:r>
            <w:bookmarkEnd w:id="41"/>
            <w:r>
              <w:rPr>
                <w:rFonts w:hint="eastAsia" w:ascii="宋体" w:hAnsi="宋体" w:cs="宋体"/>
                <w:color w:val="0D0D0D" w:themeColor="text1" w:themeTint="F2"/>
                <w:lang w:bidi="ar"/>
                <w14:textFill>
                  <w14:solidFill>
                    <w14:schemeClr w14:val="tx1">
                      <w14:lumMod w14:val="95000"/>
                      <w14:lumOff w14:val="5000"/>
                    </w14:schemeClr>
                  </w14:solidFill>
                </w14:textFill>
              </w:rPr>
              <w:t>；压裂时用泵车将压裂液挤入油层</w:t>
            </w:r>
            <w:bookmarkEnd w:id="42"/>
            <w:r>
              <w:rPr>
                <w:rFonts w:hint="eastAsia" w:ascii="宋体" w:hAnsi="宋体" w:cs="宋体"/>
                <w:color w:val="0D0D0D" w:themeColor="text1" w:themeTint="F2"/>
                <w:lang w:bidi="ar"/>
                <w14:textFill>
                  <w14:solidFill>
                    <w14:schemeClr w14:val="tx1">
                      <w14:lumMod w14:val="95000"/>
                      <w14:lumOff w14:val="5000"/>
                    </w14:schemeClr>
                  </w14:solidFill>
                </w14:textFill>
              </w:rPr>
              <w:t>，当把油层压出许多裂缝后加入支撑剂（如石英砂等），使其充填进裂缝，可有效提高油气层的渗透能力等操作。本项目试油期压裂液使用量为800m</w:t>
            </w:r>
            <w:r>
              <w:rPr>
                <w:rFonts w:hint="eastAsia" w:ascii="宋体" w:hAnsi="宋体" w:cs="宋体"/>
                <w:color w:val="0D0D0D" w:themeColor="text1" w:themeTint="F2"/>
                <w:vertAlign w:val="superscript"/>
                <w:lang w:bidi="ar"/>
                <w14:textFill>
                  <w14:solidFill>
                    <w14:schemeClr w14:val="tx1">
                      <w14:lumMod w14:val="95000"/>
                      <w14:lumOff w14:val="5000"/>
                    </w14:schemeClr>
                  </w14:solidFill>
                </w14:textFill>
              </w:rPr>
              <w:t>3</w:t>
            </w:r>
            <w:r>
              <w:rPr>
                <w:rFonts w:hint="eastAsia" w:ascii="宋体" w:hAnsi="宋体" w:cs="宋体"/>
                <w:color w:val="0D0D0D" w:themeColor="text1" w:themeTint="F2"/>
                <w:lang w:bidi="ar"/>
                <w14:textFill>
                  <w14:solidFill>
                    <w14:schemeClr w14:val="tx1">
                      <w14:lumMod w14:val="95000"/>
                      <w14:lumOff w14:val="5000"/>
                    </w14:schemeClr>
                  </w14:solidFill>
                </w14:textFill>
              </w:rPr>
              <w:t>，压裂设备详见</w:t>
            </w:r>
            <w:r>
              <w:rPr>
                <w:rFonts w:hint="eastAsia" w:ascii="宋体" w:hAnsi="宋体" w:cs="宋体"/>
                <w:color w:val="0D0D0D" w:themeColor="text1" w:themeTint="F2"/>
                <w:lang w:bidi="ar"/>
                <w14:textFill>
                  <w14:solidFill>
                    <w14:schemeClr w14:val="tx1">
                      <w14:lumMod w14:val="95000"/>
                      <w14:lumOff w14:val="5000"/>
                    </w14:schemeClr>
                  </w14:solidFill>
                </w14:textFill>
              </w:rPr>
              <w:fldChar w:fldCharType="begin"/>
            </w:r>
            <w:r>
              <w:rPr>
                <w:rFonts w:hint="eastAsia" w:ascii="宋体" w:hAnsi="宋体" w:cs="宋体"/>
                <w:color w:val="0D0D0D" w:themeColor="text1" w:themeTint="F2"/>
                <w:lang w:bidi="ar"/>
                <w14:textFill>
                  <w14:solidFill>
                    <w14:schemeClr w14:val="tx1">
                      <w14:lumMod w14:val="95000"/>
                      <w14:lumOff w14:val="5000"/>
                    </w14:schemeClr>
                  </w14:solidFill>
                </w14:textFill>
              </w:rPr>
              <w:instrText xml:space="preserve"> REF _Ref206149791 \h </w:instrText>
            </w:r>
            <w:r>
              <w:rPr>
                <w:rFonts w:hint="eastAsia" w:ascii="宋体" w:hAnsi="宋体" w:cs="宋体"/>
                <w:color w:val="0D0D0D" w:themeColor="text1" w:themeTint="F2"/>
                <w:lang w:bidi="ar"/>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表11</w:t>
            </w:r>
            <w:r>
              <w:rPr>
                <w:rFonts w:hint="eastAsia" w:ascii="宋体" w:hAnsi="宋体" w:cs="宋体"/>
                <w:color w:val="0D0D0D" w:themeColor="text1" w:themeTint="F2"/>
                <w:lang w:bidi="ar"/>
                <w14:textFill>
                  <w14:solidFill>
                    <w14:schemeClr w14:val="tx1">
                      <w14:lumMod w14:val="95000"/>
                      <w14:lumOff w14:val="5000"/>
                    </w14:schemeClr>
                  </w14:solidFill>
                </w14:textFill>
              </w:rPr>
              <w:fldChar w:fldCharType="end"/>
            </w:r>
            <w:r>
              <w:rPr>
                <w:rFonts w:hint="eastAsia" w:ascii="宋体" w:hAnsi="宋体" w:cs="宋体"/>
                <w:color w:val="0D0D0D" w:themeColor="text1" w:themeTint="F2"/>
                <w:lang w:bidi="ar"/>
                <w14:textFill>
                  <w14:solidFill>
                    <w14:schemeClr w14:val="tx1">
                      <w14:lumMod w14:val="95000"/>
                      <w14:lumOff w14:val="5000"/>
                    </w14:schemeClr>
                  </w14:solidFill>
                </w14:textFill>
              </w:rPr>
              <w:t>。</w:t>
            </w:r>
          </w:p>
          <w:p w14:paraId="64C9EEE2">
            <w:pPr>
              <w:pStyle w:val="8"/>
              <w:rPr>
                <w:rFonts w:hint="eastAsia"/>
                <w:color w:val="0D0D0D" w:themeColor="text1" w:themeTint="F2"/>
                <w14:textFill>
                  <w14:solidFill>
                    <w14:schemeClr w14:val="tx1">
                      <w14:lumMod w14:val="95000"/>
                      <w14:lumOff w14:val="5000"/>
                    </w14:schemeClr>
                  </w14:solidFill>
                </w14:textFill>
              </w:rPr>
            </w:pPr>
            <w:bookmarkStart w:id="43" w:name="_Ref206149791"/>
            <w:r>
              <w:rPr>
                <w:rFonts w:hint="eastAsia"/>
                <w:color w:val="0D0D0D" w:themeColor="text1" w:themeTint="F2"/>
                <w14:textFill>
                  <w14:solidFill>
                    <w14:schemeClr w14:val="tx1">
                      <w14:lumMod w14:val="95000"/>
                      <w14:lumOff w14:val="5000"/>
                    </w14:schemeClr>
                  </w14:solidFill>
                </w14:textFill>
              </w:rPr>
              <w:t>表</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SEQ 表 \* ARABIC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11</w:t>
            </w:r>
            <w:r>
              <w:rPr>
                <w:rFonts w:hint="eastAsia"/>
                <w:color w:val="0D0D0D" w:themeColor="text1" w:themeTint="F2"/>
                <w14:textFill>
                  <w14:solidFill>
                    <w14:schemeClr w14:val="tx1">
                      <w14:lumMod w14:val="95000"/>
                      <w14:lumOff w14:val="5000"/>
                    </w14:schemeClr>
                  </w14:solidFill>
                </w14:textFill>
              </w:rPr>
              <w:fldChar w:fldCharType="end"/>
            </w:r>
            <w:bookmarkEnd w:id="43"/>
            <w:r>
              <w:rPr>
                <w:rFonts w:hint="eastAsia"/>
                <w:color w:val="0D0D0D" w:themeColor="text1" w:themeTint="F2"/>
                <w14:textFill>
                  <w14:solidFill>
                    <w14:schemeClr w14:val="tx1">
                      <w14:lumMod w14:val="95000"/>
                      <w14:lumOff w14:val="5000"/>
                    </w14:schemeClr>
                  </w14:solidFill>
                </w14:textFill>
              </w:rPr>
              <w:t xml:space="preserve">    压裂主要设备</w:t>
            </w:r>
          </w:p>
          <w:tbl>
            <w:tblPr>
              <w:tblStyle w:val="30"/>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2049"/>
              <w:gridCol w:w="1791"/>
              <w:gridCol w:w="2417"/>
            </w:tblGrid>
            <w:tr w14:paraId="186142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0" w:type="pct"/>
                  <w:vAlign w:val="center"/>
                </w:tcPr>
                <w:p w14:paraId="050FF6B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阶段</w:t>
                  </w:r>
                </w:p>
              </w:tc>
              <w:tc>
                <w:tcPr>
                  <w:tcW w:w="1385" w:type="pct"/>
                  <w:vAlign w:val="center"/>
                </w:tcPr>
                <w:p w14:paraId="50796DE0">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设备名称</w:t>
                  </w:r>
                </w:p>
              </w:tc>
              <w:tc>
                <w:tcPr>
                  <w:tcW w:w="1211" w:type="pct"/>
                  <w:vAlign w:val="center"/>
                </w:tcPr>
                <w:p w14:paraId="5D791393">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主要型号</w:t>
                  </w:r>
                </w:p>
              </w:tc>
              <w:tc>
                <w:tcPr>
                  <w:tcW w:w="1634" w:type="pct"/>
                  <w:vAlign w:val="center"/>
                </w:tcPr>
                <w:p w14:paraId="08F0C925">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数量（台/座）</w:t>
                  </w:r>
                </w:p>
              </w:tc>
            </w:tr>
            <w:tr w14:paraId="6337F8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0" w:type="pct"/>
                  <w:vMerge w:val="restart"/>
                  <w:vAlign w:val="center"/>
                </w:tcPr>
                <w:p w14:paraId="6646823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压裂</w:t>
                  </w:r>
                </w:p>
              </w:tc>
              <w:tc>
                <w:tcPr>
                  <w:tcW w:w="1385" w:type="pct"/>
                  <w:vAlign w:val="center"/>
                </w:tcPr>
                <w:p w14:paraId="39FF573F">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压裂车</w:t>
                  </w:r>
                </w:p>
              </w:tc>
              <w:tc>
                <w:tcPr>
                  <w:tcW w:w="1211" w:type="pct"/>
                  <w:vAlign w:val="center"/>
                </w:tcPr>
                <w:p w14:paraId="13C2D3BF">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w:t>
                  </w:r>
                  <w:r>
                    <w:rPr>
                      <w:color w:val="0D0D0D" w:themeColor="text1" w:themeTint="F2"/>
                      <w14:textFill>
                        <w14:solidFill>
                          <w14:schemeClr w14:val="tx1">
                            <w14:lumMod w14:val="95000"/>
                            <w14:lumOff w14:val="5000"/>
                          </w14:schemeClr>
                        </w14:solidFill>
                      </w14:textFill>
                    </w:rPr>
                    <w:t>500型</w:t>
                  </w:r>
                </w:p>
              </w:tc>
              <w:tc>
                <w:tcPr>
                  <w:tcW w:w="1634" w:type="pct"/>
                  <w:vAlign w:val="center"/>
                </w:tcPr>
                <w:p w14:paraId="34420148">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8</w:t>
                  </w:r>
                </w:p>
              </w:tc>
            </w:tr>
            <w:tr w14:paraId="546897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0" w:type="pct"/>
                  <w:vMerge w:val="continue"/>
                  <w:vAlign w:val="center"/>
                </w:tcPr>
                <w:p w14:paraId="7537D791">
                  <w:pPr>
                    <w:pStyle w:val="42"/>
                    <w:rPr>
                      <w:rFonts w:hint="eastAsia"/>
                      <w:color w:val="0D0D0D" w:themeColor="text1" w:themeTint="F2"/>
                      <w14:textFill>
                        <w14:solidFill>
                          <w14:schemeClr w14:val="tx1">
                            <w14:lumMod w14:val="95000"/>
                            <w14:lumOff w14:val="5000"/>
                          </w14:schemeClr>
                        </w14:solidFill>
                      </w14:textFill>
                    </w:rPr>
                  </w:pPr>
                </w:p>
              </w:tc>
              <w:tc>
                <w:tcPr>
                  <w:tcW w:w="1385" w:type="pct"/>
                  <w:vAlign w:val="center"/>
                </w:tcPr>
                <w:p w14:paraId="7A55C8FD">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混砂车</w:t>
                  </w:r>
                </w:p>
              </w:tc>
              <w:tc>
                <w:tcPr>
                  <w:tcW w:w="1211" w:type="pct"/>
                  <w:vAlign w:val="center"/>
                </w:tcPr>
                <w:p w14:paraId="480C80BB">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p>
              </w:tc>
              <w:tc>
                <w:tcPr>
                  <w:tcW w:w="1634" w:type="pct"/>
                  <w:vAlign w:val="center"/>
                </w:tcPr>
                <w:p w14:paraId="22B3524A">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w:t>
                  </w:r>
                </w:p>
              </w:tc>
            </w:tr>
            <w:tr w14:paraId="4C6F26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0" w:type="pct"/>
                  <w:vMerge w:val="continue"/>
                  <w:vAlign w:val="center"/>
                </w:tcPr>
                <w:p w14:paraId="4B977904">
                  <w:pPr>
                    <w:pStyle w:val="42"/>
                    <w:rPr>
                      <w:rFonts w:hint="eastAsia"/>
                      <w:color w:val="0D0D0D" w:themeColor="text1" w:themeTint="F2"/>
                      <w14:textFill>
                        <w14:solidFill>
                          <w14:schemeClr w14:val="tx1">
                            <w14:lumMod w14:val="95000"/>
                            <w14:lumOff w14:val="5000"/>
                          </w14:schemeClr>
                        </w14:solidFill>
                      </w14:textFill>
                    </w:rPr>
                  </w:pPr>
                </w:p>
              </w:tc>
              <w:tc>
                <w:tcPr>
                  <w:tcW w:w="1385" w:type="pct"/>
                  <w:vAlign w:val="center"/>
                </w:tcPr>
                <w:p w14:paraId="0D0A65F9">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仪表车</w:t>
                  </w:r>
                </w:p>
              </w:tc>
              <w:tc>
                <w:tcPr>
                  <w:tcW w:w="1211" w:type="pct"/>
                  <w:vAlign w:val="center"/>
                </w:tcPr>
                <w:p w14:paraId="62F6BAE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p>
              </w:tc>
              <w:tc>
                <w:tcPr>
                  <w:tcW w:w="1634" w:type="pct"/>
                  <w:vAlign w:val="center"/>
                </w:tcPr>
                <w:p w14:paraId="2E6DFC2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w:t>
                  </w:r>
                </w:p>
              </w:tc>
            </w:tr>
            <w:tr w14:paraId="4D68CF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0" w:type="pct"/>
                  <w:vMerge w:val="continue"/>
                  <w:vAlign w:val="center"/>
                </w:tcPr>
                <w:p w14:paraId="5F2F8C7D">
                  <w:pPr>
                    <w:pStyle w:val="42"/>
                    <w:rPr>
                      <w:rFonts w:hint="eastAsia"/>
                      <w:color w:val="0D0D0D" w:themeColor="text1" w:themeTint="F2"/>
                      <w14:textFill>
                        <w14:solidFill>
                          <w14:schemeClr w14:val="tx1">
                            <w14:lumMod w14:val="95000"/>
                            <w14:lumOff w14:val="5000"/>
                          </w14:schemeClr>
                        </w14:solidFill>
                      </w14:textFill>
                    </w:rPr>
                  </w:pPr>
                </w:p>
              </w:tc>
              <w:tc>
                <w:tcPr>
                  <w:tcW w:w="1385" w:type="pct"/>
                  <w:vAlign w:val="center"/>
                </w:tcPr>
                <w:p w14:paraId="3E2D7C57">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砂罐车</w:t>
                  </w:r>
                </w:p>
              </w:tc>
              <w:tc>
                <w:tcPr>
                  <w:tcW w:w="1211" w:type="pct"/>
                  <w:vAlign w:val="center"/>
                </w:tcPr>
                <w:p w14:paraId="7207E2C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p>
              </w:tc>
              <w:tc>
                <w:tcPr>
                  <w:tcW w:w="1634" w:type="pct"/>
                  <w:vAlign w:val="center"/>
                </w:tcPr>
                <w:p w14:paraId="3393EFF1">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3</w:t>
                  </w:r>
                </w:p>
              </w:tc>
            </w:tr>
            <w:tr w14:paraId="5D881A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0" w:type="pct"/>
                  <w:vMerge w:val="restart"/>
                  <w:vAlign w:val="center"/>
                </w:tcPr>
                <w:p w14:paraId="48FDE66E">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射孔</w:t>
                  </w:r>
                </w:p>
              </w:tc>
              <w:tc>
                <w:tcPr>
                  <w:tcW w:w="1385" w:type="pct"/>
                  <w:vAlign w:val="center"/>
                </w:tcPr>
                <w:p w14:paraId="4F7DE54C">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射孔车</w:t>
                  </w:r>
                </w:p>
              </w:tc>
              <w:tc>
                <w:tcPr>
                  <w:tcW w:w="1211" w:type="pct"/>
                  <w:vAlign w:val="center"/>
                </w:tcPr>
                <w:p w14:paraId="2BD27E8F">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p>
              </w:tc>
              <w:tc>
                <w:tcPr>
                  <w:tcW w:w="1634" w:type="pct"/>
                  <w:vAlign w:val="center"/>
                </w:tcPr>
                <w:p w14:paraId="454E07A5">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w:t>
                  </w:r>
                </w:p>
              </w:tc>
            </w:tr>
            <w:tr w14:paraId="10F5D4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70" w:type="pct"/>
                  <w:vMerge w:val="continue"/>
                  <w:vAlign w:val="center"/>
                </w:tcPr>
                <w:p w14:paraId="49739771">
                  <w:pPr>
                    <w:pStyle w:val="42"/>
                    <w:rPr>
                      <w:rFonts w:hint="eastAsia"/>
                      <w:color w:val="0D0D0D" w:themeColor="text1" w:themeTint="F2"/>
                      <w14:textFill>
                        <w14:solidFill>
                          <w14:schemeClr w14:val="tx1">
                            <w14:lumMod w14:val="95000"/>
                            <w14:lumOff w14:val="5000"/>
                          </w14:schemeClr>
                        </w14:solidFill>
                      </w14:textFill>
                    </w:rPr>
                  </w:pPr>
                </w:p>
              </w:tc>
              <w:tc>
                <w:tcPr>
                  <w:tcW w:w="1385" w:type="pct"/>
                  <w:vAlign w:val="center"/>
                </w:tcPr>
                <w:p w14:paraId="72859FEA">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射孔工具车</w:t>
                  </w:r>
                </w:p>
              </w:tc>
              <w:tc>
                <w:tcPr>
                  <w:tcW w:w="1211" w:type="pct"/>
                  <w:vAlign w:val="center"/>
                </w:tcPr>
                <w:p w14:paraId="0B54DA5C">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p>
              </w:tc>
              <w:tc>
                <w:tcPr>
                  <w:tcW w:w="1634" w:type="pct"/>
                  <w:vAlign w:val="center"/>
                </w:tcPr>
                <w:p w14:paraId="5149A2C2">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w:t>
                  </w:r>
                </w:p>
              </w:tc>
            </w:tr>
          </w:tbl>
          <w:p w14:paraId="5688953E">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③试油</w:t>
            </w:r>
          </w:p>
          <w:p w14:paraId="50D258B1">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储层改造完成后方可进行试油作业，需在井口安装分离器，对获取的地层油、气、水进行取样。采出液进入地面储罐，最终由罐车拉运至采油一厂红山嘴原油处理站处理，伴生气通过地面排气管线充分燃烧后放空。</w:t>
            </w:r>
          </w:p>
          <w:p w14:paraId="30A17118">
            <w:pPr>
              <w:snapToGrid w:val="0"/>
              <w:spacing w:line="500" w:lineRule="exact"/>
              <w:ind w:firstLine="42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drawing>
                <wp:anchor distT="0" distB="0" distL="114935" distR="114935" simplePos="0" relativeHeight="251659264" behindDoc="0" locked="0" layoutInCell="1" allowOverlap="1">
                  <wp:simplePos x="0" y="0"/>
                  <wp:positionH relativeFrom="column">
                    <wp:posOffset>271780</wp:posOffset>
                  </wp:positionH>
                  <wp:positionV relativeFrom="paragraph">
                    <wp:posOffset>365760</wp:posOffset>
                  </wp:positionV>
                  <wp:extent cx="4343400" cy="934085"/>
                  <wp:effectExtent l="0" t="0" r="0" b="0"/>
                  <wp:wrapTopAndBottom/>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9"/>
                          <a:stretch>
                            <a:fillRect/>
                          </a:stretch>
                        </pic:blipFill>
                        <pic:spPr>
                          <a:xfrm>
                            <a:off x="0" y="0"/>
                            <a:ext cx="4343400" cy="934085"/>
                          </a:xfrm>
                          <a:prstGeom prst="rect">
                            <a:avLst/>
                          </a:prstGeom>
                          <a:noFill/>
                          <a:ln w="9525">
                            <a:noFill/>
                          </a:ln>
                        </pic:spPr>
                      </pic:pic>
                    </a:graphicData>
                  </a:graphic>
                </wp:anchor>
              </w:drawing>
            </w:r>
            <w:r>
              <w:rPr>
                <w:rFonts w:hint="eastAsia" w:ascii="宋体" w:hAnsi="宋体" w:cs="宋体"/>
                <w:color w:val="0D0D0D" w:themeColor="text1" w:themeTint="F2"/>
                <w14:textFill>
                  <w14:solidFill>
                    <w14:schemeClr w14:val="tx1">
                      <w14:lumMod w14:val="95000"/>
                      <w14:lumOff w14:val="5000"/>
                    </w14:schemeClr>
                  </w14:solidFill>
                </w14:textFill>
              </w:rPr>
              <w:t>钻井及试油期总体工艺流程见图1。</w:t>
            </w:r>
          </w:p>
          <w:p w14:paraId="3C7C63AF">
            <w:pPr>
              <w:snapToGrid w:val="0"/>
              <w:spacing w:line="500" w:lineRule="exact"/>
              <w:jc w:val="cente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pPr>
            <w: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t>图1  钻试期总体工艺流程和产污环节示意图</w:t>
            </w:r>
          </w:p>
          <w:p w14:paraId="0B0912BC">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（4）完井</w:t>
            </w:r>
          </w:p>
          <w:p w14:paraId="762067D2">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试油作业结束后，若油气产量显示该井具备商业开采价值，则对其进行关井，后期根据油田开发要求转为开采井，转产前应开展产能建设工程环境影响评价。如该井不具备开采价值，则对地面设施进行拆除，对井口按照《废弃井封井回填技术指南（试行）》进行封井作业，撤去所有生产设施，清理、平整井场。</w:t>
            </w:r>
          </w:p>
          <w:p w14:paraId="543BE5F7">
            <w:pPr>
              <w:snapToGrid w:val="0"/>
              <w:spacing w:line="50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r>
              <w:rPr>
                <w:rFonts w:hint="eastAsia" w:ascii="宋体" w:hAnsi="宋体" w:cs="宋体"/>
                <w:b/>
                <w:bCs/>
                <w:color w:val="0D0D0D" w:themeColor="text1" w:themeTint="F2"/>
                <w14:textFill>
                  <w14:solidFill>
                    <w14:schemeClr w14:val="tx1">
                      <w14:lumMod w14:val="95000"/>
                      <w14:lumOff w14:val="5000"/>
                    </w14:schemeClr>
                  </w14:solidFill>
                </w14:textFill>
              </w:rPr>
              <w:t>2、施工周期及组织定员</w:t>
            </w:r>
          </w:p>
          <w:p w14:paraId="18F2062E">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钻井期246天，施工人数35人；试油期180天，施工人数2人</w:t>
            </w:r>
            <w:bookmarkStart w:id="44" w:name="_Hlk143197555"/>
            <w:r>
              <w:rPr>
                <w:rFonts w:hint="eastAsia" w:ascii="宋体" w:hAnsi="宋体" w:cs="宋体"/>
                <w:color w:val="0D0D0D" w:themeColor="text1" w:themeTint="F2"/>
                <w14:textFill>
                  <w14:solidFill>
                    <w14:schemeClr w14:val="tx1">
                      <w14:lumMod w14:val="95000"/>
                      <w14:lumOff w14:val="5000"/>
                    </w14:schemeClr>
                  </w14:solidFill>
                </w14:textFill>
              </w:rPr>
              <w:t>。本项目计划2</w:t>
            </w:r>
            <w:r>
              <w:rPr>
                <w:rFonts w:ascii="宋体" w:hAnsi="宋体" w:cs="宋体"/>
                <w:color w:val="0D0D0D" w:themeColor="text1" w:themeTint="F2"/>
                <w14:textFill>
                  <w14:solidFill>
                    <w14:schemeClr w14:val="tx1">
                      <w14:lumMod w14:val="95000"/>
                      <w14:lumOff w14:val="5000"/>
                    </w14:schemeClr>
                  </w14:solidFill>
                </w14:textFill>
              </w:rPr>
              <w:t>02</w:t>
            </w:r>
            <w:r>
              <w:rPr>
                <w:rFonts w:hint="eastAsia" w:ascii="宋体" w:hAnsi="宋体" w:cs="宋体"/>
                <w:color w:val="0D0D0D" w:themeColor="text1" w:themeTint="F2"/>
                <w14:textFill>
                  <w14:solidFill>
                    <w14:schemeClr w14:val="tx1">
                      <w14:lumMod w14:val="95000"/>
                      <w14:lumOff w14:val="5000"/>
                    </w14:schemeClr>
                  </w14:solidFill>
                </w14:textFill>
              </w:rPr>
              <w:t>6年7月开钻，预计2</w:t>
            </w:r>
            <w:r>
              <w:rPr>
                <w:rFonts w:ascii="宋体" w:hAnsi="宋体" w:cs="宋体"/>
                <w:color w:val="0D0D0D" w:themeColor="text1" w:themeTint="F2"/>
                <w14:textFill>
                  <w14:solidFill>
                    <w14:schemeClr w14:val="tx1">
                      <w14:lumMod w14:val="95000"/>
                      <w14:lumOff w14:val="5000"/>
                    </w14:schemeClr>
                  </w14:solidFill>
                </w14:textFill>
              </w:rPr>
              <w:t>02</w:t>
            </w:r>
            <w:r>
              <w:rPr>
                <w:rFonts w:hint="eastAsia" w:ascii="宋体" w:hAnsi="宋体" w:cs="宋体"/>
                <w:color w:val="0D0D0D" w:themeColor="text1" w:themeTint="F2"/>
                <w14:textFill>
                  <w14:solidFill>
                    <w14:schemeClr w14:val="tx1">
                      <w14:lumMod w14:val="95000"/>
                      <w14:lumOff w14:val="5000"/>
                    </w14:schemeClr>
                  </w14:solidFill>
                </w14:textFill>
              </w:rPr>
              <w:t>7年9月完工。</w:t>
            </w:r>
            <w:bookmarkEnd w:id="44"/>
          </w:p>
          <w:p w14:paraId="17E3D733">
            <w:pPr>
              <w:snapToGrid w:val="0"/>
              <w:spacing w:line="50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r>
              <w:rPr>
                <w:rFonts w:hint="eastAsia" w:ascii="宋体" w:hAnsi="宋体" w:cs="宋体"/>
                <w:b/>
                <w:bCs/>
                <w:color w:val="0D0D0D" w:themeColor="text1" w:themeTint="F2"/>
                <w14:textFill>
                  <w14:solidFill>
                    <w14:schemeClr w14:val="tx1">
                      <w14:lumMod w14:val="95000"/>
                      <w14:lumOff w14:val="5000"/>
                    </w14:schemeClr>
                  </w14:solidFill>
                </w14:textFill>
              </w:rPr>
              <w:t>3、能源物料消耗</w:t>
            </w:r>
          </w:p>
          <w:p w14:paraId="632BD601">
            <w:pPr>
              <w:snapToGrid w:val="0"/>
              <w:spacing w:line="500" w:lineRule="exact"/>
              <w:ind w:firstLine="480" w:firstLineChars="200"/>
              <w:rPr>
                <w:rStyle w:val="60"/>
                <w:rFonts w:hint="eastAsia"/>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施工期间消耗的主要物料及能耗包括：钻井液、压裂液、柴油、新鲜水等，消耗情况</w:t>
            </w:r>
            <w:r>
              <w:rPr>
                <w:rStyle w:val="60"/>
                <w:rFonts w:hint="eastAsia"/>
                <w:color w:val="0D0D0D" w:themeColor="text1" w:themeTint="F2"/>
                <w14:textFill>
                  <w14:solidFill>
                    <w14:schemeClr w14:val="tx1">
                      <w14:lumMod w14:val="95000"/>
                      <w14:lumOff w14:val="5000"/>
                    </w14:schemeClr>
                  </w14:solidFill>
                </w14:textFill>
              </w:rPr>
              <w:t>见</w:t>
            </w:r>
            <w:r>
              <w:rPr>
                <w:rStyle w:val="60"/>
                <w:rFonts w:hint="eastAsia"/>
                <w:color w:val="0D0D0D" w:themeColor="text1" w:themeTint="F2"/>
                <w14:textFill>
                  <w14:solidFill>
                    <w14:schemeClr w14:val="tx1">
                      <w14:lumMod w14:val="95000"/>
                      <w14:lumOff w14:val="5000"/>
                    </w14:schemeClr>
                  </w14:solidFill>
                </w14:textFill>
              </w:rPr>
              <w:fldChar w:fldCharType="begin"/>
            </w:r>
            <w:r>
              <w:rPr>
                <w:rStyle w:val="60"/>
                <w:rFonts w:hint="eastAsia"/>
                <w:color w:val="0D0D0D" w:themeColor="text1" w:themeTint="F2"/>
                <w14:textFill>
                  <w14:solidFill>
                    <w14:schemeClr w14:val="tx1">
                      <w14:lumMod w14:val="95000"/>
                      <w14:lumOff w14:val="5000"/>
                    </w14:schemeClr>
                  </w14:solidFill>
                </w14:textFill>
              </w:rPr>
              <w:instrText xml:space="preserve"> REF _Ref206150207 \h  \* MERGEFORMAT </w:instrText>
            </w:r>
            <w:r>
              <w:rPr>
                <w:rStyle w:val="60"/>
                <w:rFonts w:hint="eastAsia"/>
                <w:color w:val="0D0D0D" w:themeColor="text1" w:themeTint="F2"/>
                <w14:textFill>
                  <w14:solidFill>
                    <w14:schemeClr w14:val="tx1">
                      <w14:lumMod w14:val="95000"/>
                      <w14:lumOff w14:val="5000"/>
                    </w14:schemeClr>
                  </w14:solidFill>
                </w14:textFill>
              </w:rPr>
              <w:fldChar w:fldCharType="separate"/>
            </w:r>
            <w:r>
              <w:rPr>
                <w:rStyle w:val="60"/>
              </w:rPr>
              <w:t>表12</w:t>
            </w:r>
            <w:r>
              <w:rPr>
                <w:rStyle w:val="60"/>
                <w:rFonts w:hint="eastAsia"/>
                <w:color w:val="0D0D0D" w:themeColor="text1" w:themeTint="F2"/>
                <w14:textFill>
                  <w14:solidFill>
                    <w14:schemeClr w14:val="tx1">
                      <w14:lumMod w14:val="95000"/>
                      <w14:lumOff w14:val="5000"/>
                    </w14:schemeClr>
                  </w14:solidFill>
                </w14:textFill>
              </w:rPr>
              <w:fldChar w:fldCharType="end"/>
            </w:r>
            <w:r>
              <w:rPr>
                <w:rStyle w:val="60"/>
                <w:rFonts w:hint="eastAsia"/>
                <w:color w:val="0D0D0D" w:themeColor="text1" w:themeTint="F2"/>
                <w14:textFill>
                  <w14:solidFill>
                    <w14:schemeClr w14:val="tx1">
                      <w14:lumMod w14:val="95000"/>
                      <w14:lumOff w14:val="5000"/>
                    </w14:schemeClr>
                  </w14:solidFill>
                </w14:textFill>
              </w:rPr>
              <w:t>。</w:t>
            </w:r>
            <w:bookmarkStart w:id="45" w:name="_Hlk15400228"/>
          </w:p>
          <w:bookmarkEnd w:id="45"/>
          <w:p w14:paraId="701806B0">
            <w:pPr>
              <w:pStyle w:val="8"/>
              <w:rPr>
                <w:rFonts w:hint="eastAsia"/>
                <w:color w:val="0D0D0D" w:themeColor="text1" w:themeTint="F2"/>
                <w14:textFill>
                  <w14:solidFill>
                    <w14:schemeClr w14:val="tx1">
                      <w14:lumMod w14:val="95000"/>
                      <w14:lumOff w14:val="5000"/>
                    </w14:schemeClr>
                  </w14:solidFill>
                </w14:textFill>
              </w:rPr>
            </w:pPr>
            <w:bookmarkStart w:id="46" w:name="_Ref206150207"/>
            <w:r>
              <w:rPr>
                <w:rFonts w:hint="eastAsia"/>
                <w:color w:val="0D0D0D" w:themeColor="text1" w:themeTint="F2"/>
                <w14:textFill>
                  <w14:solidFill>
                    <w14:schemeClr w14:val="tx1">
                      <w14:lumMod w14:val="95000"/>
                      <w14:lumOff w14:val="5000"/>
                    </w14:schemeClr>
                  </w14:solidFill>
                </w14:textFill>
              </w:rPr>
              <w:t>表</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SEQ 表 \* ARABIC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12</w:t>
            </w:r>
            <w:r>
              <w:rPr>
                <w:rFonts w:hint="eastAsia"/>
                <w:color w:val="0D0D0D" w:themeColor="text1" w:themeTint="F2"/>
                <w14:textFill>
                  <w14:solidFill>
                    <w14:schemeClr w14:val="tx1">
                      <w14:lumMod w14:val="95000"/>
                      <w14:lumOff w14:val="5000"/>
                    </w14:schemeClr>
                  </w14:solidFill>
                </w14:textFill>
              </w:rPr>
              <w:fldChar w:fldCharType="end"/>
            </w:r>
            <w:bookmarkEnd w:id="46"/>
            <w:r>
              <w:rPr>
                <w:rFonts w:hint="eastAsia"/>
                <w:color w:val="0D0D0D" w:themeColor="text1" w:themeTint="F2"/>
                <w14:textFill>
                  <w14:solidFill>
                    <w14:schemeClr w14:val="tx1">
                      <w14:lumMod w14:val="95000"/>
                      <w14:lumOff w14:val="5000"/>
                    </w14:schemeClr>
                  </w14:solidFill>
                </w14:textFill>
              </w:rPr>
              <w:t xml:space="preserve">  </w:t>
            </w:r>
            <w:r>
              <w:rPr>
                <w:rFonts w:hint="eastAsia" w:cs="黑体"/>
                <w:color w:val="0D0D0D" w:themeColor="text1" w:themeTint="F2"/>
                <w14:textFill>
                  <w14:solidFill>
                    <w14:schemeClr w14:val="tx1">
                      <w14:lumMod w14:val="95000"/>
                      <w14:lumOff w14:val="5000"/>
                    </w14:schemeClr>
                  </w14:solidFill>
                </w14:textFill>
              </w:rPr>
              <w:t xml:space="preserve">  </w:t>
            </w:r>
            <w:bookmarkStart w:id="47" w:name="_Hlk208331258"/>
            <w:r>
              <w:rPr>
                <w:rFonts w:hint="eastAsia" w:cs="黑体"/>
                <w:color w:val="0D0D0D" w:themeColor="text1" w:themeTint="F2"/>
                <w14:textFill>
                  <w14:solidFill>
                    <w14:schemeClr w14:val="tx1">
                      <w14:lumMod w14:val="95000"/>
                      <w14:lumOff w14:val="5000"/>
                    </w14:schemeClr>
                  </w14:solidFill>
                </w14:textFill>
              </w:rPr>
              <w:t>施工期主要材料及能源用量一览表</w:t>
            </w:r>
          </w:p>
          <w:tbl>
            <w:tblPr>
              <w:tblStyle w:val="29"/>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656"/>
              <w:gridCol w:w="825"/>
              <w:gridCol w:w="2160"/>
              <w:gridCol w:w="1875"/>
              <w:gridCol w:w="1877"/>
            </w:tblGrid>
            <w:tr w14:paraId="6C6EC5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trPr>
              <w:tc>
                <w:tcPr>
                  <w:tcW w:w="2463" w:type="pct"/>
                  <w:gridSpan w:val="3"/>
                  <w:vAlign w:val="center"/>
                </w:tcPr>
                <w:p w14:paraId="46B0B891">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物料/能源名称</w:t>
                  </w:r>
                </w:p>
              </w:tc>
              <w:tc>
                <w:tcPr>
                  <w:tcW w:w="1268" w:type="pct"/>
                  <w:vAlign w:val="center"/>
                </w:tcPr>
                <w:p w14:paraId="04A564A7">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使用量</w:t>
                  </w:r>
                </w:p>
              </w:tc>
              <w:tc>
                <w:tcPr>
                  <w:tcW w:w="1269" w:type="pct"/>
                  <w:vAlign w:val="center"/>
                </w:tcPr>
                <w:p w14:paraId="58130334">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储存方式</w:t>
                  </w:r>
                </w:p>
              </w:tc>
            </w:tr>
            <w:tr w14:paraId="1DA0B4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444" w:type="pct"/>
                  <w:vMerge w:val="restart"/>
                  <w:vAlign w:val="center"/>
                </w:tcPr>
                <w:p w14:paraId="70AE94E3">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主要材料</w:t>
                  </w:r>
                </w:p>
              </w:tc>
              <w:tc>
                <w:tcPr>
                  <w:tcW w:w="558" w:type="pct"/>
                  <w:vMerge w:val="restart"/>
                  <w:vAlign w:val="center"/>
                </w:tcPr>
                <w:p w14:paraId="7492ACCA">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钻井液</w:t>
                  </w:r>
                </w:p>
              </w:tc>
              <w:tc>
                <w:tcPr>
                  <w:tcW w:w="1461" w:type="pct"/>
                  <w:vAlign w:val="center"/>
                </w:tcPr>
                <w:p w14:paraId="39FBC9FA">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水基钻井液（m</w:t>
                  </w:r>
                  <w:r>
                    <w:rPr>
                      <w:rFonts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268" w:type="pct"/>
                  <w:vAlign w:val="center"/>
                </w:tcPr>
                <w:p w14:paraId="0B805AC2">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810</w:t>
                  </w:r>
                </w:p>
              </w:tc>
              <w:tc>
                <w:tcPr>
                  <w:tcW w:w="1269" w:type="pct"/>
                  <w:vAlign w:val="center"/>
                </w:tcPr>
                <w:p w14:paraId="56267D45">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钻井液罐</w:t>
                  </w:r>
                </w:p>
              </w:tc>
            </w:tr>
            <w:tr w14:paraId="083B30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444" w:type="pct"/>
                  <w:vMerge w:val="continue"/>
                  <w:vAlign w:val="center"/>
                </w:tcPr>
                <w:p w14:paraId="63E98BB5">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558" w:type="pct"/>
                  <w:vMerge w:val="continue"/>
                  <w:vAlign w:val="center"/>
                </w:tcPr>
                <w:p w14:paraId="11A17CB8">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461" w:type="pct"/>
                  <w:vAlign w:val="center"/>
                </w:tcPr>
                <w:p w14:paraId="7B3A49C6">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油基钻井液（m</w:t>
                  </w:r>
                  <w:r>
                    <w:rPr>
                      <w:rFonts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268" w:type="pct"/>
                  <w:vAlign w:val="center"/>
                </w:tcPr>
                <w:p w14:paraId="062D3435">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2563</w:t>
                  </w:r>
                </w:p>
              </w:tc>
              <w:tc>
                <w:tcPr>
                  <w:tcW w:w="1269" w:type="pct"/>
                  <w:vAlign w:val="center"/>
                </w:tcPr>
                <w:p w14:paraId="0F3891B9">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钻井液罐</w:t>
                  </w:r>
                </w:p>
              </w:tc>
            </w:tr>
            <w:tr w14:paraId="13BB76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444" w:type="pct"/>
                  <w:vMerge w:val="continue"/>
                  <w:vAlign w:val="center"/>
                </w:tcPr>
                <w:p w14:paraId="1309D087">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2019" w:type="pct"/>
                  <w:gridSpan w:val="2"/>
                  <w:vAlign w:val="center"/>
                </w:tcPr>
                <w:p w14:paraId="7A917C91">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压裂液（m</w:t>
                  </w:r>
                  <w:r>
                    <w:rPr>
                      <w:rFonts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268" w:type="pct"/>
                  <w:vAlign w:val="center"/>
                </w:tcPr>
                <w:p w14:paraId="3A64C95A">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800</w:t>
                  </w:r>
                </w:p>
              </w:tc>
              <w:tc>
                <w:tcPr>
                  <w:tcW w:w="1269" w:type="pct"/>
                  <w:vAlign w:val="center"/>
                </w:tcPr>
                <w:p w14:paraId="478D5324">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压裂罐车</w:t>
                  </w:r>
                </w:p>
              </w:tc>
            </w:tr>
            <w:tr w14:paraId="366C4F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444" w:type="pct"/>
                  <w:vMerge w:val="restart"/>
                  <w:vAlign w:val="center"/>
                </w:tcPr>
                <w:p w14:paraId="19CE3CB0">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能源</w:t>
                  </w:r>
                </w:p>
              </w:tc>
              <w:tc>
                <w:tcPr>
                  <w:tcW w:w="558" w:type="pct"/>
                  <w:vMerge w:val="restart"/>
                  <w:vAlign w:val="center"/>
                </w:tcPr>
                <w:p w14:paraId="17FAF692">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新鲜水</w:t>
                  </w:r>
                </w:p>
              </w:tc>
              <w:tc>
                <w:tcPr>
                  <w:tcW w:w="1461" w:type="pct"/>
                  <w:vAlign w:val="center"/>
                </w:tcPr>
                <w:p w14:paraId="11D1EF39">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洗井用水（m</w:t>
                  </w:r>
                  <w:r>
                    <w:rPr>
                      <w:rFonts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268" w:type="pct"/>
                  <w:vAlign w:val="center"/>
                </w:tcPr>
                <w:p w14:paraId="3DD30951">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800</w:t>
                  </w:r>
                </w:p>
              </w:tc>
              <w:tc>
                <w:tcPr>
                  <w:tcW w:w="1269" w:type="pct"/>
                  <w:vAlign w:val="center"/>
                </w:tcPr>
                <w:p w14:paraId="64193753">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储水罐</w:t>
                  </w:r>
                </w:p>
              </w:tc>
            </w:tr>
            <w:tr w14:paraId="076404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444" w:type="pct"/>
                  <w:vMerge w:val="continue"/>
                  <w:vAlign w:val="center"/>
                </w:tcPr>
                <w:p w14:paraId="7429643A">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558" w:type="pct"/>
                  <w:vMerge w:val="continue"/>
                  <w:vAlign w:val="center"/>
                </w:tcPr>
                <w:p w14:paraId="72F6E952">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461" w:type="pct"/>
                  <w:vAlign w:val="center"/>
                </w:tcPr>
                <w:p w14:paraId="0561F07E">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生活用水（m</w:t>
                  </w:r>
                  <w:r>
                    <w:rPr>
                      <w:rFonts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268" w:type="pct"/>
                  <w:vAlign w:val="center"/>
                </w:tcPr>
                <w:p w14:paraId="1953D570">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182</w:t>
                  </w:r>
                </w:p>
              </w:tc>
              <w:tc>
                <w:tcPr>
                  <w:tcW w:w="1269" w:type="pct"/>
                  <w:vAlign w:val="center"/>
                </w:tcPr>
                <w:p w14:paraId="402FDDFD">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储水罐</w:t>
                  </w:r>
                </w:p>
              </w:tc>
            </w:tr>
            <w:tr w14:paraId="7CE803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444" w:type="pct"/>
                  <w:vMerge w:val="continue"/>
                  <w:vAlign w:val="center"/>
                </w:tcPr>
                <w:p w14:paraId="230DC1A6">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2019" w:type="pct"/>
                  <w:gridSpan w:val="2"/>
                  <w:vAlign w:val="center"/>
                </w:tcPr>
                <w:p w14:paraId="61CACFA6">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柴油（t）</w:t>
                  </w:r>
                </w:p>
              </w:tc>
              <w:tc>
                <w:tcPr>
                  <w:tcW w:w="1268" w:type="pct"/>
                  <w:vAlign w:val="center"/>
                </w:tcPr>
                <w:p w14:paraId="3C8D050C">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1736</w:t>
                  </w:r>
                </w:p>
              </w:tc>
              <w:tc>
                <w:tcPr>
                  <w:tcW w:w="1269" w:type="pct"/>
                  <w:vAlign w:val="center"/>
                </w:tcPr>
                <w:p w14:paraId="09076CDD">
                  <w:pPr>
                    <w:snapToGrid w:val="0"/>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柴油储罐</w:t>
                  </w:r>
                </w:p>
              </w:tc>
            </w:tr>
            <w:tr w14:paraId="34582B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5000" w:type="pct"/>
                  <w:gridSpan w:val="5"/>
                  <w:vAlign w:val="center"/>
                </w:tcPr>
                <w:p w14:paraId="6BC9B601">
                  <w:pPr>
                    <w:snapToGrid w:val="0"/>
                    <w:spacing w:line="300" w:lineRule="exact"/>
                    <w:jc w:val="lef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压裂液主要成分为羟丙基胍胶、氯化钾及过硫酸钠等详细成分涉及商业秘密，不宜公开。</w:t>
                  </w:r>
                </w:p>
              </w:tc>
            </w:tr>
            <w:bookmarkEnd w:id="47"/>
          </w:tbl>
          <w:p w14:paraId="3D4FA1C6">
            <w:pPr>
              <w:pStyle w:val="38"/>
              <w:ind w:firstLine="480"/>
              <w:rPr>
                <w:rFonts w:hint="eastAsia"/>
                <w:color w:val="0D0D0D" w:themeColor="text1" w:themeTint="F2"/>
                <w14:textFill>
                  <w14:solidFill>
                    <w14:schemeClr w14:val="tx1">
                      <w14:lumMod w14:val="95000"/>
                      <w14:lumOff w14:val="5000"/>
                    </w14:schemeClr>
                  </w14:solidFill>
                </w14:textFill>
              </w:rPr>
            </w:pPr>
          </w:p>
        </w:tc>
      </w:tr>
      <w:tr w14:paraId="6B66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0" w:hRule="atLeast"/>
        </w:trPr>
        <w:tc>
          <w:tcPr>
            <w:tcW w:w="698" w:type="dxa"/>
            <w:vAlign w:val="center"/>
          </w:tcPr>
          <w:p w14:paraId="54F99A08">
            <w:pPr>
              <w:snapToGrid w:val="0"/>
              <w:spacing w:line="5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其他</w:t>
            </w:r>
          </w:p>
        </w:tc>
        <w:tc>
          <w:tcPr>
            <w:tcW w:w="7824" w:type="dxa"/>
            <w:vAlign w:val="center"/>
          </w:tcPr>
          <w:p w14:paraId="069709FD">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无</w:t>
            </w:r>
          </w:p>
        </w:tc>
      </w:tr>
    </w:tbl>
    <w:p w14:paraId="65389F70">
      <w:pPr>
        <w:pStyle w:val="11"/>
        <w:rPr>
          <w:rFonts w:hint="eastAsia"/>
          <w:color w:val="0D0D0D" w:themeColor="text1" w:themeTint="F2"/>
          <w14:textFill>
            <w14:solidFill>
              <w14:schemeClr w14:val="tx1">
                <w14:lumMod w14:val="95000"/>
                <w14:lumOff w14:val="5000"/>
              </w14:schemeClr>
            </w14:solidFill>
          </w14:textFill>
        </w:rPr>
        <w:sectPr>
          <w:pgSz w:w="11906" w:h="16838"/>
          <w:pgMar w:top="1440" w:right="1800" w:bottom="1440" w:left="1800" w:header="851" w:footer="992" w:gutter="0"/>
          <w:cols w:space="425" w:num="1"/>
          <w:docGrid w:type="lines" w:linePitch="312" w:charSpace="0"/>
        </w:sectPr>
      </w:pPr>
    </w:p>
    <w:p w14:paraId="48496BD2">
      <w:pPr>
        <w:pStyle w:val="2"/>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pPr>
      <w:r>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t>三、生态环境现状、保护目标及评价标准</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3"/>
        <w:gridCol w:w="740"/>
        <w:gridCol w:w="740"/>
        <w:gridCol w:w="739"/>
        <w:gridCol w:w="2367"/>
        <w:gridCol w:w="3571"/>
      </w:tblGrid>
      <w:tr w14:paraId="2306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3" w:type="dxa"/>
            <w:vAlign w:val="center"/>
          </w:tcPr>
          <w:p w14:paraId="43BA32DA">
            <w:pPr>
              <w:snapToGrid w:val="0"/>
              <w:spacing w:line="500" w:lineRule="exact"/>
              <w:jc w:val="center"/>
              <w:rPr>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生态环境现状</w:t>
            </w:r>
          </w:p>
        </w:tc>
        <w:tc>
          <w:tcPr>
            <w:tcW w:w="8157" w:type="dxa"/>
            <w:gridSpan w:val="5"/>
          </w:tcPr>
          <w:p w14:paraId="593DADAF">
            <w:pPr>
              <w:pStyle w:val="1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1、主体功能区规划</w:t>
            </w:r>
          </w:p>
          <w:p w14:paraId="2E3D0045">
            <w:pPr>
              <w:pStyle w:val="11"/>
              <w:ind w:firstLine="480"/>
              <w:rPr>
                <w:rFonts w:hint="eastAsia"/>
                <w:color w:val="0D0D0D" w:themeColor="text1" w:themeTint="F2"/>
                <w14:textFill>
                  <w14:solidFill>
                    <w14:schemeClr w14:val="tx1">
                      <w14:lumMod w14:val="95000"/>
                      <w14:lumOff w14:val="5000"/>
                    </w14:schemeClr>
                  </w14:solidFill>
                </w14:textFill>
              </w:rPr>
            </w:pPr>
            <w:bookmarkStart w:id="48" w:name="_Hlk213891921"/>
            <w:r>
              <w:rPr>
                <w:rFonts w:hint="eastAsia"/>
                <w:b w:val="0"/>
                <w:bCs w:val="0"/>
                <w:color w:val="0D0D0D" w:themeColor="text1" w:themeTint="F2"/>
                <w14:textFill>
                  <w14:solidFill>
                    <w14:schemeClr w14:val="tx1">
                      <w14:lumMod w14:val="95000"/>
                      <w14:lumOff w14:val="5000"/>
                    </w14:schemeClr>
                  </w14:solidFill>
                </w14:textFill>
              </w:rPr>
              <w:t>项目所在地呼图壁县位于《新疆维吾尔自治区主体功能区规划》中国家级重点开发区——天山北坡地区，该区域的功能定位是：我国面向中亚、西亚地区对外开放的陆路交通枢纽和重要门户，全国重要的能源基地，我国进口资源的国际大通道，西北地区重要的国际商贸中心、物流中心和对外合作加工基地，石油天然气化工、煤电、煤化工、机电工业及纺织工业基地。</w:t>
            </w:r>
          </w:p>
          <w:bookmarkEnd w:id="48"/>
          <w:p w14:paraId="75402DE8">
            <w:pPr>
              <w:pStyle w:val="1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2、生态功能区划</w:t>
            </w:r>
          </w:p>
          <w:p w14:paraId="3A2E0B20">
            <w:pPr>
              <w:pStyle w:val="38"/>
              <w:ind w:firstLine="480"/>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根据《新疆生态功能区划简表》，</w:t>
            </w:r>
            <w:r>
              <w:rPr>
                <w:rFonts w:hint="eastAsia"/>
                <w:color w:val="0D0D0D" w:themeColor="text1" w:themeTint="F2"/>
                <w:szCs w:val="21"/>
                <w14:textFill>
                  <w14:solidFill>
                    <w14:schemeClr w14:val="tx1">
                      <w14:lumMod w14:val="95000"/>
                      <w14:lumOff w14:val="5000"/>
                    </w14:schemeClr>
                  </w14:solidFill>
                </w14:textFill>
              </w:rPr>
              <w:t>拟部署井</w:t>
            </w:r>
            <w:r>
              <w:rPr>
                <w:rFonts w:hint="eastAsia"/>
                <w:color w:val="0D0D0D" w:themeColor="text1" w:themeTint="F2"/>
                <w14:textFill>
                  <w14:solidFill>
                    <w14:schemeClr w14:val="tx1">
                      <w14:lumMod w14:val="95000"/>
                      <w14:lumOff w14:val="5000"/>
                    </w14:schemeClr>
                  </w14:solidFill>
                </w14:textFill>
              </w:rPr>
              <w:t>所属生态功能区的主要生</w:t>
            </w:r>
            <w:r>
              <w:rPr>
                <w:rStyle w:val="60"/>
                <w:rFonts w:hint="eastAsia"/>
                <w:color w:val="0D0D0D" w:themeColor="text1" w:themeTint="F2"/>
                <w14:textFill>
                  <w14:solidFill>
                    <w14:schemeClr w14:val="tx1">
                      <w14:lumMod w14:val="95000"/>
                      <w14:lumOff w14:val="5000"/>
                    </w14:schemeClr>
                  </w14:solidFill>
                </w14:textFill>
              </w:rPr>
              <w:t>态服务功能、主要生态环境问题、主要保护目标和主要发展方向等内容详见</w:t>
            </w:r>
            <w:r>
              <w:rPr>
                <w:rStyle w:val="60"/>
                <w:rFonts w:hint="eastAsia"/>
                <w:color w:val="0D0D0D" w:themeColor="text1" w:themeTint="F2"/>
                <w14:textFill>
                  <w14:solidFill>
                    <w14:schemeClr w14:val="tx1">
                      <w14:lumMod w14:val="95000"/>
                      <w14:lumOff w14:val="5000"/>
                    </w14:schemeClr>
                  </w14:solidFill>
                </w14:textFill>
              </w:rPr>
              <w:fldChar w:fldCharType="begin"/>
            </w:r>
            <w:r>
              <w:rPr>
                <w:rStyle w:val="60"/>
                <w:rFonts w:hint="eastAsia"/>
                <w:color w:val="0D0D0D" w:themeColor="text1" w:themeTint="F2"/>
                <w14:textFill>
                  <w14:solidFill>
                    <w14:schemeClr w14:val="tx1">
                      <w14:lumMod w14:val="95000"/>
                      <w14:lumOff w14:val="5000"/>
                    </w14:schemeClr>
                  </w14:solidFill>
                </w14:textFill>
              </w:rPr>
              <w:instrText xml:space="preserve"> REF _Ref206150491 \h  \* MERGEFORMAT </w:instrText>
            </w:r>
            <w:r>
              <w:rPr>
                <w:rStyle w:val="60"/>
                <w:rFonts w:hint="eastAsia"/>
                <w:color w:val="0D0D0D" w:themeColor="text1" w:themeTint="F2"/>
                <w14:textFill>
                  <w14:solidFill>
                    <w14:schemeClr w14:val="tx1">
                      <w14:lumMod w14:val="95000"/>
                      <w14:lumOff w14:val="5000"/>
                    </w14:schemeClr>
                  </w14:solidFill>
                </w14:textFill>
              </w:rPr>
              <w:fldChar w:fldCharType="separate"/>
            </w:r>
            <w:r>
              <w:rPr>
                <w:rStyle w:val="60"/>
              </w:rPr>
              <w:t>表13</w:t>
            </w:r>
            <w:r>
              <w:rPr>
                <w:rStyle w:val="60"/>
                <w:rFonts w:hint="eastAsia"/>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w:t>
            </w:r>
            <w:r>
              <w:rPr>
                <w:rFonts w:hint="eastAsia"/>
                <w:color w:val="0D0D0D" w:themeColor="text1" w:themeTint="F2"/>
                <w:szCs w:val="21"/>
                <w14:textFill>
                  <w14:solidFill>
                    <w14:schemeClr w14:val="tx1">
                      <w14:lumMod w14:val="95000"/>
                      <w14:lumOff w14:val="5000"/>
                    </w14:schemeClr>
                  </w14:solidFill>
                </w14:textFill>
              </w:rPr>
              <w:t>区划图见附图7</w:t>
            </w:r>
            <w:r>
              <w:rPr>
                <w:rFonts w:hint="eastAsia"/>
                <w:color w:val="0D0D0D" w:themeColor="text1" w:themeTint="F2"/>
                <w14:textFill>
                  <w14:solidFill>
                    <w14:schemeClr w14:val="tx1">
                      <w14:lumMod w14:val="95000"/>
                      <w14:lumOff w14:val="5000"/>
                    </w14:schemeClr>
                  </w14:solidFill>
                </w14:textFill>
              </w:rPr>
              <w:t>。</w:t>
            </w:r>
          </w:p>
          <w:p w14:paraId="1FE16DFB">
            <w:pPr>
              <w:pStyle w:val="8"/>
              <w:rPr>
                <w:rFonts w:hint="eastAsia"/>
                <w:color w:val="0D0D0D" w:themeColor="text1" w:themeTint="F2"/>
                <w14:textFill>
                  <w14:solidFill>
                    <w14:schemeClr w14:val="tx1">
                      <w14:lumMod w14:val="95000"/>
                      <w14:lumOff w14:val="5000"/>
                    </w14:schemeClr>
                  </w14:solidFill>
                </w14:textFill>
              </w:rPr>
            </w:pPr>
            <w:bookmarkStart w:id="49" w:name="_Ref206150491"/>
            <w:r>
              <w:rPr>
                <w:rFonts w:hint="eastAsia"/>
                <w:color w:val="0D0D0D" w:themeColor="text1" w:themeTint="F2"/>
                <w14:textFill>
                  <w14:solidFill>
                    <w14:schemeClr w14:val="tx1">
                      <w14:lumMod w14:val="95000"/>
                      <w14:lumOff w14:val="5000"/>
                    </w14:schemeClr>
                  </w14:solidFill>
                </w14:textFill>
              </w:rPr>
              <w:t>表</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SEQ 表 \* ARABIC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13</w:t>
            </w:r>
            <w:r>
              <w:rPr>
                <w:rFonts w:hint="eastAsia"/>
                <w:color w:val="0D0D0D" w:themeColor="text1" w:themeTint="F2"/>
                <w14:textFill>
                  <w14:solidFill>
                    <w14:schemeClr w14:val="tx1">
                      <w14:lumMod w14:val="95000"/>
                      <w14:lumOff w14:val="5000"/>
                    </w14:schemeClr>
                  </w14:solidFill>
                </w14:textFill>
              </w:rPr>
              <w:fldChar w:fldCharType="end"/>
            </w:r>
            <w:bookmarkEnd w:id="49"/>
            <w:r>
              <w:rPr>
                <w:rFonts w:hint="eastAsia"/>
                <w:color w:val="0D0D0D" w:themeColor="text1" w:themeTint="F2"/>
                <w14:textFill>
                  <w14:solidFill>
                    <w14:schemeClr w14:val="tx1">
                      <w14:lumMod w14:val="95000"/>
                      <w14:lumOff w14:val="5000"/>
                    </w14:schemeClr>
                  </w14:solidFill>
                </w14:textFill>
              </w:rPr>
              <w:t xml:space="preserve">   </w:t>
            </w:r>
            <w:bookmarkStart w:id="50" w:name="_Hlk208331975"/>
            <w:r>
              <w:rPr>
                <w:rFonts w:hint="eastAsia"/>
                <w:color w:val="0D0D0D" w:themeColor="text1" w:themeTint="F2"/>
                <w14:textFill>
                  <w14:solidFill>
                    <w14:schemeClr w14:val="tx1">
                      <w14:lumMod w14:val="95000"/>
                      <w14:lumOff w14:val="5000"/>
                    </w14:schemeClr>
                  </w14:solidFill>
                </w14:textFill>
              </w:rPr>
              <w:t xml:space="preserve"> 生态功能区划简表</w:t>
            </w:r>
          </w:p>
          <w:tbl>
            <w:tblPr>
              <w:tblStyle w:val="29"/>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821"/>
              <w:gridCol w:w="1134"/>
              <w:gridCol w:w="6192"/>
            </w:tblGrid>
            <w:tr w14:paraId="5A67BA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340" w:hRule="atLeast"/>
                <w:jc w:val="center"/>
              </w:trPr>
              <w:tc>
                <w:tcPr>
                  <w:tcW w:w="504" w:type="pct"/>
                  <w:vMerge w:val="restart"/>
                  <w:vAlign w:val="center"/>
                </w:tcPr>
                <w:p w14:paraId="2644F7BF">
                  <w:pPr>
                    <w:pStyle w:val="107"/>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生态功能分区单元</w:t>
                  </w:r>
                </w:p>
              </w:tc>
              <w:tc>
                <w:tcPr>
                  <w:tcW w:w="696" w:type="pct"/>
                  <w:vAlign w:val="center"/>
                </w:tcPr>
                <w:p w14:paraId="3EE131C1">
                  <w:pPr>
                    <w:pStyle w:val="107"/>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生态区</w:t>
                  </w:r>
                </w:p>
              </w:tc>
              <w:tc>
                <w:tcPr>
                  <w:tcW w:w="3800" w:type="pct"/>
                  <w:vAlign w:val="center"/>
                </w:tcPr>
                <w:p w14:paraId="603E8B02">
                  <w:pPr>
                    <w:pStyle w:val="107"/>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Ⅱ 准噶尔盆地温性荒漠与绿洲农业生态功能区</w:t>
                  </w:r>
                </w:p>
              </w:tc>
            </w:tr>
            <w:tr w14:paraId="46B57CD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340" w:hRule="atLeast"/>
                <w:jc w:val="center"/>
              </w:trPr>
              <w:tc>
                <w:tcPr>
                  <w:tcW w:w="504" w:type="pct"/>
                  <w:vMerge w:val="continue"/>
                  <w:vAlign w:val="center"/>
                </w:tcPr>
                <w:p w14:paraId="58583A0A">
                  <w:pPr>
                    <w:pStyle w:val="107"/>
                    <w:rPr>
                      <w:rFonts w:hint="eastAsia"/>
                      <w:color w:val="0D0D0D" w:themeColor="text1" w:themeTint="F2"/>
                      <w14:textFill>
                        <w14:solidFill>
                          <w14:schemeClr w14:val="tx1">
                            <w14:lumMod w14:val="95000"/>
                            <w14:lumOff w14:val="5000"/>
                          </w14:schemeClr>
                        </w14:solidFill>
                      </w14:textFill>
                    </w:rPr>
                  </w:pPr>
                </w:p>
              </w:tc>
              <w:tc>
                <w:tcPr>
                  <w:tcW w:w="696" w:type="pct"/>
                  <w:vAlign w:val="center"/>
                </w:tcPr>
                <w:p w14:paraId="4BB784DF">
                  <w:pPr>
                    <w:pStyle w:val="107"/>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生态亚区</w:t>
                  </w:r>
                </w:p>
              </w:tc>
              <w:tc>
                <w:tcPr>
                  <w:tcW w:w="3800" w:type="pct"/>
                  <w:vAlign w:val="center"/>
                </w:tcPr>
                <w:p w14:paraId="5A7146C9">
                  <w:pPr>
                    <w:pStyle w:val="107"/>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Ⅱ</w:t>
                  </w:r>
                  <w:r>
                    <w:rPr>
                      <w:rFonts w:hint="eastAsia"/>
                      <w:color w:val="0D0D0D" w:themeColor="text1" w:themeTint="F2"/>
                      <w:vertAlign w:val="subscript"/>
                      <w14:textFill>
                        <w14:solidFill>
                          <w14:schemeClr w14:val="tx1">
                            <w14:lumMod w14:val="95000"/>
                            <w14:lumOff w14:val="5000"/>
                          </w14:schemeClr>
                        </w14:solidFill>
                      </w14:textFill>
                    </w:rPr>
                    <w:t>5</w:t>
                  </w:r>
                  <w:r>
                    <w:rPr>
                      <w:rFonts w:hint="eastAsia"/>
                      <w:color w:val="0D0D0D" w:themeColor="text1" w:themeTint="F2"/>
                      <w14:textFill>
                        <w14:solidFill>
                          <w14:schemeClr w14:val="tx1">
                            <w14:lumMod w14:val="95000"/>
                            <w14:lumOff w14:val="5000"/>
                          </w14:schemeClr>
                        </w14:solidFill>
                      </w14:textFill>
                    </w:rPr>
                    <w:t xml:space="preserve"> 准噶尔盆地南部荒漠绿洲农业生态亚区</w:t>
                  </w:r>
                </w:p>
              </w:tc>
            </w:tr>
            <w:tr w14:paraId="56664B6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340" w:hRule="atLeast"/>
                <w:jc w:val="center"/>
              </w:trPr>
              <w:tc>
                <w:tcPr>
                  <w:tcW w:w="504" w:type="pct"/>
                  <w:vMerge w:val="continue"/>
                  <w:vAlign w:val="center"/>
                </w:tcPr>
                <w:p w14:paraId="3B8211B4">
                  <w:pPr>
                    <w:pStyle w:val="107"/>
                    <w:rPr>
                      <w:rFonts w:hint="eastAsia"/>
                      <w:color w:val="0D0D0D" w:themeColor="text1" w:themeTint="F2"/>
                      <w14:textFill>
                        <w14:solidFill>
                          <w14:schemeClr w14:val="tx1">
                            <w14:lumMod w14:val="95000"/>
                            <w14:lumOff w14:val="5000"/>
                          </w14:schemeClr>
                        </w14:solidFill>
                      </w14:textFill>
                    </w:rPr>
                  </w:pPr>
                </w:p>
              </w:tc>
              <w:tc>
                <w:tcPr>
                  <w:tcW w:w="696" w:type="pct"/>
                  <w:vAlign w:val="center"/>
                </w:tcPr>
                <w:p w14:paraId="07EDED94">
                  <w:pPr>
                    <w:pStyle w:val="107"/>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生态功能区</w:t>
                  </w:r>
                </w:p>
              </w:tc>
              <w:tc>
                <w:tcPr>
                  <w:tcW w:w="3800" w:type="pct"/>
                  <w:vAlign w:val="center"/>
                </w:tcPr>
                <w:p w14:paraId="4DBFE94F">
                  <w:pPr>
                    <w:pStyle w:val="107"/>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30.天山北坡中段中高山森林、草倒水源涵养及草原牧业生态功能区</w:t>
                  </w:r>
                </w:p>
              </w:tc>
            </w:tr>
            <w:tr w14:paraId="34806BE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340" w:hRule="atLeast"/>
                <w:jc w:val="center"/>
              </w:trPr>
              <w:tc>
                <w:tcPr>
                  <w:tcW w:w="1200" w:type="pct"/>
                  <w:gridSpan w:val="2"/>
                  <w:vAlign w:val="center"/>
                </w:tcPr>
                <w:p w14:paraId="2D685244">
                  <w:pPr>
                    <w:pStyle w:val="107"/>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主要生态服务功能</w:t>
                  </w:r>
                </w:p>
              </w:tc>
              <w:tc>
                <w:tcPr>
                  <w:tcW w:w="3800" w:type="pct"/>
                  <w:vAlign w:val="center"/>
                </w:tcPr>
                <w:p w14:paraId="1628C0FD">
                  <w:pPr>
                    <w:pStyle w:val="107"/>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水源涵养、土壤保持、林畜产品生产、生物多样性维护</w:t>
                  </w:r>
                </w:p>
              </w:tc>
            </w:tr>
            <w:tr w14:paraId="42122DD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340" w:hRule="atLeast"/>
                <w:jc w:val="center"/>
              </w:trPr>
              <w:tc>
                <w:tcPr>
                  <w:tcW w:w="1200" w:type="pct"/>
                  <w:gridSpan w:val="2"/>
                  <w:vAlign w:val="center"/>
                </w:tcPr>
                <w:p w14:paraId="3DB9178C">
                  <w:pPr>
                    <w:pStyle w:val="107"/>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主要生态环境问题</w:t>
                  </w:r>
                </w:p>
              </w:tc>
              <w:tc>
                <w:tcPr>
                  <w:tcW w:w="3800" w:type="pct"/>
                  <w:vAlign w:val="center"/>
                </w:tcPr>
                <w:p w14:paraId="00C93566">
                  <w:pPr>
                    <w:pStyle w:val="107"/>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森林过度呆伐水土流失、旅游造成环境污染与破坏、草地退化</w:t>
                  </w:r>
                </w:p>
              </w:tc>
            </w:tr>
            <w:tr w14:paraId="1BBFB7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340" w:hRule="atLeast"/>
                <w:jc w:val="center"/>
              </w:trPr>
              <w:tc>
                <w:tcPr>
                  <w:tcW w:w="1200" w:type="pct"/>
                  <w:gridSpan w:val="2"/>
                  <w:vAlign w:val="center"/>
                </w:tcPr>
                <w:p w14:paraId="4E76971C">
                  <w:pPr>
                    <w:pStyle w:val="107"/>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生态敏感因子敏感</w:t>
                  </w:r>
                </w:p>
                <w:p w14:paraId="368FDCF9">
                  <w:pPr>
                    <w:pStyle w:val="107"/>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程度</w:t>
                  </w:r>
                </w:p>
              </w:tc>
              <w:tc>
                <w:tcPr>
                  <w:tcW w:w="3800" w:type="pct"/>
                  <w:vAlign w:val="center"/>
                </w:tcPr>
                <w:p w14:paraId="481D0117">
                  <w:pPr>
                    <w:pStyle w:val="107"/>
                    <w:jc w:val="both"/>
                    <w:rPr>
                      <w:rFonts w:hint="eastAsia"/>
                      <w:color w:val="0D0D0D" w:themeColor="text1" w:themeTint="F2"/>
                      <w:szCs w:val="20"/>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生物多样性及其生境极度敏感，土壤侵蚀轻度敏感</w:t>
                  </w:r>
                </w:p>
              </w:tc>
            </w:tr>
            <w:tr w14:paraId="6FBE015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340" w:hRule="atLeast"/>
                <w:jc w:val="center"/>
              </w:trPr>
              <w:tc>
                <w:tcPr>
                  <w:tcW w:w="1200" w:type="pct"/>
                  <w:gridSpan w:val="2"/>
                  <w:vAlign w:val="center"/>
                </w:tcPr>
                <w:p w14:paraId="24FE1B7D">
                  <w:pPr>
                    <w:pStyle w:val="107"/>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主要保护目标</w:t>
                  </w:r>
                </w:p>
              </w:tc>
              <w:tc>
                <w:tcPr>
                  <w:tcW w:w="3800" w:type="pct"/>
                  <w:vAlign w:val="center"/>
                </w:tcPr>
                <w:p w14:paraId="437161B4">
                  <w:pPr>
                    <w:pStyle w:val="107"/>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保护森林与草地、保护水源</w:t>
                  </w:r>
                </w:p>
              </w:tc>
            </w:tr>
            <w:tr w14:paraId="15E32C4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340" w:hRule="atLeast"/>
                <w:jc w:val="center"/>
              </w:trPr>
              <w:tc>
                <w:tcPr>
                  <w:tcW w:w="1200" w:type="pct"/>
                  <w:gridSpan w:val="2"/>
                  <w:vAlign w:val="center"/>
                </w:tcPr>
                <w:p w14:paraId="674572D7">
                  <w:pPr>
                    <w:pStyle w:val="107"/>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主要保护措施</w:t>
                  </w:r>
                </w:p>
              </w:tc>
              <w:tc>
                <w:tcPr>
                  <w:tcW w:w="3800" w:type="pct"/>
                  <w:vAlign w:val="center"/>
                </w:tcPr>
                <w:p w14:paraId="6E538A07">
                  <w:pPr>
                    <w:pStyle w:val="107"/>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禁止呆伐天然林、有计划地实施封山育林减牧或休牧、规范生态旅游</w:t>
                  </w:r>
                </w:p>
              </w:tc>
            </w:tr>
            <w:tr w14:paraId="2B45DA6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340" w:hRule="atLeast"/>
                <w:jc w:val="center"/>
              </w:trPr>
              <w:tc>
                <w:tcPr>
                  <w:tcW w:w="1200" w:type="pct"/>
                  <w:gridSpan w:val="2"/>
                  <w:vAlign w:val="center"/>
                </w:tcPr>
                <w:p w14:paraId="47264B7A">
                  <w:pPr>
                    <w:pStyle w:val="107"/>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szCs w:val="21"/>
                      <w14:textFill>
                        <w14:solidFill>
                          <w14:schemeClr w14:val="tx1">
                            <w14:lumMod w14:val="95000"/>
                            <w14:lumOff w14:val="5000"/>
                          </w14:schemeClr>
                        </w14:solidFill>
                      </w14:textFill>
                    </w:rPr>
                    <w:t>主要发展方向</w:t>
                  </w:r>
                </w:p>
              </w:tc>
              <w:tc>
                <w:tcPr>
                  <w:tcW w:w="3800" w:type="pct"/>
                  <w:vAlign w:val="center"/>
                </w:tcPr>
                <w:p w14:paraId="232A5D31">
                  <w:pPr>
                    <w:pStyle w:val="107"/>
                    <w:jc w:val="both"/>
                    <w:rPr>
                      <w:rFonts w:hint="eastAsia"/>
                      <w:color w:val="0D0D0D" w:themeColor="text1" w:themeTint="F2"/>
                      <w14:textFill>
                        <w14:solidFill>
                          <w14:schemeClr w14:val="tx1">
                            <w14:lumMod w14:val="95000"/>
                            <w14:lumOff w14:val="5000"/>
                          </w14:schemeClr>
                        </w14:solidFill>
                      </w14:textFill>
                    </w:rPr>
                  </w:pPr>
                  <w:r>
                    <w:rPr>
                      <w:rFonts w:hint="eastAsia" w:cs="宋体"/>
                      <w:color w:val="0D0D0D" w:themeColor="text1" w:themeTint="F2"/>
                      <w:szCs w:val="21"/>
                      <w14:textFill>
                        <w14:solidFill>
                          <w14:schemeClr w14:val="tx1">
                            <w14:lumMod w14:val="95000"/>
                            <w14:lumOff w14:val="5000"/>
                          </w14:schemeClr>
                        </w14:solidFill>
                      </w14:textFill>
                    </w:rPr>
                    <w:t>维护森林草原生态系统的自然平衡与永续利用</w:t>
                  </w:r>
                </w:p>
              </w:tc>
            </w:tr>
            <w:bookmarkEnd w:id="50"/>
          </w:tbl>
          <w:p w14:paraId="4C6ADC97">
            <w:pPr>
              <w:pStyle w:val="11"/>
              <w:rPr>
                <w:rFonts w:hint="eastAsia"/>
                <w:color w:val="0D0D0D" w:themeColor="text1" w:themeTint="F2"/>
                <w14:textFill>
                  <w14:solidFill>
                    <w14:schemeClr w14:val="tx1">
                      <w14:lumMod w14:val="95000"/>
                      <w14:lumOff w14:val="5000"/>
                    </w14:schemeClr>
                  </w14:solidFill>
                </w14:textFill>
              </w:rPr>
            </w:pPr>
            <w:bookmarkStart w:id="51" w:name="_Hlk136793903"/>
            <w:r>
              <w:rPr>
                <w:rFonts w:hint="eastAsia"/>
                <w:color w:val="0D0D0D" w:themeColor="text1" w:themeTint="F2"/>
                <w14:textFill>
                  <w14:solidFill>
                    <w14:schemeClr w14:val="tx1">
                      <w14:lumMod w14:val="95000"/>
                      <w14:lumOff w14:val="5000"/>
                    </w14:schemeClr>
                  </w14:solidFill>
                </w14:textFill>
              </w:rPr>
              <w:t>3、生态环境现状</w:t>
            </w:r>
          </w:p>
          <w:bookmarkEnd w:id="51"/>
          <w:p w14:paraId="3A9D7861">
            <w:pPr>
              <w:pStyle w:val="11"/>
              <w:ind w:firstLine="480"/>
              <w:rPr>
                <w:rFonts w:hint="eastAsia"/>
                <w:b w:val="0"/>
                <w:bCs w:val="0"/>
                <w:color w:val="0D0D0D" w:themeColor="text1" w:themeTint="F2"/>
                <w14:textFill>
                  <w14:solidFill>
                    <w14:schemeClr w14:val="tx1">
                      <w14:lumMod w14:val="95000"/>
                      <w14:lumOff w14:val="5000"/>
                    </w14:schemeClr>
                  </w14:solidFill>
                </w14:textFill>
              </w:rPr>
            </w:pPr>
            <w:bookmarkStart w:id="52" w:name="_Hlk208321112"/>
            <w:bookmarkStart w:id="53" w:name="_Hlk208332221"/>
            <w:r>
              <w:rPr>
                <w:rFonts w:hint="eastAsia"/>
                <w:b w:val="0"/>
                <w:bCs w:val="0"/>
                <w:color w:val="0D0D0D" w:themeColor="text1" w:themeTint="F2"/>
                <w14:textFill>
                  <w14:solidFill>
                    <w14:schemeClr w14:val="tx1">
                      <w14:lumMod w14:val="95000"/>
                      <w14:lumOff w14:val="5000"/>
                    </w14:schemeClr>
                  </w14:solidFill>
                </w14:textFill>
              </w:rPr>
              <w:t>（1）植被现状</w:t>
            </w:r>
          </w:p>
          <w:p w14:paraId="461FEDD1">
            <w:pPr>
              <w:pStyle w:val="11"/>
              <w:ind w:firstLine="480"/>
              <w:rPr>
                <w:rFonts w:hint="eastAsia"/>
                <w:b w:val="0"/>
                <w:bCs w:val="0"/>
                <w:color w:val="0D0D0D" w:themeColor="text1" w:themeTint="F2"/>
                <w14:textFill>
                  <w14:solidFill>
                    <w14:schemeClr w14:val="tx1">
                      <w14:lumMod w14:val="95000"/>
                      <w14:lumOff w14:val="5000"/>
                    </w14:schemeClr>
                  </w14:solidFill>
                </w14:textFill>
              </w:rPr>
            </w:pPr>
            <w:bookmarkStart w:id="54" w:name="OLE_LINK456"/>
            <w:bookmarkStart w:id="55" w:name="_Hlk213895831"/>
            <w:bookmarkStart w:id="56" w:name="_Hlk213897860"/>
            <w:r>
              <w:rPr>
                <w:rFonts w:hint="eastAsia"/>
                <w:b w:val="0"/>
                <w:bCs w:val="0"/>
                <w:color w:val="0D0D0D" w:themeColor="text1" w:themeTint="F2"/>
                <w14:textFill>
                  <w14:solidFill>
                    <w14:schemeClr w14:val="tx1">
                      <w14:lumMod w14:val="95000"/>
                      <w14:lumOff w14:val="5000"/>
                    </w14:schemeClr>
                  </w14:solidFill>
                </w14:textFill>
              </w:rPr>
              <w:t>区域植被以蒿类为优势种，项目区主要分布的是博乐绢蒿，是菊科绢蒿属多年生超旱生半灌木，具有较高的营养价值和饲用价值，是蒿类荒漠中的优良牧草。伴生种有</w:t>
            </w:r>
            <w:bookmarkStart w:id="57" w:name="_Hlk91251380"/>
            <w:r>
              <w:rPr>
                <w:rFonts w:hint="eastAsia"/>
                <w:b w:val="0"/>
                <w:bCs w:val="0"/>
                <w:color w:val="0D0D0D" w:themeColor="text1" w:themeTint="F2"/>
                <w14:textFill>
                  <w14:solidFill>
                    <w14:schemeClr w14:val="tx1">
                      <w14:lumMod w14:val="95000"/>
                      <w14:lumOff w14:val="5000"/>
                    </w14:schemeClr>
                  </w14:solidFill>
                </w14:textFill>
              </w:rPr>
              <w:t>木地肤、小蓬、角果藜、猪毛菜，早春有大量的短命类植物</w:t>
            </w:r>
            <w:bookmarkEnd w:id="57"/>
            <w:r>
              <w:rPr>
                <w:rFonts w:hint="eastAsia"/>
                <w:b w:val="0"/>
                <w:bCs w:val="0"/>
                <w:color w:val="0D0D0D" w:themeColor="text1" w:themeTint="F2"/>
                <w14:textFill>
                  <w14:solidFill>
                    <w14:schemeClr w14:val="tx1">
                      <w14:lumMod w14:val="95000"/>
                      <w14:lumOff w14:val="5000"/>
                    </w14:schemeClr>
                  </w14:solidFill>
                </w14:textFill>
              </w:rPr>
              <w:t>，如弯果葫芦巴等植物（来源：《短期封育对博乐绢蒿荒漠群落特征和碳密度的影响》，别尔达吾列提等）</w:t>
            </w:r>
            <w:bookmarkEnd w:id="54"/>
            <w:r>
              <w:rPr>
                <w:rFonts w:hint="eastAsia"/>
                <w:b w:val="0"/>
                <w:bCs w:val="0"/>
                <w:color w:val="0D0D0D" w:themeColor="text1" w:themeTint="F2"/>
                <w14:textFill>
                  <w14:solidFill>
                    <w14:schemeClr w14:val="tx1">
                      <w14:lumMod w14:val="95000"/>
                      <w14:lumOff w14:val="5000"/>
                    </w14:schemeClr>
                  </w14:solidFill>
                </w14:textFill>
              </w:rPr>
              <w:t>，植被盖度约为30%～40%。根据《国家重点保护野生植物名录》（</w:t>
            </w:r>
            <w:r>
              <w:rPr>
                <w:b w:val="0"/>
                <w:bCs w:val="0"/>
                <w:color w:val="0D0D0D" w:themeColor="text1" w:themeTint="F2"/>
                <w14:textFill>
                  <w14:solidFill>
                    <w14:schemeClr w14:val="tx1">
                      <w14:lumMod w14:val="95000"/>
                      <w14:lumOff w14:val="5000"/>
                    </w14:schemeClr>
                  </w14:solidFill>
                </w14:textFill>
              </w:rPr>
              <w:t>2021</w:t>
            </w:r>
            <w:r>
              <w:rPr>
                <w:rFonts w:hint="eastAsia"/>
                <w:b w:val="0"/>
                <w:bCs w:val="0"/>
                <w:color w:val="0D0D0D" w:themeColor="text1" w:themeTint="F2"/>
                <w14:textFill>
                  <w14:solidFill>
                    <w14:schemeClr w14:val="tx1">
                      <w14:lumMod w14:val="95000"/>
                      <w14:lumOff w14:val="5000"/>
                    </w14:schemeClr>
                  </w14:solidFill>
                </w14:textFill>
              </w:rPr>
              <w:t>版）《新疆国家重点保护野生植物名录》（2022年）《新疆维吾尔自治区重点保护野生植物名录》（2024年），据调查评价范围内无国家及自治区级保护植物分布。</w:t>
            </w:r>
            <w:bookmarkEnd w:id="55"/>
          </w:p>
          <w:bookmarkEnd w:id="56"/>
          <w:p w14:paraId="51F336D4">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（2）野生动物现状</w:t>
            </w:r>
          </w:p>
          <w:p w14:paraId="7A8B3CED">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项目区位于山地丘陵带，野生动物</w:t>
            </w:r>
            <w:bookmarkStart w:id="58" w:name="_Hlk138166498"/>
            <w:r>
              <w:rPr>
                <w:rFonts w:hint="eastAsia"/>
                <w:b w:val="0"/>
                <w:bCs w:val="0"/>
                <w:color w:val="0D0D0D" w:themeColor="text1" w:themeTint="F2"/>
                <w14:textFill>
                  <w14:solidFill>
                    <w14:schemeClr w14:val="tx1">
                      <w14:lumMod w14:val="95000"/>
                      <w14:lumOff w14:val="5000"/>
                    </w14:schemeClr>
                  </w14:solidFill>
                </w14:textFill>
              </w:rPr>
              <w:t>有马鹿、野猪、野山羊、麻雀、粉红椋鸟等</w:t>
            </w:r>
            <w:bookmarkEnd w:id="58"/>
            <w:r>
              <w:rPr>
                <w:rFonts w:hint="eastAsia"/>
                <w:b w:val="0"/>
                <w:bCs w:val="0"/>
                <w:color w:val="0D0D0D" w:themeColor="text1" w:themeTint="F2"/>
                <w14:textFill>
                  <w14:solidFill>
                    <w14:schemeClr w14:val="tx1">
                      <w14:lumMod w14:val="95000"/>
                      <w14:lumOff w14:val="5000"/>
                    </w14:schemeClr>
                  </w14:solidFill>
                </w14:textFill>
              </w:rPr>
              <w:t>。本项目临时占地范围内仅分布有一些啮齿类、爬行类的小型动物，根据《国家重点保护野生动物名录》（2021年）《陆生野生动物重要栖息地名录（第一批）》（</w:t>
            </w:r>
            <w:r>
              <w:rPr>
                <w:b w:val="0"/>
                <w:bCs w:val="0"/>
                <w:color w:val="0D0D0D" w:themeColor="text1" w:themeTint="F2"/>
                <w14:textFill>
                  <w14:solidFill>
                    <w14:schemeClr w14:val="tx1">
                      <w14:lumMod w14:val="95000"/>
                      <w14:lumOff w14:val="5000"/>
                    </w14:schemeClr>
                  </w14:solidFill>
                </w14:textFill>
              </w:rPr>
              <w:t>2023</w:t>
            </w:r>
            <w:r>
              <w:rPr>
                <w:rFonts w:hint="eastAsia"/>
                <w:b w:val="0"/>
                <w:bCs w:val="0"/>
                <w:color w:val="0D0D0D" w:themeColor="text1" w:themeTint="F2"/>
                <w14:textFill>
                  <w14:solidFill>
                    <w14:schemeClr w14:val="tx1">
                      <w14:lumMod w14:val="95000"/>
                      <w14:lumOff w14:val="5000"/>
                    </w14:schemeClr>
                  </w14:solidFill>
                </w14:textFill>
              </w:rPr>
              <w:t>年第</w:t>
            </w:r>
            <w:r>
              <w:rPr>
                <w:b w:val="0"/>
                <w:bCs w:val="0"/>
                <w:color w:val="0D0D0D" w:themeColor="text1" w:themeTint="F2"/>
                <w14:textFill>
                  <w14:solidFill>
                    <w14:schemeClr w14:val="tx1">
                      <w14:lumMod w14:val="95000"/>
                      <w14:lumOff w14:val="5000"/>
                    </w14:schemeClr>
                  </w14:solidFill>
                </w14:textFill>
              </w:rPr>
              <w:t>23</w:t>
            </w:r>
            <w:r>
              <w:rPr>
                <w:rFonts w:hint="eastAsia"/>
                <w:b w:val="0"/>
                <w:bCs w:val="0"/>
                <w:color w:val="0D0D0D" w:themeColor="text1" w:themeTint="F2"/>
                <w14:textFill>
                  <w14:solidFill>
                    <w14:schemeClr w14:val="tx1">
                      <w14:lumMod w14:val="95000"/>
                      <w14:lumOff w14:val="5000"/>
                    </w14:schemeClr>
                  </w14:solidFill>
                </w14:textFill>
              </w:rPr>
              <w:t>号）及《新疆国家重点保护野生动物名录》（2021年），现场踏勘期间项目区未发现国家重点保护野生动物及其生境。</w:t>
            </w:r>
            <w:bookmarkEnd w:id="52"/>
          </w:p>
          <w:bookmarkEnd w:id="53"/>
          <w:p w14:paraId="4AAD4F1A">
            <w:pPr>
              <w:pStyle w:val="11"/>
              <w:ind w:firstLine="480"/>
              <w:rPr>
                <w:rFonts w:hint="eastAsia"/>
                <w:b w:val="0"/>
                <w:bCs w:val="0"/>
                <w:color w:val="0D0D0D" w:themeColor="text1" w:themeTint="F2"/>
                <w14:textFill>
                  <w14:solidFill>
                    <w14:schemeClr w14:val="tx1">
                      <w14:lumMod w14:val="95000"/>
                      <w14:lumOff w14:val="5000"/>
                    </w14:schemeClr>
                  </w14:solidFill>
                </w14:textFill>
              </w:rPr>
            </w:pPr>
            <w:bookmarkStart w:id="59" w:name="_Hlk136793978"/>
            <w:r>
              <w:rPr>
                <w:rFonts w:hint="eastAsia"/>
                <w:b w:val="0"/>
                <w:bCs w:val="0"/>
                <w:color w:val="0D0D0D" w:themeColor="text1" w:themeTint="F2"/>
                <w14:textFill>
                  <w14:solidFill>
                    <w14:schemeClr w14:val="tx1">
                      <w14:lumMod w14:val="95000"/>
                      <w14:lumOff w14:val="5000"/>
                    </w14:schemeClr>
                  </w14:solidFill>
                </w14:textFill>
              </w:rPr>
              <w:t>（3）土地利用类型</w:t>
            </w:r>
          </w:p>
          <w:p w14:paraId="75C06DC9">
            <w:pPr>
              <w:pStyle w:val="11"/>
              <w:ind w:firstLine="480"/>
              <w:rPr>
                <w:rFonts w:hint="eastAsia"/>
                <w:b w:val="0"/>
                <w:bCs w:val="0"/>
                <w:color w:val="0D0D0D" w:themeColor="text1" w:themeTint="F2"/>
                <w14:textFill>
                  <w14:solidFill>
                    <w14:schemeClr w14:val="tx1">
                      <w14:lumMod w14:val="95000"/>
                      <w14:lumOff w14:val="5000"/>
                    </w14:schemeClr>
                  </w14:solidFill>
                </w14:textFill>
              </w:rPr>
            </w:pPr>
            <w:bookmarkStart w:id="60" w:name="_Hlk168224186"/>
            <w:r>
              <w:rPr>
                <w:rFonts w:hint="eastAsia"/>
                <w:b w:val="0"/>
                <w:bCs w:val="0"/>
                <w:color w:val="0D0D0D" w:themeColor="text1" w:themeTint="F2"/>
                <w14:textFill>
                  <w14:solidFill>
                    <w14:schemeClr w14:val="tx1">
                      <w14:lumMod w14:val="95000"/>
                      <w14:lumOff w14:val="5000"/>
                    </w14:schemeClr>
                  </w14:solidFill>
                </w14:textFill>
              </w:rPr>
              <w:t>根据勘界资料，曙探1井土地利用类型为</w:t>
            </w:r>
            <w:bookmarkEnd w:id="60"/>
            <w:r>
              <w:rPr>
                <w:rFonts w:hint="eastAsia"/>
                <w:b w:val="0"/>
                <w:bCs w:val="0"/>
                <w:color w:val="0D0D0D" w:themeColor="text1" w:themeTint="F2"/>
                <w14:textFill>
                  <w14:solidFill>
                    <w14:schemeClr w14:val="tx1">
                      <w14:lumMod w14:val="95000"/>
                      <w14:lumOff w14:val="5000"/>
                    </w14:schemeClr>
                  </w14:solidFill>
                </w14:textFill>
              </w:rPr>
              <w:t>天然牧草地，占地范围内不属于基本草原，详见附图8。</w:t>
            </w:r>
          </w:p>
          <w:bookmarkEnd w:id="59"/>
          <w:p w14:paraId="7240B3F3">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（4）土地沙化现状</w:t>
            </w:r>
          </w:p>
          <w:p w14:paraId="37445BE7">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b w:val="0"/>
                <w:bCs w:val="0"/>
                <w:color w:val="0D0D0D" w:themeColor="text1" w:themeTint="F2"/>
                <w14:textFill>
                  <w14:solidFill>
                    <w14:schemeClr w14:val="tx1">
                      <w14:lumMod w14:val="95000"/>
                      <w14:lumOff w14:val="5000"/>
                    </w14:schemeClr>
                  </w14:solidFill>
                </w14:textFill>
              </w:rPr>
              <w:t>根据《</w:t>
            </w:r>
            <w:r>
              <w:rPr>
                <w:rFonts w:hint="eastAsia"/>
                <w:b w:val="0"/>
                <w:bCs w:val="0"/>
                <w:color w:val="0D0D0D" w:themeColor="text1" w:themeTint="F2"/>
                <w14:textFill>
                  <w14:solidFill>
                    <w14:schemeClr w14:val="tx1">
                      <w14:lumMod w14:val="95000"/>
                      <w14:lumOff w14:val="5000"/>
                    </w14:schemeClr>
                  </w14:solidFill>
                </w14:textFill>
              </w:rPr>
              <w:t>新疆第六次沙化监测报告</w:t>
            </w:r>
            <w:r>
              <w:rPr>
                <w:b w:val="0"/>
                <w:bCs w:val="0"/>
                <w:color w:val="0D0D0D" w:themeColor="text1" w:themeTint="F2"/>
                <w14:textFill>
                  <w14:solidFill>
                    <w14:schemeClr w14:val="tx1">
                      <w14:lumMod w14:val="95000"/>
                      <w14:lumOff w14:val="5000"/>
                    </w14:schemeClr>
                  </w14:solidFill>
                </w14:textFill>
              </w:rPr>
              <w:t>》（</w:t>
            </w:r>
            <w:r>
              <w:rPr>
                <w:rFonts w:hint="eastAsia"/>
                <w:b w:val="0"/>
                <w:bCs w:val="0"/>
                <w:color w:val="0D0D0D" w:themeColor="text1" w:themeTint="F2"/>
                <w14:textFill>
                  <w14:solidFill>
                    <w14:schemeClr w14:val="tx1">
                      <w14:lumMod w14:val="95000"/>
                      <w14:lumOff w14:val="5000"/>
                    </w14:schemeClr>
                  </w14:solidFill>
                </w14:textFill>
              </w:rPr>
              <w:t>2021</w:t>
            </w:r>
            <w:r>
              <w:rPr>
                <w:b w:val="0"/>
                <w:bCs w:val="0"/>
                <w:color w:val="0D0D0D" w:themeColor="text1" w:themeTint="F2"/>
                <w14:textFill>
                  <w14:solidFill>
                    <w14:schemeClr w14:val="tx1">
                      <w14:lumMod w14:val="95000"/>
                      <w14:lumOff w14:val="5000"/>
                    </w14:schemeClr>
                  </w14:solidFill>
                </w14:textFill>
              </w:rPr>
              <w:t>年）可知，</w:t>
            </w:r>
            <w:r>
              <w:rPr>
                <w:rFonts w:hint="eastAsia"/>
                <w:b w:val="0"/>
                <w:bCs w:val="0"/>
                <w:color w:val="0D0D0D" w:themeColor="text1" w:themeTint="F2"/>
                <w14:textFill>
                  <w14:solidFill>
                    <w14:schemeClr w14:val="tx1">
                      <w14:lumMod w14:val="95000"/>
                      <w14:lumOff w14:val="5000"/>
                    </w14:schemeClr>
                  </w14:solidFill>
                </w14:textFill>
              </w:rPr>
              <w:t>项目临时占地范围内</w:t>
            </w:r>
            <w:r>
              <w:rPr>
                <w:b w:val="0"/>
                <w:bCs w:val="0"/>
                <w:color w:val="0D0D0D" w:themeColor="text1" w:themeTint="F2"/>
                <w14:textFill>
                  <w14:solidFill>
                    <w14:schemeClr w14:val="tx1">
                      <w14:lumMod w14:val="95000"/>
                      <w14:lumOff w14:val="5000"/>
                    </w14:schemeClr>
                  </w14:solidFill>
                </w14:textFill>
              </w:rPr>
              <w:t>属于</w:t>
            </w:r>
            <w:r>
              <w:rPr>
                <w:rFonts w:hint="eastAsia"/>
                <w:b w:val="0"/>
                <w:bCs w:val="0"/>
                <w:color w:val="0D0D0D" w:themeColor="text1" w:themeTint="F2"/>
                <w14:textFill>
                  <w14:solidFill>
                    <w14:schemeClr w14:val="tx1">
                      <w14:lumMod w14:val="95000"/>
                      <w14:lumOff w14:val="5000"/>
                    </w14:schemeClr>
                  </w14:solidFill>
                </w14:textFill>
              </w:rPr>
              <w:t>非沙化土地，详见附图9。</w:t>
            </w:r>
          </w:p>
          <w:p w14:paraId="548672AD">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（5）水土流失现状</w:t>
            </w:r>
          </w:p>
          <w:p w14:paraId="44EA34CF">
            <w:pPr>
              <w:pStyle w:val="38"/>
              <w:ind w:firstLine="480"/>
              <w:rPr>
                <w:rFonts w:hint="eastAsia"/>
                <w:b/>
                <w:bCs/>
                <w:color w:val="0D0D0D" w:themeColor="text1" w:themeTint="F2"/>
                <w14:textFill>
                  <w14:solidFill>
                    <w14:schemeClr w14:val="tx1">
                      <w14:lumMod w14:val="95000"/>
                      <w14:lumOff w14:val="5000"/>
                    </w14:schemeClr>
                  </w14:solidFill>
                </w14:textFill>
              </w:rPr>
            </w:pPr>
            <w:r>
              <w:t>根据国家级水土流失重点预防区和重点治理区查询系统查询结果，项目区不涉及国家级水土流失重点预防区和重点治理区。</w:t>
            </w:r>
          </w:p>
          <w:p w14:paraId="67F8BA7F">
            <w:pPr>
              <w:pStyle w:val="1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4、区域环境质量现状</w:t>
            </w:r>
          </w:p>
          <w:p w14:paraId="4C17770C">
            <w:pPr>
              <w:pStyle w:val="11"/>
              <w:ind w:firstLine="480"/>
              <w:rPr>
                <w:rFonts w:hint="eastAsia"/>
                <w:b w:val="0"/>
                <w:bCs w:val="0"/>
                <w:color w:val="0D0D0D" w:themeColor="text1" w:themeTint="F2"/>
                <w14:textFill>
                  <w14:solidFill>
                    <w14:schemeClr w14:val="tx1">
                      <w14:lumMod w14:val="95000"/>
                      <w14:lumOff w14:val="5000"/>
                    </w14:schemeClr>
                  </w14:solidFill>
                </w14:textFill>
              </w:rPr>
            </w:pPr>
            <w:bookmarkStart w:id="61" w:name="_Hlk136793645"/>
            <w:r>
              <w:rPr>
                <w:rFonts w:hint="eastAsia"/>
                <w:b w:val="0"/>
                <w:bCs w:val="0"/>
                <w:color w:val="0D0D0D" w:themeColor="text1" w:themeTint="F2"/>
                <w14:textFill>
                  <w14:solidFill>
                    <w14:schemeClr w14:val="tx1">
                      <w14:lumMod w14:val="95000"/>
                      <w14:lumOff w14:val="5000"/>
                    </w14:schemeClr>
                  </w14:solidFill>
                </w14:textFill>
              </w:rPr>
              <w:t>（1）环境空气质量现状调查</w:t>
            </w:r>
          </w:p>
          <w:bookmarkEnd w:id="61"/>
          <w:p w14:paraId="3B3EEA31">
            <w:pPr>
              <w:pStyle w:val="38"/>
              <w:ind w:firstLine="480"/>
              <w:rPr>
                <w:rFonts w:hint="eastAsia"/>
                <w:color w:val="0D0D0D" w:themeColor="text1" w:themeTint="F2"/>
                <w:lang w:bidi="ar"/>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根据生态环境部环境工程评估中心</w:t>
            </w:r>
            <w:bookmarkStart w:id="62" w:name="_Hlk213893549"/>
            <w:r>
              <w:rPr>
                <w:rFonts w:hint="eastAsia"/>
                <w:color w:val="0D0D0D" w:themeColor="text1" w:themeTint="F2"/>
                <w:lang w:bidi="ar"/>
                <w14:textFill>
                  <w14:solidFill>
                    <w14:schemeClr w14:val="tx1">
                      <w14:lumMod w14:val="95000"/>
                      <w14:lumOff w14:val="5000"/>
                    </w14:schemeClr>
                  </w14:solidFill>
                </w14:textFill>
              </w:rPr>
              <w:t>“环境空气质量模型技术支持服务系统”</w:t>
            </w:r>
            <w:bookmarkEnd w:id="62"/>
            <w:r>
              <w:rPr>
                <w:rFonts w:hint="eastAsia"/>
                <w:color w:val="0D0D0D" w:themeColor="text1" w:themeTint="F2"/>
                <w:lang w:bidi="ar"/>
                <w14:textFill>
                  <w14:solidFill>
                    <w14:schemeClr w14:val="tx1">
                      <w14:lumMod w14:val="95000"/>
                      <w14:lumOff w14:val="5000"/>
                    </w14:schemeClr>
                  </w14:solidFill>
                </w14:textFill>
              </w:rPr>
              <w:t>发布的数据显示，</w:t>
            </w:r>
            <w:r>
              <w:rPr>
                <w:color w:val="0D0D0D" w:themeColor="text1" w:themeTint="F2"/>
                <w:lang w:bidi="ar"/>
                <w14:textFill>
                  <w14:solidFill>
                    <w14:schemeClr w14:val="tx1">
                      <w14:lumMod w14:val="95000"/>
                      <w14:lumOff w14:val="5000"/>
                    </w14:schemeClr>
                  </w14:solidFill>
                </w14:textFill>
              </w:rPr>
              <w:t>202</w:t>
            </w:r>
            <w:r>
              <w:rPr>
                <w:rFonts w:hint="eastAsia"/>
                <w:color w:val="0D0D0D" w:themeColor="text1" w:themeTint="F2"/>
                <w:lang w:bidi="ar"/>
                <w14:textFill>
                  <w14:solidFill>
                    <w14:schemeClr w14:val="tx1">
                      <w14:lumMod w14:val="95000"/>
                      <w14:lumOff w14:val="5000"/>
                    </w14:schemeClr>
                  </w14:solidFill>
                </w14:textFill>
              </w:rPr>
              <w:t>4年昌吉回族自治州环境空气基本污染物中SO</w:t>
            </w:r>
            <w:r>
              <w:rPr>
                <w:rFonts w:hint="eastAsia"/>
                <w:color w:val="0D0D0D" w:themeColor="text1" w:themeTint="F2"/>
                <w:vertAlign w:val="subscript"/>
                <w:lang w:bidi="ar"/>
                <w14:textFill>
                  <w14:solidFill>
                    <w14:schemeClr w14:val="tx1">
                      <w14:lumMod w14:val="95000"/>
                      <w14:lumOff w14:val="5000"/>
                    </w14:schemeClr>
                  </w14:solidFill>
                </w14:textFill>
              </w:rPr>
              <w:t>2</w:t>
            </w:r>
            <w:r>
              <w:rPr>
                <w:rFonts w:hint="eastAsia"/>
                <w:color w:val="0D0D0D" w:themeColor="text1" w:themeTint="F2"/>
                <w:lang w:bidi="ar"/>
                <w14:textFill>
                  <w14:solidFill>
                    <w14:schemeClr w14:val="tx1">
                      <w14:lumMod w14:val="95000"/>
                      <w14:lumOff w14:val="5000"/>
                    </w14:schemeClr>
                  </w14:solidFill>
                </w14:textFill>
              </w:rPr>
              <w:t>、NO</w:t>
            </w:r>
            <w:r>
              <w:rPr>
                <w:rFonts w:hint="eastAsia"/>
                <w:color w:val="0D0D0D" w:themeColor="text1" w:themeTint="F2"/>
                <w:vertAlign w:val="subscript"/>
                <w:lang w:bidi="ar"/>
                <w14:textFill>
                  <w14:solidFill>
                    <w14:schemeClr w14:val="tx1">
                      <w14:lumMod w14:val="95000"/>
                      <w14:lumOff w14:val="5000"/>
                    </w14:schemeClr>
                  </w14:solidFill>
                </w14:textFill>
              </w:rPr>
              <w:t>2</w:t>
            </w:r>
            <w:r>
              <w:rPr>
                <w:rFonts w:hint="eastAsia"/>
                <w:color w:val="0D0D0D" w:themeColor="text1" w:themeTint="F2"/>
                <w:lang w:bidi="ar"/>
                <w14:textFill>
                  <w14:solidFill>
                    <w14:schemeClr w14:val="tx1">
                      <w14:lumMod w14:val="95000"/>
                      <w14:lumOff w14:val="5000"/>
                    </w14:schemeClr>
                  </w14:solidFill>
                </w14:textFill>
              </w:rPr>
              <w:t>、CO、O</w:t>
            </w:r>
            <w:r>
              <w:rPr>
                <w:rFonts w:hint="eastAsia"/>
                <w:color w:val="0D0D0D" w:themeColor="text1" w:themeTint="F2"/>
                <w:vertAlign w:val="subscript"/>
                <w:lang w:bidi="ar"/>
                <w14:textFill>
                  <w14:solidFill>
                    <w14:schemeClr w14:val="tx1">
                      <w14:lumMod w14:val="95000"/>
                      <w14:lumOff w14:val="5000"/>
                    </w14:schemeClr>
                  </w14:solidFill>
                </w14:textFill>
              </w:rPr>
              <w:t>3</w:t>
            </w:r>
            <w:r>
              <w:rPr>
                <w:rFonts w:hint="eastAsia"/>
                <w:color w:val="0D0D0D" w:themeColor="text1" w:themeTint="F2"/>
                <w:lang w:bidi="ar"/>
                <w14:textFill>
                  <w14:solidFill>
                    <w14:schemeClr w14:val="tx1">
                      <w14:lumMod w14:val="95000"/>
                      <w14:lumOff w14:val="5000"/>
                    </w14:schemeClr>
                  </w14:solidFill>
                </w14:textFill>
              </w:rPr>
              <w:t>的现状浓度均符合《环境空气质量标准》（GB3095-2026）中过渡阶段二级标准，PM</w:t>
            </w:r>
            <w:r>
              <w:rPr>
                <w:rFonts w:hint="eastAsia"/>
                <w:color w:val="0D0D0D" w:themeColor="text1" w:themeTint="F2"/>
                <w:vertAlign w:val="subscript"/>
                <w:lang w:bidi="ar"/>
                <w14:textFill>
                  <w14:solidFill>
                    <w14:schemeClr w14:val="tx1">
                      <w14:lumMod w14:val="95000"/>
                      <w14:lumOff w14:val="5000"/>
                    </w14:schemeClr>
                  </w14:solidFill>
                </w14:textFill>
              </w:rPr>
              <w:t>10</w:t>
            </w:r>
            <w:r>
              <w:rPr>
                <w:rFonts w:hint="eastAsia"/>
                <w:color w:val="0D0D0D" w:themeColor="text1" w:themeTint="F2"/>
                <w:lang w:bidi="ar"/>
                <w14:textFill>
                  <w14:solidFill>
                    <w14:schemeClr w14:val="tx1">
                      <w14:lumMod w14:val="95000"/>
                      <w14:lumOff w14:val="5000"/>
                    </w14:schemeClr>
                  </w14:solidFill>
                </w14:textFill>
              </w:rPr>
              <w:t>和PM</w:t>
            </w:r>
            <w:r>
              <w:rPr>
                <w:rFonts w:hint="eastAsia"/>
                <w:color w:val="0D0D0D" w:themeColor="text1" w:themeTint="F2"/>
                <w:vertAlign w:val="subscript"/>
                <w:lang w:bidi="ar"/>
                <w14:textFill>
                  <w14:solidFill>
                    <w14:schemeClr w14:val="tx1">
                      <w14:lumMod w14:val="95000"/>
                      <w14:lumOff w14:val="5000"/>
                    </w14:schemeClr>
                  </w14:solidFill>
                </w14:textFill>
              </w:rPr>
              <w:t>2.5</w:t>
            </w:r>
            <w:r>
              <w:rPr>
                <w:rFonts w:hint="eastAsia"/>
                <w:color w:val="0D0D0D" w:themeColor="text1" w:themeTint="F2"/>
                <w:lang w:bidi="ar"/>
                <w14:textFill>
                  <w14:solidFill>
                    <w14:schemeClr w14:val="tx1">
                      <w14:lumMod w14:val="95000"/>
                      <w14:lumOff w14:val="5000"/>
                    </w14:schemeClr>
                  </w14:solidFill>
                </w14:textFill>
              </w:rPr>
              <w:t>的现状浓度超标，具体数据见</w:t>
            </w:r>
            <w:r>
              <w:rPr>
                <w:rFonts w:hint="eastAsia"/>
                <w:color w:val="0D0D0D" w:themeColor="text1" w:themeTint="F2"/>
                <w:lang w:bidi="ar"/>
                <w14:textFill>
                  <w14:solidFill>
                    <w14:schemeClr w14:val="tx1">
                      <w14:lumMod w14:val="95000"/>
                      <w14:lumOff w14:val="5000"/>
                    </w14:schemeClr>
                  </w14:solidFill>
                </w14:textFill>
              </w:rPr>
              <w:fldChar w:fldCharType="begin"/>
            </w:r>
            <w:r>
              <w:rPr>
                <w:rFonts w:hint="eastAsia"/>
                <w:color w:val="0D0D0D" w:themeColor="text1" w:themeTint="F2"/>
                <w:lang w:bidi="ar"/>
                <w14:textFill>
                  <w14:solidFill>
                    <w14:schemeClr w14:val="tx1">
                      <w14:lumMod w14:val="95000"/>
                      <w14:lumOff w14:val="5000"/>
                    </w14:schemeClr>
                  </w14:solidFill>
                </w14:textFill>
              </w:rPr>
              <w:instrText xml:space="preserve"> REF _Ref206150979 \h </w:instrText>
            </w:r>
            <w:r>
              <w:rPr>
                <w:rFonts w:hint="eastAsia"/>
                <w:color w:val="0D0D0D" w:themeColor="text1" w:themeTint="F2"/>
                <w:lang w:bidi="ar"/>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表14</w:t>
            </w:r>
            <w:r>
              <w:rPr>
                <w:rFonts w:hint="eastAsia"/>
                <w:color w:val="0D0D0D" w:themeColor="text1" w:themeTint="F2"/>
                <w:lang w:bidi="ar"/>
                <w14:textFill>
                  <w14:solidFill>
                    <w14:schemeClr w14:val="tx1">
                      <w14:lumMod w14:val="95000"/>
                      <w14:lumOff w14:val="5000"/>
                    </w14:schemeClr>
                  </w14:solidFill>
                </w14:textFill>
              </w:rPr>
              <w:fldChar w:fldCharType="end"/>
            </w:r>
            <w:r>
              <w:rPr>
                <w:rFonts w:hint="eastAsia"/>
                <w:color w:val="0D0D0D" w:themeColor="text1" w:themeTint="F2"/>
                <w:lang w:bidi="ar"/>
                <w14:textFill>
                  <w14:solidFill>
                    <w14:schemeClr w14:val="tx1">
                      <w14:lumMod w14:val="95000"/>
                      <w14:lumOff w14:val="5000"/>
                    </w14:schemeClr>
                  </w14:solidFill>
                </w14:textFill>
              </w:rPr>
              <w:t>。</w:t>
            </w:r>
          </w:p>
          <w:p w14:paraId="432BBAD2">
            <w:pPr>
              <w:pStyle w:val="8"/>
              <w:rPr>
                <w:rFonts w:hint="eastAsia"/>
                <w:color w:val="0D0D0D" w:themeColor="text1" w:themeTint="F2"/>
                <w14:textFill>
                  <w14:solidFill>
                    <w14:schemeClr w14:val="tx1">
                      <w14:lumMod w14:val="95000"/>
                      <w14:lumOff w14:val="5000"/>
                    </w14:schemeClr>
                  </w14:solidFill>
                </w14:textFill>
              </w:rPr>
            </w:pPr>
            <w:bookmarkStart w:id="63" w:name="_Ref206150979"/>
            <w:r>
              <w:rPr>
                <w:rFonts w:hint="eastAsia"/>
                <w:color w:val="0D0D0D" w:themeColor="text1" w:themeTint="F2"/>
                <w14:textFill>
                  <w14:solidFill>
                    <w14:schemeClr w14:val="tx1">
                      <w14:lumMod w14:val="95000"/>
                      <w14:lumOff w14:val="5000"/>
                    </w14:schemeClr>
                  </w14:solidFill>
                </w14:textFill>
              </w:rPr>
              <w:t>表</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SEQ 表 \* ARABIC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14</w:t>
            </w:r>
            <w:r>
              <w:rPr>
                <w:rFonts w:hint="eastAsia"/>
                <w:color w:val="0D0D0D" w:themeColor="text1" w:themeTint="F2"/>
                <w14:textFill>
                  <w14:solidFill>
                    <w14:schemeClr w14:val="tx1">
                      <w14:lumMod w14:val="95000"/>
                      <w14:lumOff w14:val="5000"/>
                    </w14:schemeClr>
                  </w14:solidFill>
                </w14:textFill>
              </w:rPr>
              <w:fldChar w:fldCharType="end"/>
            </w:r>
            <w:bookmarkEnd w:id="63"/>
            <w:r>
              <w:rPr>
                <w:rFonts w:hint="eastAsia"/>
                <w:color w:val="0D0D0D" w:themeColor="text1" w:themeTint="F2"/>
                <w:lang w:bidi="ar"/>
                <w14:textFill>
                  <w14:solidFill>
                    <w14:schemeClr w14:val="tx1">
                      <w14:lumMod w14:val="95000"/>
                      <w14:lumOff w14:val="5000"/>
                    </w14:schemeClr>
                  </w14:solidFill>
                </w14:textFill>
              </w:rPr>
              <w:t xml:space="preserve">    大气质量及评价结果一览表</w:t>
            </w:r>
          </w:p>
          <w:tbl>
            <w:tblPr>
              <w:tblStyle w:val="29"/>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993"/>
              <w:gridCol w:w="2033"/>
              <w:gridCol w:w="1416"/>
              <w:gridCol w:w="1323"/>
              <w:gridCol w:w="1176"/>
              <w:gridCol w:w="1206"/>
            </w:tblGrid>
            <w:tr w14:paraId="3BA01A7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609" w:type="pct"/>
                  <w:vAlign w:val="center"/>
                </w:tcPr>
                <w:p w14:paraId="4D4025C0">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监测因子</w:t>
                  </w:r>
                </w:p>
              </w:tc>
              <w:tc>
                <w:tcPr>
                  <w:tcW w:w="1248" w:type="pct"/>
                  <w:vAlign w:val="center"/>
                </w:tcPr>
                <w:p w14:paraId="30F513E3">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年评价指标</w:t>
                  </w:r>
                </w:p>
              </w:tc>
              <w:tc>
                <w:tcPr>
                  <w:tcW w:w="869" w:type="pct"/>
                  <w:vAlign w:val="center"/>
                </w:tcPr>
                <w:p w14:paraId="4508BCD6">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现状浓度</w:t>
                  </w:r>
                </w:p>
                <w:p w14:paraId="7B41419E">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（μg/m</w:t>
                  </w:r>
                  <w:r>
                    <w:rPr>
                      <w:rFonts w:hint="eastAsia"/>
                      <w:color w:val="0D0D0D" w:themeColor="text1" w:themeTint="F2"/>
                      <w:vertAlign w:val="superscript"/>
                      <w14:textFill>
                        <w14:solidFill>
                          <w14:schemeClr w14:val="tx1">
                            <w14:lumMod w14:val="95000"/>
                            <w14:lumOff w14:val="5000"/>
                          </w14:schemeClr>
                        </w14:solidFill>
                      </w14:textFill>
                    </w:rPr>
                    <w:t>3</w:t>
                  </w:r>
                  <w:r>
                    <w:rPr>
                      <w:rFonts w:hint="eastAsia"/>
                      <w:color w:val="0D0D0D" w:themeColor="text1" w:themeTint="F2"/>
                      <w14:textFill>
                        <w14:solidFill>
                          <w14:schemeClr w14:val="tx1">
                            <w14:lumMod w14:val="95000"/>
                            <w14:lumOff w14:val="5000"/>
                          </w14:schemeClr>
                        </w14:solidFill>
                      </w14:textFill>
                    </w:rPr>
                    <w:t>）</w:t>
                  </w:r>
                </w:p>
              </w:tc>
              <w:tc>
                <w:tcPr>
                  <w:tcW w:w="812" w:type="pct"/>
                  <w:vAlign w:val="center"/>
                </w:tcPr>
                <w:p w14:paraId="117F4F79">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标准值</w:t>
                  </w:r>
                </w:p>
                <w:p w14:paraId="5C189F36">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（μg/m</w:t>
                  </w:r>
                  <w:r>
                    <w:rPr>
                      <w:rFonts w:hint="eastAsia"/>
                      <w:color w:val="0D0D0D" w:themeColor="text1" w:themeTint="F2"/>
                      <w:vertAlign w:val="superscript"/>
                      <w14:textFill>
                        <w14:solidFill>
                          <w14:schemeClr w14:val="tx1">
                            <w14:lumMod w14:val="95000"/>
                            <w14:lumOff w14:val="5000"/>
                          </w14:schemeClr>
                        </w14:solidFill>
                      </w14:textFill>
                    </w:rPr>
                    <w:t>3</w:t>
                  </w:r>
                  <w:r>
                    <w:rPr>
                      <w:rFonts w:hint="eastAsia"/>
                      <w:color w:val="0D0D0D" w:themeColor="text1" w:themeTint="F2"/>
                      <w14:textFill>
                        <w14:solidFill>
                          <w14:schemeClr w14:val="tx1">
                            <w14:lumMod w14:val="95000"/>
                            <w14:lumOff w14:val="5000"/>
                          </w14:schemeClr>
                        </w14:solidFill>
                      </w14:textFill>
                    </w:rPr>
                    <w:t>）</w:t>
                  </w:r>
                </w:p>
              </w:tc>
              <w:tc>
                <w:tcPr>
                  <w:tcW w:w="722" w:type="pct"/>
                  <w:vAlign w:val="center"/>
                </w:tcPr>
                <w:p w14:paraId="37A0B4AF">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占标率</w:t>
                  </w:r>
                </w:p>
                <w:p w14:paraId="2B405DC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p>
              </w:tc>
              <w:tc>
                <w:tcPr>
                  <w:tcW w:w="741" w:type="pct"/>
                  <w:vAlign w:val="center"/>
                </w:tcPr>
                <w:p w14:paraId="5F5ADB6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达标情况</w:t>
                  </w:r>
                </w:p>
              </w:tc>
            </w:tr>
            <w:tr w14:paraId="76EA68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609" w:type="pct"/>
                  <w:vAlign w:val="center"/>
                </w:tcPr>
                <w:p w14:paraId="08253B54">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SO</w:t>
                  </w:r>
                  <w:r>
                    <w:rPr>
                      <w:rFonts w:hint="eastAsia"/>
                      <w:color w:val="0D0D0D" w:themeColor="text1" w:themeTint="F2"/>
                      <w:vertAlign w:val="subscript"/>
                      <w14:textFill>
                        <w14:solidFill>
                          <w14:schemeClr w14:val="tx1">
                            <w14:lumMod w14:val="95000"/>
                            <w14:lumOff w14:val="5000"/>
                          </w14:schemeClr>
                        </w14:solidFill>
                      </w14:textFill>
                    </w:rPr>
                    <w:t>2</w:t>
                  </w:r>
                </w:p>
              </w:tc>
              <w:tc>
                <w:tcPr>
                  <w:tcW w:w="1248" w:type="pct"/>
                  <w:vAlign w:val="center"/>
                </w:tcPr>
                <w:p w14:paraId="1761BA0B">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年平均值</w:t>
                  </w:r>
                </w:p>
              </w:tc>
              <w:tc>
                <w:tcPr>
                  <w:tcW w:w="869" w:type="pct"/>
                  <w:vAlign w:val="center"/>
                </w:tcPr>
                <w:p w14:paraId="1B2AF823">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7</w:t>
                  </w:r>
                </w:p>
              </w:tc>
              <w:tc>
                <w:tcPr>
                  <w:tcW w:w="812" w:type="pct"/>
                  <w:vAlign w:val="center"/>
                </w:tcPr>
                <w:p w14:paraId="5A7E1CC6">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60</w:t>
                  </w:r>
                </w:p>
              </w:tc>
              <w:tc>
                <w:tcPr>
                  <w:tcW w:w="722" w:type="pct"/>
                  <w:vAlign w:val="center"/>
                </w:tcPr>
                <w:p w14:paraId="3322AB6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11.67</w:t>
                  </w:r>
                </w:p>
              </w:tc>
              <w:tc>
                <w:tcPr>
                  <w:tcW w:w="741" w:type="pct"/>
                  <w:vAlign w:val="center"/>
                </w:tcPr>
                <w:p w14:paraId="54164F3B">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达标</w:t>
                  </w:r>
                </w:p>
              </w:tc>
            </w:tr>
            <w:tr w14:paraId="6284E2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609" w:type="pct"/>
                  <w:vAlign w:val="center"/>
                </w:tcPr>
                <w:p w14:paraId="19C4FB3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NO</w:t>
                  </w:r>
                  <w:r>
                    <w:rPr>
                      <w:rFonts w:hint="eastAsia"/>
                      <w:color w:val="0D0D0D" w:themeColor="text1" w:themeTint="F2"/>
                      <w:vertAlign w:val="subscript"/>
                      <w14:textFill>
                        <w14:solidFill>
                          <w14:schemeClr w14:val="tx1">
                            <w14:lumMod w14:val="95000"/>
                            <w14:lumOff w14:val="5000"/>
                          </w14:schemeClr>
                        </w14:solidFill>
                      </w14:textFill>
                    </w:rPr>
                    <w:t>2</w:t>
                  </w:r>
                </w:p>
              </w:tc>
              <w:tc>
                <w:tcPr>
                  <w:tcW w:w="1248" w:type="pct"/>
                  <w:vAlign w:val="center"/>
                </w:tcPr>
                <w:p w14:paraId="34E6313E">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年平均值</w:t>
                  </w:r>
                </w:p>
              </w:tc>
              <w:tc>
                <w:tcPr>
                  <w:tcW w:w="869" w:type="pct"/>
                  <w:vAlign w:val="center"/>
                </w:tcPr>
                <w:p w14:paraId="7DFBDD34">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30</w:t>
                  </w:r>
                </w:p>
              </w:tc>
              <w:tc>
                <w:tcPr>
                  <w:tcW w:w="812" w:type="pct"/>
                  <w:vAlign w:val="center"/>
                </w:tcPr>
                <w:p w14:paraId="4262113F">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40</w:t>
                  </w:r>
                </w:p>
              </w:tc>
              <w:tc>
                <w:tcPr>
                  <w:tcW w:w="722" w:type="pct"/>
                  <w:vAlign w:val="center"/>
                </w:tcPr>
                <w:p w14:paraId="473C7361">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75</w:t>
                  </w:r>
                </w:p>
              </w:tc>
              <w:tc>
                <w:tcPr>
                  <w:tcW w:w="741" w:type="pct"/>
                  <w:vAlign w:val="center"/>
                </w:tcPr>
                <w:p w14:paraId="752333B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达标</w:t>
                  </w:r>
                </w:p>
              </w:tc>
            </w:tr>
            <w:tr w14:paraId="1381A7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609" w:type="pct"/>
                  <w:vAlign w:val="center"/>
                </w:tcPr>
                <w:p w14:paraId="1EE8B68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PM</w:t>
                  </w:r>
                  <w:r>
                    <w:rPr>
                      <w:rFonts w:hint="eastAsia"/>
                      <w:color w:val="0D0D0D" w:themeColor="text1" w:themeTint="F2"/>
                      <w:vertAlign w:val="subscript"/>
                      <w14:textFill>
                        <w14:solidFill>
                          <w14:schemeClr w14:val="tx1">
                            <w14:lumMod w14:val="95000"/>
                            <w14:lumOff w14:val="5000"/>
                          </w14:schemeClr>
                        </w14:solidFill>
                      </w14:textFill>
                    </w:rPr>
                    <w:t>10</w:t>
                  </w:r>
                </w:p>
              </w:tc>
              <w:tc>
                <w:tcPr>
                  <w:tcW w:w="1248" w:type="pct"/>
                  <w:vAlign w:val="center"/>
                </w:tcPr>
                <w:p w14:paraId="60AFF804">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年平均值</w:t>
                  </w:r>
                </w:p>
              </w:tc>
              <w:tc>
                <w:tcPr>
                  <w:tcW w:w="869" w:type="pct"/>
                  <w:vAlign w:val="center"/>
                </w:tcPr>
                <w:p w14:paraId="59CAA584">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70</w:t>
                  </w:r>
                </w:p>
              </w:tc>
              <w:tc>
                <w:tcPr>
                  <w:tcW w:w="812" w:type="pct"/>
                  <w:vAlign w:val="center"/>
                </w:tcPr>
                <w:p w14:paraId="4E3CA0A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60</w:t>
                  </w:r>
                </w:p>
              </w:tc>
              <w:tc>
                <w:tcPr>
                  <w:tcW w:w="722" w:type="pct"/>
                  <w:vAlign w:val="center"/>
                </w:tcPr>
                <w:p w14:paraId="06EC0F7F">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116.67</w:t>
                  </w:r>
                </w:p>
              </w:tc>
              <w:tc>
                <w:tcPr>
                  <w:tcW w:w="741" w:type="pct"/>
                  <w:vAlign w:val="center"/>
                </w:tcPr>
                <w:p w14:paraId="291B3309">
                  <w:pPr>
                    <w:pStyle w:val="42"/>
                    <w:rPr>
                      <w:rFonts w:hint="eastAsia"/>
                      <w:b/>
                      <w:bCs/>
                      <w:color w:val="0D0D0D" w:themeColor="text1" w:themeTint="F2"/>
                      <w14:textFill>
                        <w14:solidFill>
                          <w14:schemeClr w14:val="tx1">
                            <w14:lumMod w14:val="95000"/>
                            <w14:lumOff w14:val="5000"/>
                          </w14:schemeClr>
                        </w14:solidFill>
                      </w14:textFill>
                    </w:rPr>
                  </w:pPr>
                  <w:r>
                    <w:rPr>
                      <w:rFonts w:hint="eastAsia"/>
                      <w:b/>
                      <w:bCs/>
                      <w:color w:val="0D0D0D" w:themeColor="text1" w:themeTint="F2"/>
                      <w14:textFill>
                        <w14:solidFill>
                          <w14:schemeClr w14:val="tx1">
                            <w14:lumMod w14:val="95000"/>
                            <w14:lumOff w14:val="5000"/>
                          </w14:schemeClr>
                        </w14:solidFill>
                      </w14:textFill>
                    </w:rPr>
                    <w:t>超标</w:t>
                  </w:r>
                </w:p>
              </w:tc>
            </w:tr>
            <w:tr w14:paraId="14CF96B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609" w:type="pct"/>
                  <w:vAlign w:val="center"/>
                </w:tcPr>
                <w:p w14:paraId="6FF376B1">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PM</w:t>
                  </w:r>
                  <w:r>
                    <w:rPr>
                      <w:rFonts w:hint="eastAsia"/>
                      <w:color w:val="0D0D0D" w:themeColor="text1" w:themeTint="F2"/>
                      <w:vertAlign w:val="subscript"/>
                      <w14:textFill>
                        <w14:solidFill>
                          <w14:schemeClr w14:val="tx1">
                            <w14:lumMod w14:val="95000"/>
                            <w14:lumOff w14:val="5000"/>
                          </w14:schemeClr>
                        </w14:solidFill>
                      </w14:textFill>
                    </w:rPr>
                    <w:t>2.5</w:t>
                  </w:r>
                </w:p>
              </w:tc>
              <w:tc>
                <w:tcPr>
                  <w:tcW w:w="1248" w:type="pct"/>
                  <w:vAlign w:val="center"/>
                </w:tcPr>
                <w:p w14:paraId="6A1D48A1">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年平均值</w:t>
                  </w:r>
                </w:p>
              </w:tc>
              <w:tc>
                <w:tcPr>
                  <w:tcW w:w="869" w:type="pct"/>
                  <w:vAlign w:val="center"/>
                </w:tcPr>
                <w:p w14:paraId="00782AB9">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40</w:t>
                  </w:r>
                </w:p>
              </w:tc>
              <w:tc>
                <w:tcPr>
                  <w:tcW w:w="812" w:type="pct"/>
                  <w:vAlign w:val="center"/>
                </w:tcPr>
                <w:p w14:paraId="1D0BB3B5">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30</w:t>
                  </w:r>
                </w:p>
              </w:tc>
              <w:tc>
                <w:tcPr>
                  <w:tcW w:w="722" w:type="pct"/>
                  <w:vAlign w:val="center"/>
                </w:tcPr>
                <w:p w14:paraId="64F9D895">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133.33</w:t>
                  </w:r>
                </w:p>
              </w:tc>
              <w:tc>
                <w:tcPr>
                  <w:tcW w:w="741" w:type="pct"/>
                  <w:vAlign w:val="center"/>
                </w:tcPr>
                <w:p w14:paraId="5FF6A973">
                  <w:pPr>
                    <w:pStyle w:val="42"/>
                    <w:rPr>
                      <w:rFonts w:hint="eastAsia"/>
                      <w:b/>
                      <w:bCs/>
                      <w:color w:val="0D0D0D" w:themeColor="text1" w:themeTint="F2"/>
                      <w14:textFill>
                        <w14:solidFill>
                          <w14:schemeClr w14:val="tx1">
                            <w14:lumMod w14:val="95000"/>
                            <w14:lumOff w14:val="5000"/>
                          </w14:schemeClr>
                        </w14:solidFill>
                      </w14:textFill>
                    </w:rPr>
                  </w:pPr>
                  <w:r>
                    <w:rPr>
                      <w:rFonts w:hint="eastAsia"/>
                      <w:b/>
                      <w:bCs/>
                      <w:color w:val="0D0D0D" w:themeColor="text1" w:themeTint="F2"/>
                      <w14:textFill>
                        <w14:solidFill>
                          <w14:schemeClr w14:val="tx1">
                            <w14:lumMod w14:val="95000"/>
                            <w14:lumOff w14:val="5000"/>
                          </w14:schemeClr>
                        </w14:solidFill>
                      </w14:textFill>
                    </w:rPr>
                    <w:t>超标</w:t>
                  </w:r>
                </w:p>
              </w:tc>
            </w:tr>
            <w:tr w14:paraId="2A0E9C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609" w:type="pct"/>
                  <w:vAlign w:val="center"/>
                </w:tcPr>
                <w:p w14:paraId="7AD5C092">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CO</w:t>
                  </w:r>
                </w:p>
              </w:tc>
              <w:tc>
                <w:tcPr>
                  <w:tcW w:w="1248" w:type="pct"/>
                  <w:vAlign w:val="center"/>
                </w:tcPr>
                <w:p w14:paraId="754995E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24小时平均第95百分位数</w:t>
                  </w:r>
                </w:p>
              </w:tc>
              <w:tc>
                <w:tcPr>
                  <w:tcW w:w="869" w:type="pct"/>
                  <w:vAlign w:val="center"/>
                </w:tcPr>
                <w:p w14:paraId="23098CB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1.8（mg/m</w:t>
                  </w:r>
                  <w:r>
                    <w:rPr>
                      <w:rFonts w:hint="eastAsia"/>
                      <w:color w:val="0D0D0D" w:themeColor="text1" w:themeTint="F2"/>
                      <w:vertAlign w:val="superscript"/>
                      <w14:textFill>
                        <w14:solidFill>
                          <w14:schemeClr w14:val="tx1">
                            <w14:lumMod w14:val="95000"/>
                            <w14:lumOff w14:val="5000"/>
                          </w14:schemeClr>
                        </w14:solidFill>
                      </w14:textFill>
                    </w:rPr>
                    <w:t>3</w:t>
                  </w:r>
                  <w:r>
                    <w:rPr>
                      <w:rFonts w:hint="eastAsia"/>
                      <w:color w:val="0D0D0D" w:themeColor="text1" w:themeTint="F2"/>
                      <w14:textFill>
                        <w14:solidFill>
                          <w14:schemeClr w14:val="tx1">
                            <w14:lumMod w14:val="95000"/>
                            <w14:lumOff w14:val="5000"/>
                          </w14:schemeClr>
                        </w14:solidFill>
                      </w14:textFill>
                    </w:rPr>
                    <w:t>）</w:t>
                  </w:r>
                </w:p>
              </w:tc>
              <w:tc>
                <w:tcPr>
                  <w:tcW w:w="812" w:type="pct"/>
                  <w:vAlign w:val="center"/>
                </w:tcPr>
                <w:p w14:paraId="40687723">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4（mg/m</w:t>
                  </w:r>
                  <w:r>
                    <w:rPr>
                      <w:rFonts w:hint="eastAsia"/>
                      <w:color w:val="0D0D0D" w:themeColor="text1" w:themeTint="F2"/>
                      <w:vertAlign w:val="superscript"/>
                      <w14:textFill>
                        <w14:solidFill>
                          <w14:schemeClr w14:val="tx1">
                            <w14:lumMod w14:val="95000"/>
                            <w14:lumOff w14:val="5000"/>
                          </w14:schemeClr>
                        </w14:solidFill>
                      </w14:textFill>
                    </w:rPr>
                    <w:t>3</w:t>
                  </w:r>
                  <w:r>
                    <w:rPr>
                      <w:rFonts w:hint="eastAsia"/>
                      <w:color w:val="0D0D0D" w:themeColor="text1" w:themeTint="F2"/>
                      <w14:textFill>
                        <w14:solidFill>
                          <w14:schemeClr w14:val="tx1">
                            <w14:lumMod w14:val="95000"/>
                            <w14:lumOff w14:val="5000"/>
                          </w14:schemeClr>
                        </w14:solidFill>
                      </w14:textFill>
                    </w:rPr>
                    <w:t>）</w:t>
                  </w:r>
                </w:p>
              </w:tc>
              <w:tc>
                <w:tcPr>
                  <w:tcW w:w="722" w:type="pct"/>
                  <w:vAlign w:val="center"/>
                </w:tcPr>
                <w:p w14:paraId="02AF6311">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45</w:t>
                  </w:r>
                </w:p>
              </w:tc>
              <w:tc>
                <w:tcPr>
                  <w:tcW w:w="741" w:type="pct"/>
                  <w:vAlign w:val="center"/>
                </w:tcPr>
                <w:p w14:paraId="1D78457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达标</w:t>
                  </w:r>
                </w:p>
              </w:tc>
            </w:tr>
            <w:tr w14:paraId="0F92F6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609" w:type="pct"/>
                  <w:vAlign w:val="center"/>
                </w:tcPr>
                <w:p w14:paraId="0D9FBE5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O</w:t>
                  </w:r>
                  <w:r>
                    <w:rPr>
                      <w:rFonts w:hint="eastAsia"/>
                      <w:color w:val="0D0D0D" w:themeColor="text1" w:themeTint="F2"/>
                      <w:vertAlign w:val="subscript"/>
                      <w14:textFill>
                        <w14:solidFill>
                          <w14:schemeClr w14:val="tx1">
                            <w14:lumMod w14:val="95000"/>
                            <w14:lumOff w14:val="5000"/>
                          </w14:schemeClr>
                        </w14:solidFill>
                      </w14:textFill>
                    </w:rPr>
                    <w:t>3</w:t>
                  </w:r>
                </w:p>
              </w:tc>
              <w:tc>
                <w:tcPr>
                  <w:tcW w:w="1248" w:type="pct"/>
                  <w:vAlign w:val="center"/>
                </w:tcPr>
                <w:p w14:paraId="4456454E">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最大8小时平均第90百分位数</w:t>
                  </w:r>
                </w:p>
              </w:tc>
              <w:tc>
                <w:tcPr>
                  <w:tcW w:w="869" w:type="pct"/>
                  <w:vAlign w:val="center"/>
                </w:tcPr>
                <w:p w14:paraId="3CADAD8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134</w:t>
                  </w:r>
                </w:p>
              </w:tc>
              <w:tc>
                <w:tcPr>
                  <w:tcW w:w="812" w:type="pct"/>
                  <w:vAlign w:val="center"/>
                </w:tcPr>
                <w:p w14:paraId="6DE71F55">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160</w:t>
                  </w:r>
                </w:p>
              </w:tc>
              <w:tc>
                <w:tcPr>
                  <w:tcW w:w="722" w:type="pct"/>
                  <w:vAlign w:val="center"/>
                </w:tcPr>
                <w:p w14:paraId="56A9F36B">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83.75</w:t>
                  </w:r>
                </w:p>
              </w:tc>
              <w:tc>
                <w:tcPr>
                  <w:tcW w:w="741" w:type="pct"/>
                  <w:vAlign w:val="center"/>
                </w:tcPr>
                <w:p w14:paraId="50EC2D4E">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达标</w:t>
                  </w:r>
                </w:p>
              </w:tc>
            </w:tr>
          </w:tbl>
          <w:p w14:paraId="0FF24C54">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（2）水环境质量现状调查</w:t>
            </w:r>
          </w:p>
          <w:p w14:paraId="5D66E64A">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曙探1井周边无地表水体，且项目钻试期无废水外排，因此无需对地表水环境质量现状进行评价。</w:t>
            </w:r>
          </w:p>
          <w:p w14:paraId="4F9D926D">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钻井期间采用钻井液不落地工艺，钻井液循环利用，不会对地下水环境造成污染；参照《环境影响评价技术导则 地下水环境》（HJ 610-2016），本项目为Ⅳ类项目；无需对地下水环境质量现状进行评价。</w:t>
            </w:r>
          </w:p>
          <w:p w14:paraId="6B074EDD">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（3）声环境质量现状调查</w:t>
            </w:r>
          </w:p>
          <w:p w14:paraId="12696A60">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拟部署井周边50m范围内无声环境保护目标，参照《建设项目环境影响报告表编制技术指南（污染影响类）（试行）》相关要求，无需对声环境质量现状进行评价。</w:t>
            </w:r>
          </w:p>
          <w:p w14:paraId="7122A28A">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（4）土壤环境质量现状调查</w:t>
            </w:r>
          </w:p>
          <w:p w14:paraId="665D4401">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参照《环境影响评价技术导则 土壤环境（试行）》（HJ964-2018），本项目为Ⅳ类项目，无需对土壤环境质量现状进行评价。</w:t>
            </w:r>
          </w:p>
        </w:tc>
      </w:tr>
      <w:tr w14:paraId="72BA2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3" w:type="dxa"/>
            <w:vAlign w:val="center"/>
          </w:tcPr>
          <w:p w14:paraId="56EAD624">
            <w:pPr>
              <w:snapToGrid w:val="0"/>
              <w:spacing w:line="460" w:lineRule="exact"/>
              <w:jc w:val="center"/>
              <w:rPr>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与项目有关的原有环境污染和生态破坏问题</w:t>
            </w:r>
          </w:p>
        </w:tc>
        <w:tc>
          <w:tcPr>
            <w:tcW w:w="8157" w:type="dxa"/>
            <w:gridSpan w:val="5"/>
            <w:vAlign w:val="center"/>
          </w:tcPr>
          <w:p w14:paraId="0A2619D8">
            <w:pPr>
              <w:pStyle w:val="11"/>
              <w:ind w:firstLine="480"/>
              <w:rPr>
                <w:rFonts w:hint="eastAsia"/>
                <w:color w:val="0D0D0D" w:themeColor="text1" w:themeTint="F2"/>
                <w14:textFill>
                  <w14:solidFill>
                    <w14:schemeClr w14:val="tx1">
                      <w14:lumMod w14:val="95000"/>
                      <w14:lumOff w14:val="5000"/>
                    </w14:schemeClr>
                  </w14:solidFill>
                </w14:textFill>
              </w:rPr>
            </w:pPr>
            <w:r>
              <w:rPr>
                <w:rFonts w:hint="eastAsia" w:cs="Times New Roman"/>
                <w:b w:val="0"/>
                <w:bCs w:val="0"/>
                <w:color w:val="0D0D0D" w:themeColor="text1" w:themeTint="F2"/>
                <w14:textFill>
                  <w14:solidFill>
                    <w14:schemeClr w14:val="tx1">
                      <w14:lumMod w14:val="95000"/>
                      <w14:lumOff w14:val="5000"/>
                    </w14:schemeClr>
                  </w14:solidFill>
                </w14:textFill>
              </w:rPr>
              <w:t>本项目为新建项目，无与本项目有关的原有环境污染和生态破坏问题。</w:t>
            </w:r>
          </w:p>
        </w:tc>
      </w:tr>
      <w:tr w14:paraId="4DFB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3" w:type="dxa"/>
            <w:vAlign w:val="center"/>
          </w:tcPr>
          <w:p w14:paraId="69E24A2E">
            <w:pPr>
              <w:snapToGrid w:val="0"/>
              <w:spacing w:line="500" w:lineRule="exact"/>
              <w:jc w:val="center"/>
              <w:rPr>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生态环境保护目标</w:t>
            </w:r>
          </w:p>
        </w:tc>
        <w:tc>
          <w:tcPr>
            <w:tcW w:w="8157" w:type="dxa"/>
            <w:gridSpan w:val="5"/>
            <w:vAlign w:val="center"/>
          </w:tcPr>
          <w:p w14:paraId="2944B289">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参照《环境影响评价技术导则大气环境》(HJ2.2-2018)、《环境影响评价技术导则 声环境》(HJ2.4-2021)、《环境影响评价技术导则 土壤环境(试行)》(HJ964-2018)、《环境影响评价技术导则 生态影响》(HJ19-2022)、《环境影响评价技术导则地表水环境》(HJ2.3-2018)、《环境影响评价技术导则地下水环境》(HJ610-2016)、《建设项目环境风险评价技术导则》(HJ169-2018)、</w:t>
            </w:r>
            <w:bookmarkStart w:id="64" w:name="_Hlk167566341"/>
            <w:r>
              <w:rPr>
                <w:rFonts w:hint="eastAsia"/>
                <w:color w:val="0D0D0D" w:themeColor="text1" w:themeTint="F2"/>
                <w14:textFill>
                  <w14:solidFill>
                    <w14:schemeClr w14:val="tx1">
                      <w14:lumMod w14:val="95000"/>
                      <w14:lumOff w14:val="5000"/>
                    </w14:schemeClr>
                  </w14:solidFill>
                </w14:textFill>
              </w:rPr>
              <w:t>《环境影响评价技术导则陆地石油天然气开发建设项目》(HJ/T349-2023)等相关导则要求，本项目大气环境、地表水环境、地下水环境、土壤环境、环境风险均不设评价范围，生态评价范围为井场和生活营地周围50m范围、探临道路两侧外延300m；声环境评价范围为井场外延200m的范围，参照各环境要素及行业环境影响评价相关技术导则要求确定生态环境保护目标为生态环境评价范围内的野生动植物，生态环境评价范围内的野生植物保护要求为禁止随意踩踏碾压、砍伐，保护野生动植物生境不被破坏</w:t>
            </w:r>
            <w:bookmarkEnd w:id="64"/>
            <w:r>
              <w:rPr>
                <w:rFonts w:hint="eastAsia"/>
                <w:color w:val="0D0D0D" w:themeColor="text1" w:themeTint="F2"/>
                <w14:textFill>
                  <w14:solidFill>
                    <w14:schemeClr w14:val="tx1">
                      <w14:lumMod w14:val="95000"/>
                      <w14:lumOff w14:val="5000"/>
                    </w14:schemeClr>
                  </w14:solidFill>
                </w14:textFill>
              </w:rPr>
              <w:t>。</w:t>
            </w:r>
          </w:p>
          <w:p w14:paraId="1C38B742">
            <w:pPr>
              <w:pStyle w:val="8"/>
              <w:rPr>
                <w:rFonts w:hint="eastAsia"/>
                <w:color w:val="0D0D0D" w:themeColor="text1" w:themeTint="F2"/>
                <w14:textFill>
                  <w14:solidFill>
                    <w14:schemeClr w14:val="tx1">
                      <w14:lumMod w14:val="95000"/>
                      <w14:lumOff w14:val="5000"/>
                    </w14:schemeClr>
                  </w14:solidFill>
                </w14:textFill>
              </w:rPr>
            </w:pPr>
            <w:bookmarkStart w:id="65" w:name="_Hlk201941933"/>
            <w:r>
              <w:rPr>
                <w:rFonts w:hint="eastAsia"/>
                <w:color w:val="0D0D0D" w:themeColor="text1" w:themeTint="F2"/>
                <w14:textFill>
                  <w14:solidFill>
                    <w14:schemeClr w14:val="tx1">
                      <w14:lumMod w14:val="95000"/>
                      <w14:lumOff w14:val="5000"/>
                    </w14:schemeClr>
                  </w14:solidFill>
                </w14:textFill>
              </w:rPr>
              <w:t>表</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SEQ 表 \* ARABIC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15</w:t>
            </w:r>
            <w:r>
              <w:rPr>
                <w:rFonts w:hint="eastAsia"/>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 xml:space="preserve">    </w:t>
            </w:r>
            <w:bookmarkStart w:id="66" w:name="_Hlk213898000"/>
            <w:r>
              <w:rPr>
                <w:rFonts w:hint="eastAsia"/>
                <w:color w:val="0D0D0D" w:themeColor="text1" w:themeTint="F2"/>
                <w14:textFill>
                  <w14:solidFill>
                    <w14:schemeClr w14:val="tx1">
                      <w14:lumMod w14:val="95000"/>
                      <w14:lumOff w14:val="5000"/>
                    </w14:schemeClr>
                  </w14:solidFill>
                </w14:textFill>
              </w:rPr>
              <w:t>本项目环境保护目标一览表</w:t>
            </w:r>
          </w:p>
          <w:tbl>
            <w:tblPr>
              <w:tblStyle w:val="101"/>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1211"/>
              <w:gridCol w:w="1183"/>
              <w:gridCol w:w="1287"/>
              <w:gridCol w:w="954"/>
              <w:gridCol w:w="767"/>
              <w:gridCol w:w="2745"/>
            </w:tblGrid>
            <w:tr w14:paraId="04C7249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54" w:hRule="atLeast"/>
                <w:jc w:val="center"/>
              </w:trPr>
              <w:tc>
                <w:tcPr>
                  <w:tcW w:w="1211" w:type="dxa"/>
                  <w:vAlign w:val="center"/>
                </w:tcPr>
                <w:p w14:paraId="5374FA57">
                  <w:pPr>
                    <w:pStyle w:val="42"/>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保护要素</w:t>
                  </w:r>
                </w:p>
              </w:tc>
              <w:tc>
                <w:tcPr>
                  <w:tcW w:w="1183" w:type="dxa"/>
                  <w:vAlign w:val="center"/>
                </w:tcPr>
                <w:p w14:paraId="49B4B705">
                  <w:pPr>
                    <w:pStyle w:val="42"/>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保护对象</w:t>
                  </w:r>
                </w:p>
              </w:tc>
              <w:tc>
                <w:tcPr>
                  <w:tcW w:w="1287" w:type="dxa"/>
                  <w:vAlign w:val="center"/>
                </w:tcPr>
                <w:p w14:paraId="34DE055F">
                  <w:pPr>
                    <w:pStyle w:val="42"/>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数量规模</w:t>
                  </w:r>
                </w:p>
              </w:tc>
              <w:tc>
                <w:tcPr>
                  <w:tcW w:w="954" w:type="dxa"/>
                  <w:vAlign w:val="center"/>
                </w:tcPr>
                <w:p w14:paraId="4480DD16">
                  <w:pPr>
                    <w:pStyle w:val="42"/>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距离</w:t>
                  </w:r>
                </w:p>
              </w:tc>
              <w:tc>
                <w:tcPr>
                  <w:tcW w:w="767" w:type="dxa"/>
                  <w:vAlign w:val="center"/>
                </w:tcPr>
                <w:p w14:paraId="1EAE6B16">
                  <w:pPr>
                    <w:pStyle w:val="42"/>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方位</w:t>
                  </w:r>
                </w:p>
              </w:tc>
              <w:tc>
                <w:tcPr>
                  <w:tcW w:w="2745" w:type="dxa"/>
                  <w:vAlign w:val="center"/>
                </w:tcPr>
                <w:p w14:paraId="244EF985">
                  <w:pPr>
                    <w:pStyle w:val="42"/>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保护级别/保护要求</w:t>
                  </w:r>
                </w:p>
              </w:tc>
            </w:tr>
            <w:tr w14:paraId="0A11FA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54" w:hRule="atLeast"/>
                <w:jc w:val="center"/>
              </w:trPr>
              <w:tc>
                <w:tcPr>
                  <w:tcW w:w="1211" w:type="dxa"/>
                  <w:vMerge w:val="restart"/>
                  <w:vAlign w:val="center"/>
                </w:tcPr>
                <w:p w14:paraId="66D3239F">
                  <w:pPr>
                    <w:pStyle w:val="42"/>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生态环境</w:t>
                  </w:r>
                </w:p>
              </w:tc>
              <w:tc>
                <w:tcPr>
                  <w:tcW w:w="1183" w:type="dxa"/>
                  <w:vAlign w:val="center"/>
                </w:tcPr>
                <w:p w14:paraId="4D0A6D24">
                  <w:pPr>
                    <w:pStyle w:val="42"/>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其他野生</w:t>
                  </w:r>
                </w:p>
                <w:p w14:paraId="2409EAE0">
                  <w:pPr>
                    <w:pStyle w:val="42"/>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植物</w:t>
                  </w:r>
                </w:p>
              </w:tc>
              <w:tc>
                <w:tcPr>
                  <w:tcW w:w="1287" w:type="dxa"/>
                  <w:vAlign w:val="center"/>
                </w:tcPr>
                <w:p w14:paraId="2B846353">
                  <w:pPr>
                    <w:pStyle w:val="42"/>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植被覆盖度30%～40%</w:t>
                  </w:r>
                </w:p>
              </w:tc>
              <w:tc>
                <w:tcPr>
                  <w:tcW w:w="1721" w:type="dxa"/>
                  <w:gridSpan w:val="2"/>
                  <w:vAlign w:val="center"/>
                </w:tcPr>
                <w:p w14:paraId="10E339BA">
                  <w:pPr>
                    <w:pStyle w:val="42"/>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临时占地范围内</w:t>
                  </w:r>
                </w:p>
              </w:tc>
              <w:tc>
                <w:tcPr>
                  <w:tcW w:w="2745" w:type="dxa"/>
                  <w:vAlign w:val="center"/>
                </w:tcPr>
                <w:p w14:paraId="782A4E7D">
                  <w:pPr>
                    <w:pStyle w:val="42"/>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禁止随意踩踏、碾压、砍伐</w:t>
                  </w:r>
                </w:p>
              </w:tc>
            </w:tr>
            <w:tr w14:paraId="718082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54" w:hRule="atLeast"/>
                <w:jc w:val="center"/>
              </w:trPr>
              <w:tc>
                <w:tcPr>
                  <w:tcW w:w="1211" w:type="dxa"/>
                  <w:vMerge w:val="continue"/>
                  <w:vAlign w:val="center"/>
                </w:tcPr>
                <w:p w14:paraId="6ED38CE4">
                  <w:pPr>
                    <w:pStyle w:val="42"/>
                    <w:rPr>
                      <w:rFonts w:hint="eastAsia"/>
                      <w:color w:val="0D0D0D" w:themeColor="text1" w:themeTint="F2"/>
                      <w14:textFill>
                        <w14:solidFill>
                          <w14:schemeClr w14:val="tx1">
                            <w14:lumMod w14:val="95000"/>
                            <w14:lumOff w14:val="5000"/>
                          </w14:schemeClr>
                        </w14:solidFill>
                      </w14:textFill>
                    </w:rPr>
                  </w:pPr>
                </w:p>
              </w:tc>
              <w:tc>
                <w:tcPr>
                  <w:tcW w:w="1183" w:type="dxa"/>
                  <w:vAlign w:val="center"/>
                </w:tcPr>
                <w:p w14:paraId="44D0F546">
                  <w:pPr>
                    <w:pStyle w:val="42"/>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野生动物</w:t>
                  </w:r>
                </w:p>
              </w:tc>
              <w:tc>
                <w:tcPr>
                  <w:tcW w:w="1287" w:type="dxa"/>
                  <w:vAlign w:val="center"/>
                </w:tcPr>
                <w:p w14:paraId="1F5E4E61">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p>
              </w:tc>
              <w:tc>
                <w:tcPr>
                  <w:tcW w:w="1721" w:type="dxa"/>
                  <w:gridSpan w:val="2"/>
                  <w:vAlign w:val="center"/>
                </w:tcPr>
                <w:p w14:paraId="7FF1B1CE">
                  <w:pPr>
                    <w:pStyle w:val="42"/>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临时占地范围内</w:t>
                  </w:r>
                </w:p>
              </w:tc>
              <w:tc>
                <w:tcPr>
                  <w:tcW w:w="2745" w:type="dxa"/>
                  <w:vAlign w:val="center"/>
                </w:tcPr>
                <w:p w14:paraId="763F327B">
                  <w:pPr>
                    <w:pStyle w:val="42"/>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禁止破坏野生动物生境，禁止捕猎野生动物</w:t>
                  </w:r>
                </w:p>
              </w:tc>
            </w:tr>
            <w:bookmarkEnd w:id="65"/>
            <w:bookmarkEnd w:id="66"/>
          </w:tbl>
          <w:p w14:paraId="6A11F544">
            <w:pPr>
              <w:pStyle w:val="38"/>
              <w:ind w:firstLine="480"/>
              <w:rPr>
                <w:rFonts w:hint="eastAsia"/>
                <w:color w:val="0D0D0D" w:themeColor="text1" w:themeTint="F2"/>
                <w14:textFill>
                  <w14:solidFill>
                    <w14:schemeClr w14:val="tx1">
                      <w14:lumMod w14:val="95000"/>
                      <w14:lumOff w14:val="5000"/>
                    </w14:schemeClr>
                  </w14:solidFill>
                </w14:textFill>
              </w:rPr>
            </w:pPr>
          </w:p>
        </w:tc>
      </w:tr>
      <w:tr w14:paraId="2C15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33" w:type="dxa"/>
            <w:vMerge w:val="restart"/>
            <w:vAlign w:val="center"/>
          </w:tcPr>
          <w:p w14:paraId="367D3C8F">
            <w:pPr>
              <w:pStyle w:val="11"/>
              <w:spacing w:line="400" w:lineRule="exact"/>
              <w:ind w:firstLine="0" w:firstLineChars="0"/>
              <w:jc w:val="center"/>
              <w:rPr>
                <w:rFonts w:hint="eastAsia"/>
                <w:b w:val="0"/>
                <w:bCs w:val="0"/>
                <w:color w:val="0D0D0D" w:themeColor="text1" w:themeTint="F2"/>
                <w14:textFill>
                  <w14:solidFill>
                    <w14:schemeClr w14:val="tx1">
                      <w14:lumMod w14:val="95000"/>
                      <w14:lumOff w14:val="5000"/>
                    </w14:schemeClr>
                  </w14:solidFill>
                </w14:textFill>
              </w:rPr>
            </w:pPr>
            <w:bookmarkStart w:id="67" w:name="_Hlk136793712"/>
            <w:r>
              <w:rPr>
                <w:rFonts w:hint="eastAsia"/>
                <w:b w:val="0"/>
                <w:bCs w:val="0"/>
                <w:color w:val="0D0D0D" w:themeColor="text1" w:themeTint="F2"/>
                <w14:textFill>
                  <w14:solidFill>
                    <w14:schemeClr w14:val="tx1">
                      <w14:lumMod w14:val="95000"/>
                      <w14:lumOff w14:val="5000"/>
                    </w14:schemeClr>
                  </w14:solidFill>
                </w14:textFill>
              </w:rPr>
              <w:t>评价标准</w:t>
            </w:r>
          </w:p>
        </w:tc>
        <w:tc>
          <w:tcPr>
            <w:tcW w:w="4586" w:type="dxa"/>
            <w:gridSpan w:val="4"/>
            <w:vAlign w:val="center"/>
          </w:tcPr>
          <w:p w14:paraId="7D891DAD">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环境要素</w:t>
            </w:r>
          </w:p>
        </w:tc>
        <w:tc>
          <w:tcPr>
            <w:tcW w:w="3571" w:type="dxa"/>
            <w:vAlign w:val="center"/>
          </w:tcPr>
          <w:p w14:paraId="10446CFD">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评价标准</w:t>
            </w:r>
          </w:p>
        </w:tc>
      </w:tr>
      <w:tr w14:paraId="673C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33" w:type="dxa"/>
            <w:vMerge w:val="continue"/>
            <w:vAlign w:val="center"/>
          </w:tcPr>
          <w:p w14:paraId="5C2D890D">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740" w:type="dxa"/>
            <w:vMerge w:val="restart"/>
            <w:vAlign w:val="center"/>
          </w:tcPr>
          <w:p w14:paraId="59EF9D19">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环境质量标准</w:t>
            </w:r>
          </w:p>
        </w:tc>
        <w:tc>
          <w:tcPr>
            <w:tcW w:w="1479" w:type="dxa"/>
            <w:gridSpan w:val="2"/>
            <w:vMerge w:val="restart"/>
            <w:vAlign w:val="center"/>
          </w:tcPr>
          <w:p w14:paraId="586ABF11">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环境空气</w:t>
            </w:r>
          </w:p>
        </w:tc>
        <w:tc>
          <w:tcPr>
            <w:tcW w:w="2367" w:type="dxa"/>
            <w:vAlign w:val="center"/>
          </w:tcPr>
          <w:p w14:paraId="1230DA1A">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基本污染物</w:t>
            </w:r>
          </w:p>
        </w:tc>
        <w:tc>
          <w:tcPr>
            <w:tcW w:w="3571" w:type="dxa"/>
            <w:vAlign w:val="center"/>
          </w:tcPr>
          <w:p w14:paraId="772BD2A3">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《环境空气质量标准》（GB3095-2026）二级</w:t>
            </w:r>
          </w:p>
        </w:tc>
      </w:tr>
      <w:tr w14:paraId="61DB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33" w:type="dxa"/>
            <w:vMerge w:val="continue"/>
            <w:vAlign w:val="center"/>
          </w:tcPr>
          <w:p w14:paraId="1C6FB6FD">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bookmarkStart w:id="68" w:name="_Hlk181019687"/>
          </w:p>
        </w:tc>
        <w:tc>
          <w:tcPr>
            <w:tcW w:w="740" w:type="dxa"/>
            <w:vMerge w:val="continue"/>
            <w:vAlign w:val="center"/>
          </w:tcPr>
          <w:p w14:paraId="04CBB6F8">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p>
        </w:tc>
        <w:tc>
          <w:tcPr>
            <w:tcW w:w="1479" w:type="dxa"/>
            <w:gridSpan w:val="2"/>
            <w:vMerge w:val="continue"/>
            <w:vAlign w:val="center"/>
          </w:tcPr>
          <w:p w14:paraId="1636FE45">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p>
        </w:tc>
        <w:tc>
          <w:tcPr>
            <w:tcW w:w="2367" w:type="dxa"/>
            <w:vMerge w:val="restart"/>
            <w:vAlign w:val="center"/>
          </w:tcPr>
          <w:p w14:paraId="56C55D0E">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其他污染物</w:t>
            </w:r>
          </w:p>
        </w:tc>
        <w:tc>
          <w:tcPr>
            <w:tcW w:w="3571" w:type="dxa"/>
            <w:vAlign w:val="center"/>
          </w:tcPr>
          <w:p w14:paraId="6C8FC091">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非甲烷总烃：《〈大气污染物综合排放标准〉详解》</w:t>
            </w:r>
          </w:p>
        </w:tc>
      </w:tr>
      <w:tr w14:paraId="3604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33" w:type="dxa"/>
            <w:vMerge w:val="continue"/>
            <w:vAlign w:val="center"/>
          </w:tcPr>
          <w:p w14:paraId="3C4DB82D">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740" w:type="dxa"/>
            <w:vMerge w:val="continue"/>
            <w:vAlign w:val="center"/>
          </w:tcPr>
          <w:p w14:paraId="0C9F7BCE">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p>
        </w:tc>
        <w:tc>
          <w:tcPr>
            <w:tcW w:w="1479" w:type="dxa"/>
            <w:gridSpan w:val="2"/>
            <w:vMerge w:val="continue"/>
            <w:vAlign w:val="center"/>
          </w:tcPr>
          <w:p w14:paraId="5D5D3F10">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p>
        </w:tc>
        <w:tc>
          <w:tcPr>
            <w:tcW w:w="2367" w:type="dxa"/>
            <w:vMerge w:val="continue"/>
            <w:vAlign w:val="center"/>
          </w:tcPr>
          <w:p w14:paraId="5D492F9D">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p>
        </w:tc>
        <w:tc>
          <w:tcPr>
            <w:tcW w:w="3571" w:type="dxa"/>
            <w:vAlign w:val="center"/>
          </w:tcPr>
          <w:p w14:paraId="5BB47BF7">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硫化氢：《环境影响评价技术导则大气环境》（</w:t>
            </w:r>
            <w:r>
              <w:rPr>
                <w:rFonts w:ascii="宋体" w:hAnsi="宋体" w:cs="宋体"/>
                <w:color w:val="0D0D0D" w:themeColor="text1" w:themeTint="F2"/>
                <w14:textFill>
                  <w14:solidFill>
                    <w14:schemeClr w14:val="tx1">
                      <w14:lumMod w14:val="95000"/>
                      <w14:lumOff w14:val="5000"/>
                    </w14:schemeClr>
                  </w14:solidFill>
                </w14:textFill>
              </w:rPr>
              <w:t>HJ2.2-2018）附录D中</w:t>
            </w:r>
            <w:r>
              <w:rPr>
                <w:rFonts w:hint="eastAsia" w:ascii="宋体" w:hAnsi="宋体" w:cs="宋体"/>
                <w:color w:val="0D0D0D" w:themeColor="text1" w:themeTint="F2"/>
                <w14:textFill>
                  <w14:solidFill>
                    <w14:schemeClr w14:val="tx1">
                      <w14:lumMod w14:val="95000"/>
                      <w14:lumOff w14:val="5000"/>
                    </w14:schemeClr>
                  </w14:solidFill>
                </w14:textFill>
              </w:rPr>
              <w:t>推荐值</w:t>
            </w:r>
          </w:p>
        </w:tc>
      </w:tr>
      <w:bookmarkEnd w:id="68"/>
      <w:tr w14:paraId="0BD4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33" w:type="dxa"/>
            <w:vMerge w:val="continue"/>
            <w:vAlign w:val="center"/>
          </w:tcPr>
          <w:p w14:paraId="69E493F0">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740" w:type="dxa"/>
            <w:vMerge w:val="continue"/>
            <w:vAlign w:val="center"/>
          </w:tcPr>
          <w:p w14:paraId="010C54E1">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p>
        </w:tc>
        <w:tc>
          <w:tcPr>
            <w:tcW w:w="1479" w:type="dxa"/>
            <w:gridSpan w:val="2"/>
            <w:vAlign w:val="center"/>
          </w:tcPr>
          <w:p w14:paraId="5120E46C">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声环境</w:t>
            </w:r>
          </w:p>
        </w:tc>
        <w:tc>
          <w:tcPr>
            <w:tcW w:w="2367" w:type="dxa"/>
            <w:vAlign w:val="center"/>
          </w:tcPr>
          <w:p w14:paraId="75E7F546">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噪声</w:t>
            </w:r>
          </w:p>
        </w:tc>
        <w:tc>
          <w:tcPr>
            <w:tcW w:w="3571" w:type="dxa"/>
            <w:vAlign w:val="center"/>
          </w:tcPr>
          <w:p w14:paraId="5EB97544">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《声环境质量标准》（GB3096-2008），2类</w:t>
            </w:r>
          </w:p>
        </w:tc>
      </w:tr>
      <w:tr w14:paraId="7309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33" w:type="dxa"/>
            <w:vMerge w:val="continue"/>
            <w:vAlign w:val="center"/>
          </w:tcPr>
          <w:p w14:paraId="74789F7A">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740" w:type="dxa"/>
            <w:vMerge w:val="restart"/>
            <w:vAlign w:val="center"/>
          </w:tcPr>
          <w:p w14:paraId="528AEF33">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污染物排放标准</w:t>
            </w:r>
          </w:p>
        </w:tc>
        <w:tc>
          <w:tcPr>
            <w:tcW w:w="1479" w:type="dxa"/>
            <w:gridSpan w:val="2"/>
            <w:vMerge w:val="restart"/>
            <w:vAlign w:val="center"/>
          </w:tcPr>
          <w:p w14:paraId="37075650">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废气</w:t>
            </w:r>
          </w:p>
        </w:tc>
        <w:tc>
          <w:tcPr>
            <w:tcW w:w="2367" w:type="dxa"/>
            <w:vAlign w:val="center"/>
          </w:tcPr>
          <w:p w14:paraId="2F870C49">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施工期柴油机、发电机排放废气，伴生气燃烧过程排放的二氧化硫、氮氧化物和颗粒物</w:t>
            </w:r>
          </w:p>
        </w:tc>
        <w:tc>
          <w:tcPr>
            <w:tcW w:w="3571" w:type="dxa"/>
            <w:vAlign w:val="center"/>
          </w:tcPr>
          <w:p w14:paraId="6AEF2276">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《大气污染物综合排放标准》（GB16297-1996）</w:t>
            </w:r>
          </w:p>
        </w:tc>
      </w:tr>
      <w:tr w14:paraId="2EA2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7" w:hRule="atLeast"/>
        </w:trPr>
        <w:tc>
          <w:tcPr>
            <w:tcW w:w="733" w:type="dxa"/>
            <w:vMerge w:val="continue"/>
            <w:vAlign w:val="center"/>
          </w:tcPr>
          <w:p w14:paraId="5F4214F1">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740" w:type="dxa"/>
            <w:vMerge w:val="continue"/>
            <w:vAlign w:val="center"/>
          </w:tcPr>
          <w:p w14:paraId="052A50AC">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1479" w:type="dxa"/>
            <w:gridSpan w:val="2"/>
            <w:vMerge w:val="continue"/>
            <w:vAlign w:val="center"/>
          </w:tcPr>
          <w:p w14:paraId="43659846">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2367" w:type="dxa"/>
            <w:vMerge w:val="restart"/>
            <w:vAlign w:val="center"/>
          </w:tcPr>
          <w:p w14:paraId="2B8F7B57">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伴生气燃烧过程、采出液储存及装车过程、柴油卸车及储存过程中排放的非甲烷总烃和硫化氢</w:t>
            </w:r>
          </w:p>
        </w:tc>
        <w:tc>
          <w:tcPr>
            <w:tcW w:w="3571" w:type="dxa"/>
            <w:vAlign w:val="center"/>
          </w:tcPr>
          <w:p w14:paraId="3A7B7E24">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非甲烷总烃：《陆上石油天然气开采工业大气污染物排放标准》（GB39728-2020）</w:t>
            </w:r>
          </w:p>
        </w:tc>
      </w:tr>
      <w:tr w14:paraId="4DAC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3" w:type="dxa"/>
            <w:vMerge w:val="continue"/>
            <w:vAlign w:val="center"/>
          </w:tcPr>
          <w:p w14:paraId="3C7C9A03">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740" w:type="dxa"/>
            <w:vMerge w:val="continue"/>
            <w:vAlign w:val="center"/>
          </w:tcPr>
          <w:p w14:paraId="132D40E1">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1479" w:type="dxa"/>
            <w:gridSpan w:val="2"/>
            <w:vMerge w:val="continue"/>
            <w:vAlign w:val="center"/>
          </w:tcPr>
          <w:p w14:paraId="4A1EBEC5">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2367" w:type="dxa"/>
            <w:vMerge w:val="continue"/>
            <w:vAlign w:val="center"/>
          </w:tcPr>
          <w:p w14:paraId="18896CE7">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p>
        </w:tc>
        <w:tc>
          <w:tcPr>
            <w:tcW w:w="3571" w:type="dxa"/>
            <w:vAlign w:val="center"/>
          </w:tcPr>
          <w:p w14:paraId="6B238B85">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硫化氢：《恶臭污染物排放标准》（GB14554-93）</w:t>
            </w:r>
          </w:p>
        </w:tc>
      </w:tr>
      <w:bookmarkEnd w:id="67"/>
      <w:tr w14:paraId="6B71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3" w:type="dxa"/>
            <w:vMerge w:val="continue"/>
            <w:vAlign w:val="center"/>
          </w:tcPr>
          <w:p w14:paraId="4EB687C2">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740" w:type="dxa"/>
            <w:vMerge w:val="continue"/>
            <w:vAlign w:val="center"/>
          </w:tcPr>
          <w:p w14:paraId="4B830F4B">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1479" w:type="dxa"/>
            <w:gridSpan w:val="2"/>
            <w:vAlign w:val="center"/>
          </w:tcPr>
          <w:p w14:paraId="7DEE86B6">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废水</w:t>
            </w:r>
          </w:p>
        </w:tc>
        <w:tc>
          <w:tcPr>
            <w:tcW w:w="2367" w:type="dxa"/>
            <w:vAlign w:val="center"/>
          </w:tcPr>
          <w:p w14:paraId="42B2E57C">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试油废水依托</w:t>
            </w:r>
            <w:bookmarkStart w:id="69" w:name="OLE_LINK20"/>
            <w:r>
              <w:rPr>
                <w:rFonts w:hint="eastAsia" w:ascii="宋体" w:hAnsi="宋体" w:cs="宋体"/>
                <w:color w:val="0D0D0D" w:themeColor="text1" w:themeTint="F2"/>
                <w14:textFill>
                  <w14:solidFill>
                    <w14:schemeClr w14:val="tx1">
                      <w14:lumMod w14:val="95000"/>
                      <w14:lumOff w14:val="5000"/>
                    </w14:schemeClr>
                  </w14:solidFill>
                </w14:textFill>
              </w:rPr>
              <w:t>红山嘴原油处理站处理</w:t>
            </w:r>
            <w:bookmarkEnd w:id="69"/>
          </w:p>
        </w:tc>
        <w:tc>
          <w:tcPr>
            <w:tcW w:w="3571" w:type="dxa"/>
            <w:vAlign w:val="center"/>
          </w:tcPr>
          <w:p w14:paraId="641A9924">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ascii="宋体" w:hAnsi="宋体" w:cs="宋体"/>
                <w:color w:val="0D0D0D" w:themeColor="text1" w:themeTint="F2"/>
                <w14:textFill>
                  <w14:solidFill>
                    <w14:schemeClr w14:val="tx1">
                      <w14:lumMod w14:val="95000"/>
                      <w14:lumOff w14:val="5000"/>
                    </w14:schemeClr>
                  </w14:solidFill>
                </w14:textFill>
              </w:rPr>
              <w:t>红山嘴原油处理站采出水处理系统处理，</w:t>
            </w:r>
            <w:r>
              <w:rPr>
                <w:rFonts w:hint="eastAsia" w:ascii="宋体" w:hAnsi="宋体" w:cs="宋体"/>
                <w:color w:val="0D0D0D" w:themeColor="text1" w:themeTint="F2"/>
                <w14:textFill>
                  <w14:solidFill>
                    <w14:schemeClr w14:val="tx1">
                      <w14:lumMod w14:val="95000"/>
                      <w14:lumOff w14:val="5000"/>
                    </w14:schemeClr>
                  </w14:solidFill>
                </w14:textFill>
              </w:rPr>
              <w:t>出水水质执行</w:t>
            </w:r>
            <w:r>
              <w:rPr>
                <w:rFonts w:ascii="宋体" w:hAnsi="宋体" w:cs="宋体"/>
                <w:color w:val="0D0D0D" w:themeColor="text1" w:themeTint="F2"/>
                <w14:textFill>
                  <w14:solidFill>
                    <w14:schemeClr w14:val="tx1">
                      <w14:lumMod w14:val="95000"/>
                      <w14:lumOff w14:val="5000"/>
                    </w14:schemeClr>
                  </w14:solidFill>
                </w14:textFill>
              </w:rPr>
              <w:t>《碎屑岩油藏注水水质指标技术要求及分析方法》（SY/T5329-2022）的相关标准</w:t>
            </w:r>
          </w:p>
        </w:tc>
      </w:tr>
      <w:tr w14:paraId="6FDB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33" w:type="dxa"/>
            <w:vMerge w:val="continue"/>
            <w:vAlign w:val="center"/>
          </w:tcPr>
          <w:p w14:paraId="669CCAFB">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740" w:type="dxa"/>
            <w:vMerge w:val="continue"/>
            <w:vAlign w:val="center"/>
          </w:tcPr>
          <w:p w14:paraId="2823F160">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1479" w:type="dxa"/>
            <w:gridSpan w:val="2"/>
            <w:vAlign w:val="center"/>
          </w:tcPr>
          <w:p w14:paraId="05EFC2D3">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噪声</w:t>
            </w:r>
          </w:p>
        </w:tc>
        <w:tc>
          <w:tcPr>
            <w:tcW w:w="2367" w:type="dxa"/>
            <w:vAlign w:val="center"/>
          </w:tcPr>
          <w:p w14:paraId="5A11CF0D">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施工期井场噪声</w:t>
            </w:r>
          </w:p>
        </w:tc>
        <w:tc>
          <w:tcPr>
            <w:tcW w:w="3571" w:type="dxa"/>
            <w:vAlign w:val="center"/>
          </w:tcPr>
          <w:p w14:paraId="7840FA9D">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《建筑施工噪声排放标准》（GB12523-2025）</w:t>
            </w:r>
          </w:p>
        </w:tc>
      </w:tr>
      <w:tr w14:paraId="74B4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33" w:type="dxa"/>
            <w:vMerge w:val="continue"/>
            <w:vAlign w:val="center"/>
          </w:tcPr>
          <w:p w14:paraId="4BD33827">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740" w:type="dxa"/>
            <w:vMerge w:val="restart"/>
            <w:vAlign w:val="center"/>
          </w:tcPr>
          <w:p w14:paraId="011E0C1C">
            <w:pPr>
              <w:pStyle w:val="11"/>
              <w:spacing w:line="400" w:lineRule="exact"/>
              <w:ind w:firstLine="0" w:firstLineChars="0"/>
              <w:jc w:val="center"/>
              <w:rPr>
                <w:rFonts w:hint="eastAsia"/>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kern w:val="2"/>
                <w14:textFill>
                  <w14:solidFill>
                    <w14:schemeClr w14:val="tx1">
                      <w14:lumMod w14:val="95000"/>
                      <w14:lumOff w14:val="5000"/>
                    </w14:schemeClr>
                  </w14:solidFill>
                </w14:textFill>
              </w:rPr>
              <w:t>污染物控制标准</w:t>
            </w:r>
          </w:p>
        </w:tc>
        <w:tc>
          <w:tcPr>
            <w:tcW w:w="740" w:type="dxa"/>
            <w:vMerge w:val="restart"/>
            <w:tcBorders>
              <w:right w:val="single" w:color="000000" w:sz="4" w:space="0"/>
            </w:tcBorders>
            <w:vAlign w:val="center"/>
          </w:tcPr>
          <w:p w14:paraId="78C33CC6">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固废</w:t>
            </w:r>
          </w:p>
        </w:tc>
        <w:tc>
          <w:tcPr>
            <w:tcW w:w="739" w:type="dxa"/>
            <w:tcBorders>
              <w:left w:val="single" w:color="000000" w:sz="4" w:space="0"/>
            </w:tcBorders>
            <w:vAlign w:val="center"/>
          </w:tcPr>
          <w:p w14:paraId="74FF7762">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一般固废</w:t>
            </w:r>
          </w:p>
        </w:tc>
        <w:tc>
          <w:tcPr>
            <w:tcW w:w="2367" w:type="dxa"/>
            <w:vAlign w:val="center"/>
          </w:tcPr>
          <w:p w14:paraId="0793CEEF">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水基钻井岩屑</w:t>
            </w:r>
          </w:p>
        </w:tc>
        <w:tc>
          <w:tcPr>
            <w:tcW w:w="3571" w:type="dxa"/>
            <w:vAlign w:val="center"/>
          </w:tcPr>
          <w:p w14:paraId="4C7662B1">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《一般工业固体废物贮存和填埋污染控制标准》（GB18599-2020）</w:t>
            </w:r>
          </w:p>
        </w:tc>
      </w:tr>
      <w:tr w14:paraId="097A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3" w:hRule="atLeast"/>
        </w:trPr>
        <w:tc>
          <w:tcPr>
            <w:tcW w:w="733" w:type="dxa"/>
            <w:vMerge w:val="continue"/>
            <w:vAlign w:val="center"/>
          </w:tcPr>
          <w:p w14:paraId="5EADA015">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740" w:type="dxa"/>
            <w:vMerge w:val="continue"/>
            <w:vAlign w:val="center"/>
          </w:tcPr>
          <w:p w14:paraId="45E33DE4">
            <w:pPr>
              <w:pStyle w:val="11"/>
              <w:spacing w:line="400" w:lineRule="exact"/>
              <w:jc w:val="center"/>
              <w:rPr>
                <w:rFonts w:hint="eastAsia"/>
                <w:color w:val="0D0D0D" w:themeColor="text1" w:themeTint="F2"/>
                <w14:textFill>
                  <w14:solidFill>
                    <w14:schemeClr w14:val="tx1">
                      <w14:lumMod w14:val="95000"/>
                      <w14:lumOff w14:val="5000"/>
                    </w14:schemeClr>
                  </w14:solidFill>
                </w14:textFill>
              </w:rPr>
            </w:pPr>
          </w:p>
        </w:tc>
        <w:tc>
          <w:tcPr>
            <w:tcW w:w="740" w:type="dxa"/>
            <w:vMerge w:val="continue"/>
            <w:tcBorders>
              <w:right w:val="single" w:color="000000" w:sz="4" w:space="0"/>
            </w:tcBorders>
            <w:vAlign w:val="center"/>
          </w:tcPr>
          <w:p w14:paraId="39CA1BC3">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p>
        </w:tc>
        <w:tc>
          <w:tcPr>
            <w:tcW w:w="739" w:type="dxa"/>
            <w:tcBorders>
              <w:left w:val="single" w:color="000000" w:sz="4" w:space="0"/>
            </w:tcBorders>
            <w:vAlign w:val="center"/>
          </w:tcPr>
          <w:p w14:paraId="1997C9B4">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危险废物</w:t>
            </w:r>
          </w:p>
        </w:tc>
        <w:tc>
          <w:tcPr>
            <w:tcW w:w="2367" w:type="dxa"/>
            <w:vAlign w:val="center"/>
          </w:tcPr>
          <w:p w14:paraId="6F21CB44">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ascii="宋体" w:hAnsi="宋体" w:cs="宋体"/>
                <w:color w:val="0D0D0D" w:themeColor="text1" w:themeTint="F2"/>
                <w14:textFill>
                  <w14:solidFill>
                    <w14:schemeClr w14:val="tx1">
                      <w14:lumMod w14:val="95000"/>
                      <w14:lumOff w14:val="5000"/>
                    </w14:schemeClr>
                  </w14:solidFill>
                </w14:textFill>
              </w:rPr>
              <w:t>油基钻井岩屑、</w:t>
            </w:r>
            <w:r>
              <w:rPr>
                <w:rFonts w:hint="eastAsia" w:ascii="宋体" w:hAnsi="宋体" w:cs="宋体"/>
                <w:color w:val="0D0D0D" w:themeColor="text1" w:themeTint="F2"/>
                <w14:textFill>
                  <w14:solidFill>
                    <w14:schemeClr w14:val="tx1">
                      <w14:lumMod w14:val="95000"/>
                      <w14:lumOff w14:val="5000"/>
                    </w14:schemeClr>
                  </w14:solidFill>
                </w14:textFill>
              </w:rPr>
              <w:t>沾油废防渗材料、废润滑油和废润滑油桶</w:t>
            </w:r>
          </w:p>
        </w:tc>
        <w:tc>
          <w:tcPr>
            <w:tcW w:w="3571" w:type="dxa"/>
            <w:vAlign w:val="center"/>
          </w:tcPr>
          <w:p w14:paraId="7E7FD77A">
            <w:pPr>
              <w:widowControl/>
              <w:snapToGrid w:val="0"/>
              <w:spacing w:line="4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《危险废物贮存污染控制标准》（GB18597-2023）</w:t>
            </w:r>
          </w:p>
        </w:tc>
      </w:tr>
      <w:tr w14:paraId="120D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7" w:hRule="atLeast"/>
        </w:trPr>
        <w:tc>
          <w:tcPr>
            <w:tcW w:w="733" w:type="dxa"/>
            <w:vAlign w:val="center"/>
          </w:tcPr>
          <w:p w14:paraId="34D6399F">
            <w:pPr>
              <w:pStyle w:val="11"/>
              <w:spacing w:line="400" w:lineRule="exact"/>
              <w:ind w:firstLine="0" w:firstLineChars="0"/>
              <w:jc w:val="center"/>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其他</w:t>
            </w:r>
          </w:p>
        </w:tc>
        <w:tc>
          <w:tcPr>
            <w:tcW w:w="8157" w:type="dxa"/>
            <w:gridSpan w:val="5"/>
            <w:vAlign w:val="center"/>
          </w:tcPr>
          <w:p w14:paraId="196D52CB">
            <w:pPr>
              <w:widowControl/>
              <w:snapToGrid w:val="0"/>
              <w:spacing w:line="400" w:lineRule="exact"/>
              <w:ind w:firstLine="480" w:firstLineChars="200"/>
              <w:jc w:val="center"/>
              <w:rPr>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本</w:t>
            </w:r>
            <w:r>
              <w:rPr>
                <w:rFonts w:hint="eastAsia"/>
                <w:color w:val="0D0D0D" w:themeColor="text1" w:themeTint="F2"/>
                <w14:textFill>
                  <w14:solidFill>
                    <w14:schemeClr w14:val="tx1">
                      <w14:lumMod w14:val="95000"/>
                      <w14:lumOff w14:val="5000"/>
                    </w14:schemeClr>
                  </w14:solidFill>
                </w14:textFill>
              </w:rPr>
              <w:t>项目不涉及总量控制指标</w:t>
            </w:r>
            <w:r>
              <w:rPr>
                <w:color w:val="0D0D0D" w:themeColor="text1" w:themeTint="F2"/>
                <w14:textFill>
                  <w14:solidFill>
                    <w14:schemeClr w14:val="tx1">
                      <w14:lumMod w14:val="95000"/>
                      <w14:lumOff w14:val="5000"/>
                    </w14:schemeClr>
                  </w14:solidFill>
                </w14:textFill>
              </w:rPr>
              <w:t>。</w:t>
            </w:r>
          </w:p>
        </w:tc>
      </w:tr>
    </w:tbl>
    <w:p w14:paraId="3D5F62DC">
      <w:pPr>
        <w:pStyle w:val="11"/>
        <w:rPr>
          <w:rFonts w:hint="eastAsia"/>
          <w:color w:val="0D0D0D" w:themeColor="text1" w:themeTint="F2"/>
          <w14:textFill>
            <w14:solidFill>
              <w14:schemeClr w14:val="tx1">
                <w14:lumMod w14:val="95000"/>
                <w14:lumOff w14:val="5000"/>
              </w14:schemeClr>
            </w14:solidFill>
          </w14:textFill>
        </w:rPr>
        <w:sectPr>
          <w:pgSz w:w="11906" w:h="16838"/>
          <w:pgMar w:top="1418" w:right="1418" w:bottom="1588" w:left="1588" w:header="851" w:footer="992" w:gutter="0"/>
          <w:cols w:space="425" w:num="1"/>
          <w:docGrid w:type="lines" w:linePitch="326" w:charSpace="0"/>
        </w:sectPr>
      </w:pPr>
    </w:p>
    <w:p w14:paraId="0F605DD4">
      <w:pPr>
        <w:pStyle w:val="2"/>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pPr>
      <w:r>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t>四、生态环境影响分析</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8240"/>
      </w:tblGrid>
      <w:tr w14:paraId="1090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14:paraId="7EFC4190">
            <w:pPr>
              <w:pStyle w:val="11"/>
              <w:ind w:firstLine="0" w:firstLineChars="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施工期生态环境影响分析</w:t>
            </w:r>
          </w:p>
        </w:tc>
        <w:tc>
          <w:tcPr>
            <w:tcW w:w="7899" w:type="dxa"/>
          </w:tcPr>
          <w:p w14:paraId="2E6C3051">
            <w:pPr>
              <w:pStyle w:val="11"/>
              <w:rPr>
                <w:rFonts w:hint="eastAsia"/>
                <w:color w:val="0D0D0D" w:themeColor="text1" w:themeTint="F2"/>
                <w14:textFill>
                  <w14:solidFill>
                    <w14:schemeClr w14:val="tx1">
                      <w14:lumMod w14:val="95000"/>
                      <w14:lumOff w14:val="5000"/>
                    </w14:schemeClr>
                  </w14:solidFill>
                </w14:textFill>
              </w:rPr>
            </w:pPr>
            <w:bookmarkStart w:id="70" w:name="_Hlk136794071"/>
            <w:r>
              <w:rPr>
                <w:rFonts w:hint="eastAsia"/>
                <w:color w:val="0D0D0D" w:themeColor="text1" w:themeTint="F2"/>
                <w14:textFill>
                  <w14:solidFill>
                    <w14:schemeClr w14:val="tx1">
                      <w14:lumMod w14:val="95000"/>
                      <w14:lumOff w14:val="5000"/>
                    </w14:schemeClr>
                  </w14:solidFill>
                </w14:textFill>
              </w:rPr>
              <w:t>1、生态环境影响分析</w:t>
            </w:r>
          </w:p>
          <w:bookmarkEnd w:id="70"/>
          <w:p w14:paraId="078668C6">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（1）工程占地</w:t>
            </w:r>
          </w:p>
          <w:p w14:paraId="4A6E2322">
            <w:pPr>
              <w:pStyle w:val="38"/>
              <w:ind w:firstLine="480"/>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拟部署井占地主要包括井场、探临道路、生活营地等，总占地面积26580m</w:t>
            </w:r>
            <w:r>
              <w:rPr>
                <w:rFonts w:hint="eastAsia"/>
                <w:color w:val="0D0D0D" w:themeColor="text1" w:themeTint="F2"/>
                <w:vertAlign w:val="superscript"/>
                <w14:textFill>
                  <w14:solidFill>
                    <w14:schemeClr w14:val="tx1">
                      <w14:lumMod w14:val="95000"/>
                      <w14:lumOff w14:val="5000"/>
                    </w14:schemeClr>
                  </w14:solidFill>
                </w14:textFill>
              </w:rPr>
              <w:t>2</w:t>
            </w:r>
            <w:r>
              <w:rPr>
                <w:rFonts w:hint="eastAsia"/>
                <w:color w:val="0D0D0D" w:themeColor="text1" w:themeTint="F2"/>
                <w14:textFill>
                  <w14:solidFill>
                    <w14:schemeClr w14:val="tx1">
                      <w14:lumMod w14:val="95000"/>
                      <w14:lumOff w14:val="5000"/>
                    </w14:schemeClr>
                  </w14:solidFill>
                </w14:textFill>
              </w:rPr>
              <w:t>，</w:t>
            </w:r>
            <w:bookmarkStart w:id="71" w:name="_Hlk167562934"/>
            <w:r>
              <w:rPr>
                <w:rFonts w:hint="eastAsia"/>
                <w:color w:val="0D0D0D" w:themeColor="text1" w:themeTint="F2"/>
                <w14:textFill>
                  <w14:solidFill>
                    <w14:schemeClr w14:val="tx1">
                      <w14:lumMod w14:val="95000"/>
                      <w14:lumOff w14:val="5000"/>
                    </w14:schemeClr>
                  </w14:solidFill>
                </w14:textFill>
              </w:rPr>
              <w:t>均为临时占地，施工结束后进行恢复平整，不涉及永久占地</w:t>
            </w:r>
            <w:bookmarkEnd w:id="71"/>
            <w:r>
              <w:rPr>
                <w:rFonts w:hint="eastAsia"/>
                <w:color w:val="0D0D0D" w:themeColor="text1" w:themeTint="F2"/>
                <w14:textFill>
                  <w14:solidFill>
                    <w14:schemeClr w14:val="tx1">
                      <w14:lumMod w14:val="95000"/>
                      <w14:lumOff w14:val="5000"/>
                    </w14:schemeClr>
                  </w14:solidFill>
                </w14:textFill>
              </w:rPr>
              <w:t>，具体</w:t>
            </w:r>
            <w:r>
              <w:rPr>
                <w:rStyle w:val="60"/>
                <w:rFonts w:hint="eastAsia"/>
                <w:color w:val="0D0D0D" w:themeColor="text1" w:themeTint="F2"/>
                <w14:textFill>
                  <w14:solidFill>
                    <w14:schemeClr w14:val="tx1">
                      <w14:lumMod w14:val="95000"/>
                      <w14:lumOff w14:val="5000"/>
                    </w14:schemeClr>
                  </w14:solidFill>
                </w14:textFill>
              </w:rPr>
              <w:t>占地情况见</w:t>
            </w:r>
            <w:r>
              <w:rPr>
                <w:rStyle w:val="60"/>
                <w:rFonts w:hint="eastAsia"/>
                <w:color w:val="0D0D0D" w:themeColor="text1" w:themeTint="F2"/>
                <w14:textFill>
                  <w14:solidFill>
                    <w14:schemeClr w14:val="tx1">
                      <w14:lumMod w14:val="95000"/>
                      <w14:lumOff w14:val="5000"/>
                    </w14:schemeClr>
                  </w14:solidFill>
                </w14:textFill>
              </w:rPr>
              <w:fldChar w:fldCharType="begin"/>
            </w:r>
            <w:r>
              <w:rPr>
                <w:rStyle w:val="60"/>
                <w:rFonts w:hint="eastAsia"/>
                <w:color w:val="0D0D0D" w:themeColor="text1" w:themeTint="F2"/>
                <w14:textFill>
                  <w14:solidFill>
                    <w14:schemeClr w14:val="tx1">
                      <w14:lumMod w14:val="95000"/>
                      <w14:lumOff w14:val="5000"/>
                    </w14:schemeClr>
                  </w14:solidFill>
                </w14:textFill>
              </w:rPr>
              <w:instrText xml:space="preserve"> REF _Ref206064635 \h  \* MERGEFORMAT </w:instrText>
            </w:r>
            <w:r>
              <w:rPr>
                <w:rStyle w:val="60"/>
                <w:rFonts w:hint="eastAsia"/>
                <w:color w:val="0D0D0D" w:themeColor="text1" w:themeTint="F2"/>
                <w14:textFill>
                  <w14:solidFill>
                    <w14:schemeClr w14:val="tx1">
                      <w14:lumMod w14:val="95000"/>
                      <w14:lumOff w14:val="5000"/>
                    </w14:schemeClr>
                  </w14:solidFill>
                </w14:textFill>
              </w:rPr>
              <w:fldChar w:fldCharType="separate"/>
            </w:r>
            <w:r>
              <w:rPr>
                <w:rStyle w:val="60"/>
              </w:rPr>
              <w:t>表16</w:t>
            </w:r>
            <w:r>
              <w:rPr>
                <w:rStyle w:val="60"/>
                <w:rFonts w:hint="eastAsia"/>
                <w:color w:val="0D0D0D" w:themeColor="text1" w:themeTint="F2"/>
                <w14:textFill>
                  <w14:solidFill>
                    <w14:schemeClr w14:val="tx1">
                      <w14:lumMod w14:val="95000"/>
                      <w14:lumOff w14:val="5000"/>
                    </w14:schemeClr>
                  </w14:solidFill>
                </w14:textFill>
              </w:rPr>
              <w:fldChar w:fldCharType="end"/>
            </w:r>
            <w:r>
              <w:rPr>
                <w:rStyle w:val="60"/>
                <w:rFonts w:hint="eastAsia"/>
                <w:color w:val="0D0D0D" w:themeColor="text1" w:themeTint="F2"/>
                <w14:textFill>
                  <w14:solidFill>
                    <w14:schemeClr w14:val="tx1">
                      <w14:lumMod w14:val="95000"/>
                      <w14:lumOff w14:val="5000"/>
                    </w14:schemeClr>
                  </w14:solidFill>
                </w14:textFill>
              </w:rPr>
              <w:t>。</w:t>
            </w:r>
          </w:p>
          <w:p w14:paraId="167B410A">
            <w:pPr>
              <w:pStyle w:val="8"/>
              <w:rPr>
                <w:rFonts w:hint="eastAsia"/>
                <w:color w:val="0D0D0D" w:themeColor="text1" w:themeTint="F2"/>
                <w14:textFill>
                  <w14:solidFill>
                    <w14:schemeClr w14:val="tx1">
                      <w14:lumMod w14:val="95000"/>
                      <w14:lumOff w14:val="5000"/>
                    </w14:schemeClr>
                  </w14:solidFill>
                </w14:textFill>
              </w:rPr>
            </w:pPr>
            <w:bookmarkStart w:id="72" w:name="_Ref206064635"/>
            <w:bookmarkStart w:id="73" w:name="_Ref67772631"/>
            <w:r>
              <w:rPr>
                <w:rFonts w:hint="eastAsia"/>
                <w:color w:val="0D0D0D" w:themeColor="text1" w:themeTint="F2"/>
                <w14:textFill>
                  <w14:solidFill>
                    <w14:schemeClr w14:val="tx1">
                      <w14:lumMod w14:val="95000"/>
                      <w14:lumOff w14:val="5000"/>
                    </w14:schemeClr>
                  </w14:solidFill>
                </w14:textFill>
              </w:rPr>
              <w:t>表</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SEQ 表 \* ARABIC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16</w:t>
            </w:r>
            <w:r>
              <w:rPr>
                <w:rFonts w:hint="eastAsia"/>
                <w:color w:val="0D0D0D" w:themeColor="text1" w:themeTint="F2"/>
                <w14:textFill>
                  <w14:solidFill>
                    <w14:schemeClr w14:val="tx1">
                      <w14:lumMod w14:val="95000"/>
                      <w14:lumOff w14:val="5000"/>
                    </w14:schemeClr>
                  </w14:solidFill>
                </w14:textFill>
              </w:rPr>
              <w:fldChar w:fldCharType="end"/>
            </w:r>
            <w:bookmarkEnd w:id="72"/>
            <w:r>
              <w:rPr>
                <w:color w:val="0D0D0D" w:themeColor="text1" w:themeTint="F2"/>
                <w14:textFill>
                  <w14:solidFill>
                    <w14:schemeClr w14:val="tx1">
                      <w14:lumMod w14:val="95000"/>
                      <w14:lumOff w14:val="5000"/>
                    </w14:schemeClr>
                  </w14:solidFill>
                </w14:textFill>
              </w:rPr>
              <w:t xml:space="preserve">  </w:t>
            </w:r>
            <w:r>
              <w:rPr>
                <w:rFonts w:hint="eastAsia"/>
                <w:color w:val="0D0D0D" w:themeColor="text1" w:themeTint="F2"/>
                <w14:textFill>
                  <w14:solidFill>
                    <w14:schemeClr w14:val="tx1">
                      <w14:lumMod w14:val="95000"/>
                      <w14:lumOff w14:val="5000"/>
                    </w14:schemeClr>
                  </w14:solidFill>
                </w14:textFill>
              </w:rPr>
              <w:t xml:space="preserve">  </w:t>
            </w:r>
            <w:bookmarkStart w:id="74" w:name="_Hlk208331394"/>
            <w:r>
              <w:rPr>
                <w:rFonts w:hint="eastAsia"/>
                <w:color w:val="0D0D0D" w:themeColor="text1" w:themeTint="F2"/>
                <w14:textFill>
                  <w14:solidFill>
                    <w14:schemeClr w14:val="tx1">
                      <w14:lumMod w14:val="95000"/>
                      <w14:lumOff w14:val="5000"/>
                    </w14:schemeClr>
                  </w14:solidFill>
                </w14:textFill>
              </w:rPr>
              <w:t>工程占地一览表</w:t>
            </w:r>
          </w:p>
          <w:bookmarkEnd w:id="73"/>
          <w:tbl>
            <w:tblPr>
              <w:tblStyle w:val="9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788"/>
              <w:gridCol w:w="1135"/>
              <w:gridCol w:w="1699"/>
              <w:gridCol w:w="2402"/>
            </w:tblGrid>
            <w:tr w14:paraId="16F749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37" w:type="pct"/>
                  <w:vAlign w:val="center"/>
                </w:tcPr>
                <w:p w14:paraId="3C34CA91">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分区</w:t>
                  </w:r>
                </w:p>
              </w:tc>
              <w:tc>
                <w:tcPr>
                  <w:tcW w:w="707" w:type="pct"/>
                  <w:vAlign w:val="center"/>
                </w:tcPr>
                <w:p w14:paraId="504BE25C">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尺寸</w:t>
                  </w:r>
                </w:p>
              </w:tc>
              <w:tc>
                <w:tcPr>
                  <w:tcW w:w="1059" w:type="pct"/>
                  <w:tcBorders>
                    <w:bottom w:val="single" w:color="auto" w:sz="4" w:space="0"/>
                  </w:tcBorders>
                  <w:vAlign w:val="center"/>
                </w:tcPr>
                <w:p w14:paraId="0A37BA6B">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面积（m</w:t>
                  </w:r>
                  <w:r>
                    <w:rPr>
                      <w:rFonts w:hint="eastAsia" w:ascii="宋体" w:hAnsi="宋体" w:cs="宋体"/>
                      <w:color w:val="0D0D0D" w:themeColor="text1" w:themeTint="F2"/>
                      <w:sz w:val="21"/>
                      <w:szCs w:val="21"/>
                      <w:vertAlign w:val="superscript"/>
                      <w14:textFill>
                        <w14:solidFill>
                          <w14:schemeClr w14:val="tx1">
                            <w14:lumMod w14:val="95000"/>
                            <w14:lumOff w14:val="5000"/>
                          </w14:schemeClr>
                        </w14:solidFill>
                      </w14:textFill>
                    </w:rPr>
                    <w:t>2</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497" w:type="pct"/>
                  <w:tcBorders>
                    <w:bottom w:val="single" w:color="auto" w:sz="4" w:space="0"/>
                  </w:tcBorders>
                  <w:vAlign w:val="center"/>
                </w:tcPr>
                <w:p w14:paraId="13808F34">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占地类型</w:t>
                  </w:r>
                </w:p>
              </w:tc>
            </w:tr>
            <w:tr w14:paraId="294F71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37" w:type="pct"/>
                  <w:vAlign w:val="center"/>
                </w:tcPr>
                <w:p w14:paraId="27DBE5A3">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井场（井场、应急放喷池及钻井液不落地系统等）（m×m）</w:t>
                  </w:r>
                </w:p>
              </w:tc>
              <w:tc>
                <w:tcPr>
                  <w:tcW w:w="707" w:type="pct"/>
                  <w:vAlign w:val="center"/>
                </w:tcPr>
                <w:p w14:paraId="3A055E34">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167×124</w:t>
                  </w:r>
                </w:p>
              </w:tc>
              <w:tc>
                <w:tcPr>
                  <w:tcW w:w="1059" w:type="pct"/>
                  <w:vAlign w:val="center"/>
                </w:tcPr>
                <w:p w14:paraId="7AFBCF5F">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20207</w:t>
                  </w:r>
                </w:p>
              </w:tc>
              <w:tc>
                <w:tcPr>
                  <w:tcW w:w="1497" w:type="pct"/>
                  <w:vMerge w:val="restart"/>
                  <w:vAlign w:val="center"/>
                </w:tcPr>
                <w:p w14:paraId="66AFD5B9">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天然牧草地</w:t>
                  </w:r>
                </w:p>
              </w:tc>
            </w:tr>
            <w:tr w14:paraId="70362C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37" w:type="pct"/>
                  <w:vAlign w:val="center"/>
                </w:tcPr>
                <w:p w14:paraId="67C56DEB">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探临道路（m×m）</w:t>
                  </w:r>
                </w:p>
              </w:tc>
              <w:tc>
                <w:tcPr>
                  <w:tcW w:w="707" w:type="pct"/>
                  <w:vAlign w:val="center"/>
                </w:tcPr>
                <w:p w14:paraId="1C16B5D4">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238×25</w:t>
                  </w:r>
                </w:p>
              </w:tc>
              <w:tc>
                <w:tcPr>
                  <w:tcW w:w="1059" w:type="pct"/>
                  <w:vAlign w:val="center"/>
                </w:tcPr>
                <w:p w14:paraId="2E4A373F">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5950</w:t>
                  </w:r>
                </w:p>
              </w:tc>
              <w:tc>
                <w:tcPr>
                  <w:tcW w:w="1497" w:type="pct"/>
                  <w:vMerge w:val="continue"/>
                  <w:vAlign w:val="center"/>
                </w:tcPr>
                <w:p w14:paraId="5E2EB104">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r>
            <w:tr w14:paraId="3E3A49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37" w:type="pct"/>
                  <w:vAlign w:val="center"/>
                </w:tcPr>
                <w:p w14:paraId="694F4E15">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放喷管线（m×m）</w:t>
                  </w:r>
                </w:p>
              </w:tc>
              <w:tc>
                <w:tcPr>
                  <w:tcW w:w="707" w:type="pct"/>
                  <w:vAlign w:val="center"/>
                </w:tcPr>
                <w:p w14:paraId="2273650E">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105.8×4</w:t>
                  </w:r>
                </w:p>
              </w:tc>
              <w:tc>
                <w:tcPr>
                  <w:tcW w:w="1059" w:type="pct"/>
                  <w:vAlign w:val="center"/>
                </w:tcPr>
                <w:p w14:paraId="3FF8935E">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423</w:t>
                  </w:r>
                </w:p>
              </w:tc>
              <w:tc>
                <w:tcPr>
                  <w:tcW w:w="1497" w:type="pct"/>
                  <w:vMerge w:val="continue"/>
                  <w:vAlign w:val="center"/>
                </w:tcPr>
                <w:p w14:paraId="4722BE17">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r>
            <w:tr w14:paraId="46BC01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37" w:type="pct"/>
                  <w:vAlign w:val="center"/>
                </w:tcPr>
                <w:p w14:paraId="5D1CD11E">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生活营地（m×m）</w:t>
                  </w:r>
                </w:p>
              </w:tc>
              <w:tc>
                <w:tcPr>
                  <w:tcW w:w="707" w:type="pct"/>
                  <w:vAlign w:val="center"/>
                </w:tcPr>
                <w:p w14:paraId="358F5A6B">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60×70.01</w:t>
                  </w:r>
                </w:p>
              </w:tc>
              <w:tc>
                <w:tcPr>
                  <w:tcW w:w="1059" w:type="pct"/>
                  <w:vAlign w:val="center"/>
                </w:tcPr>
                <w:p w14:paraId="578C91A3">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（4201）</w:t>
                  </w:r>
                </w:p>
              </w:tc>
              <w:tc>
                <w:tcPr>
                  <w:tcW w:w="1497" w:type="pct"/>
                  <w:vAlign w:val="center"/>
                </w:tcPr>
                <w:p w14:paraId="1C092E88">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天然牧草地，呼9井已征占地，不计入总占地</w:t>
                  </w:r>
                </w:p>
              </w:tc>
            </w:tr>
            <w:tr w14:paraId="590A92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37" w:type="pct"/>
                  <w:vAlign w:val="center"/>
                </w:tcPr>
                <w:p w14:paraId="3582B842">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总计</w:t>
                  </w:r>
                </w:p>
              </w:tc>
              <w:tc>
                <w:tcPr>
                  <w:tcW w:w="707" w:type="pct"/>
                  <w:vAlign w:val="center"/>
                </w:tcPr>
                <w:p w14:paraId="72E37AD7">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059" w:type="pct"/>
                  <w:vAlign w:val="center"/>
                </w:tcPr>
                <w:p w14:paraId="1BEC7328">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26580</w:t>
                  </w:r>
                </w:p>
              </w:tc>
              <w:tc>
                <w:tcPr>
                  <w:tcW w:w="1497" w:type="pct"/>
                  <w:vAlign w:val="center"/>
                </w:tcPr>
                <w:p w14:paraId="7C58C621">
                  <w:pPr>
                    <w:snapToGrid w:val="0"/>
                    <w:spacing w:line="300" w:lineRule="exact"/>
                    <w:contextualSpacing/>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bookmarkEnd w:id="74"/>
          </w:tbl>
          <w:p w14:paraId="05A2676E">
            <w:pPr>
              <w:pStyle w:val="11"/>
              <w:spacing w:line="240" w:lineRule="auto"/>
              <w:ind w:firstLine="0" w:firstLineChars="0"/>
              <w:rPr>
                <w:rFonts w:hint="eastAsia"/>
                <w:b w:val="0"/>
                <w:bCs w:val="0"/>
                <w:color w:val="0D0D0D" w:themeColor="text1" w:themeTint="F2"/>
                <w:sz w:val="21"/>
                <w:szCs w:val="21"/>
                <w14:textFill>
                  <w14:solidFill>
                    <w14:schemeClr w14:val="tx1">
                      <w14:lumMod w14:val="95000"/>
                      <w14:lumOff w14:val="5000"/>
                    </w14:schemeClr>
                  </w14:solidFill>
                </w14:textFill>
              </w:rPr>
            </w:pPr>
            <w:r>
              <w:rPr>
                <w:rFonts w:hint="eastAsia"/>
                <w:b w:val="0"/>
                <w:bCs w:val="0"/>
                <w:color w:val="0D0D0D" w:themeColor="text1" w:themeTint="F2"/>
                <w:sz w:val="21"/>
                <w:szCs w:val="21"/>
                <w14:textFill>
                  <w14:solidFill>
                    <w14:schemeClr w14:val="tx1">
                      <w14:lumMod w14:val="95000"/>
                      <w14:lumOff w14:val="5000"/>
                    </w14:schemeClr>
                  </w14:solidFill>
                </w14:textFill>
              </w:rPr>
              <w:t>注：应急放喷池仅在事故状态下开挖。井场旁有一辆挖机随时待命，一旦发生井喷，挖机可立即开挖放喷池</w:t>
            </w:r>
            <w:r>
              <w:rPr>
                <w:b w:val="0"/>
                <w:bCs w:val="0"/>
                <w:color w:val="0D0D0D" w:themeColor="text1" w:themeTint="F2"/>
                <w:sz w:val="21"/>
                <w:szCs w:val="21"/>
                <w14:textFill>
                  <w14:solidFill>
                    <w14:schemeClr w14:val="tx1">
                      <w14:lumMod w14:val="95000"/>
                      <w14:lumOff w14:val="5000"/>
                    </w14:schemeClr>
                  </w14:solidFill>
                </w14:textFill>
              </w:rPr>
              <w:t>,快速开挖至规定尺寸后，进行人工防渗层，防渗材料为HDPE防渗膜，渗透系数≤10</w:t>
            </w:r>
            <w:r>
              <w:rPr>
                <w:b w:val="0"/>
                <w:bCs w:val="0"/>
                <w:color w:val="0D0D0D" w:themeColor="text1" w:themeTint="F2"/>
                <w:sz w:val="21"/>
                <w:szCs w:val="21"/>
                <w:vertAlign w:val="superscript"/>
                <w14:textFill>
                  <w14:solidFill>
                    <w14:schemeClr w14:val="tx1">
                      <w14:lumMod w14:val="95000"/>
                      <w14:lumOff w14:val="5000"/>
                    </w14:schemeClr>
                  </w14:solidFill>
                </w14:textFill>
              </w:rPr>
              <w:t>-</w:t>
            </w:r>
            <w:r>
              <w:rPr>
                <w:rFonts w:hint="eastAsia"/>
                <w:b w:val="0"/>
                <w:bCs w:val="0"/>
                <w:color w:val="0D0D0D" w:themeColor="text1" w:themeTint="F2"/>
                <w:sz w:val="21"/>
                <w:szCs w:val="21"/>
                <w:vertAlign w:val="superscript"/>
                <w14:textFill>
                  <w14:solidFill>
                    <w14:schemeClr w14:val="tx1">
                      <w14:lumMod w14:val="95000"/>
                      <w14:lumOff w14:val="5000"/>
                    </w14:schemeClr>
                  </w14:solidFill>
                </w14:textFill>
              </w:rPr>
              <w:t>10</w:t>
            </w:r>
            <w:r>
              <w:rPr>
                <w:b w:val="0"/>
                <w:bCs w:val="0"/>
                <w:color w:val="0D0D0D" w:themeColor="text1" w:themeTint="F2"/>
                <w:sz w:val="21"/>
                <w:szCs w:val="21"/>
                <w14:textFill>
                  <w14:solidFill>
                    <w14:schemeClr w14:val="tx1">
                      <w14:lumMod w14:val="95000"/>
                      <w14:lumOff w14:val="5000"/>
                    </w14:schemeClr>
                  </w14:solidFill>
                </w14:textFill>
              </w:rPr>
              <w:t>cm/s。</w:t>
            </w:r>
          </w:p>
          <w:p w14:paraId="4266AC45">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施工结束后对临时占地进行恢复平整，植被主要靠自然恢复，不改变占地范围内的土地利用类型。</w:t>
            </w:r>
          </w:p>
          <w:p w14:paraId="77EBAD94">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（2）对植被的影响分析</w:t>
            </w:r>
          </w:p>
          <w:p w14:paraId="276EF0CA">
            <w:pPr>
              <w:pStyle w:val="11"/>
              <w:ind w:firstLine="480"/>
              <w:rPr>
                <w:rFonts w:hint="eastAsia"/>
                <w:color w:val="0D0D0D" w:themeColor="text1" w:themeTint="F2"/>
                <w14:textFill>
                  <w14:solidFill>
                    <w14:schemeClr w14:val="tx1">
                      <w14:lumMod w14:val="95000"/>
                      <w14:lumOff w14:val="5000"/>
                    </w14:schemeClr>
                  </w14:solidFill>
                </w14:textFill>
              </w:rPr>
            </w:pPr>
            <w:bookmarkStart w:id="75" w:name="_Hlk213898046"/>
            <w:r>
              <w:rPr>
                <w:rFonts w:hint="eastAsia"/>
                <w:b w:val="0"/>
                <w:bCs w:val="0"/>
                <w:color w:val="0D0D0D" w:themeColor="text1" w:themeTint="F2"/>
                <w14:textFill>
                  <w14:solidFill>
                    <w14:schemeClr w14:val="tx1">
                      <w14:lumMod w14:val="95000"/>
                      <w14:lumOff w14:val="5000"/>
                    </w14:schemeClr>
                  </w14:solidFill>
                </w14:textFill>
              </w:rPr>
              <w:t>钻前工程建设（包括井场、探临道路、生活营地建设工程）及各施工阶段的人类活动是造成植被破坏的主要原因，对植被主要影响形式是施工阶段对土地的占用、清场过程中对地表植被的清理及施工过程中机械、设备的碾压。</w:t>
            </w:r>
          </w:p>
          <w:bookmarkEnd w:id="75"/>
          <w:p w14:paraId="6618501E">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井场和生活营地尽可能布置在植被稀疏的位置，探临道路施工过程中严格控制施工范围，可有效减缓项目建设对植被的破坏，最大限度避免破坏野生动物的活动场所和生存环境。钻试结束后及时对探临道路占地进行清理、平整，被破坏的野生植被主要依靠自然恢复。</w:t>
            </w:r>
            <w:bookmarkStart w:id="76" w:name="_Hlk213898306"/>
            <w:r>
              <w:rPr>
                <w:rFonts w:hint="eastAsia" w:cs="宋体"/>
                <w:color w:val="0D0D0D" w:themeColor="text1" w:themeTint="F2"/>
                <w:lang w:val="zh-CN" w:bidi="ar"/>
                <w14:textFill>
                  <w14:solidFill>
                    <w14:schemeClr w14:val="tx1">
                      <w14:lumMod w14:val="95000"/>
                      <w14:lumOff w14:val="5000"/>
                    </w14:schemeClr>
                  </w14:solidFill>
                </w14:textFill>
              </w:rPr>
              <w:t>本项目总占地面积为</w:t>
            </w:r>
            <w:r>
              <w:rPr>
                <w:rFonts w:hint="eastAsia" w:cs="宋体"/>
                <w:color w:val="0D0D0D" w:themeColor="text1" w:themeTint="F2"/>
                <w:lang w:bidi="ar"/>
                <w14:textFill>
                  <w14:solidFill>
                    <w14:schemeClr w14:val="tx1">
                      <w14:lumMod w14:val="95000"/>
                      <w14:lumOff w14:val="5000"/>
                    </w14:schemeClr>
                  </w14:solidFill>
                </w14:textFill>
              </w:rPr>
              <w:t>26580</w:t>
            </w:r>
            <w:r>
              <w:rPr>
                <w:rFonts w:hint="eastAsia" w:cs="宋体"/>
                <w:color w:val="0D0D0D" w:themeColor="text1" w:themeTint="F2"/>
                <w:lang w:val="zh-CN" w:bidi="ar"/>
                <w14:textFill>
                  <w14:solidFill>
                    <w14:schemeClr w14:val="tx1">
                      <w14:lumMod w14:val="95000"/>
                      <w14:lumOff w14:val="5000"/>
                    </w14:schemeClr>
                  </w14:solidFill>
                </w14:textFill>
              </w:rPr>
              <w:t>m</w:t>
            </w:r>
            <w:r>
              <w:rPr>
                <w:rFonts w:hint="eastAsia" w:cs="宋体"/>
                <w:color w:val="0D0D0D" w:themeColor="text1" w:themeTint="F2"/>
                <w:vertAlign w:val="superscript"/>
                <w:lang w:val="zh-CN" w:bidi="ar"/>
                <w14:textFill>
                  <w14:solidFill>
                    <w14:schemeClr w14:val="tx1">
                      <w14:lumMod w14:val="95000"/>
                      <w14:lumOff w14:val="5000"/>
                    </w14:schemeClr>
                  </w14:solidFill>
                </w14:textFill>
              </w:rPr>
              <w:t>2</w:t>
            </w:r>
            <w:r>
              <w:rPr>
                <w:rFonts w:hint="eastAsia" w:cs="宋体"/>
                <w:color w:val="0D0D0D" w:themeColor="text1" w:themeTint="F2"/>
                <w:lang w:val="zh-CN" w:bidi="ar"/>
                <w14:textFill>
                  <w14:solidFill>
                    <w14:schemeClr w14:val="tx1">
                      <w14:lumMod w14:val="95000"/>
                      <w14:lumOff w14:val="5000"/>
                    </w14:schemeClr>
                  </w14:solidFill>
                </w14:textFill>
              </w:rPr>
              <w:t>，在施工结束的</w:t>
            </w:r>
            <w:r>
              <w:rPr>
                <w:rFonts w:cs="宋体"/>
                <w:color w:val="0D0D0D" w:themeColor="text1" w:themeTint="F2"/>
                <w:lang w:val="zh-CN" w:bidi="ar"/>
                <w14:textFill>
                  <w14:solidFill>
                    <w14:schemeClr w14:val="tx1">
                      <w14:lumMod w14:val="95000"/>
                      <w14:lumOff w14:val="5000"/>
                    </w14:schemeClr>
                  </w14:solidFill>
                </w14:textFill>
              </w:rPr>
              <w:t>3</w:t>
            </w:r>
            <w:r>
              <w:rPr>
                <w:rFonts w:hint="eastAsia" w:cs="宋体"/>
                <w:color w:val="0D0D0D" w:themeColor="text1" w:themeTint="F2"/>
                <w:lang w:val="zh-CN" w:bidi="ar"/>
                <w14:textFill>
                  <w14:solidFill>
                    <w14:schemeClr w14:val="tx1">
                      <w14:lumMod w14:val="95000"/>
                      <w14:lumOff w14:val="5000"/>
                    </w14:schemeClr>
                  </w14:solidFill>
                </w14:textFill>
              </w:rPr>
              <w:t>年～</w:t>
            </w:r>
            <w:r>
              <w:rPr>
                <w:rFonts w:cs="宋体"/>
                <w:color w:val="0D0D0D" w:themeColor="text1" w:themeTint="F2"/>
                <w:lang w:val="zh-CN" w:bidi="ar"/>
                <w14:textFill>
                  <w14:solidFill>
                    <w14:schemeClr w14:val="tx1">
                      <w14:lumMod w14:val="95000"/>
                      <w14:lumOff w14:val="5000"/>
                    </w14:schemeClr>
                  </w14:solidFill>
                </w14:textFill>
              </w:rPr>
              <w:t>5</w:t>
            </w:r>
            <w:r>
              <w:rPr>
                <w:rFonts w:hint="eastAsia" w:cs="宋体"/>
                <w:color w:val="0D0D0D" w:themeColor="text1" w:themeTint="F2"/>
                <w:lang w:val="zh-CN" w:bidi="ar"/>
                <w14:textFill>
                  <w14:solidFill>
                    <w14:schemeClr w14:val="tx1">
                      <w14:lumMod w14:val="95000"/>
                      <w14:lumOff w14:val="5000"/>
                    </w14:schemeClr>
                  </w14:solidFill>
                </w14:textFill>
              </w:rPr>
              <w:t>年中，将影响占地范围之内的植被初级生产力。项目区占地类型为天然牧草地，</w:t>
            </w:r>
            <w:r>
              <w:rPr>
                <w:rFonts w:cs="宋体"/>
                <w:color w:val="0D0D0D" w:themeColor="text1" w:themeTint="F2"/>
                <w:lang w:bidi="ar"/>
                <w14:textFill>
                  <w14:solidFill>
                    <w14:schemeClr w14:val="tx1">
                      <w14:lumMod w14:val="95000"/>
                      <w14:lumOff w14:val="5000"/>
                    </w14:schemeClr>
                  </w14:solidFill>
                </w14:textFill>
              </w:rPr>
              <w:t>草场</w:t>
            </w:r>
            <w:r>
              <w:rPr>
                <w:rFonts w:hint="eastAsia" w:cs="宋体"/>
                <w:color w:val="0D0D0D" w:themeColor="text1" w:themeTint="F2"/>
                <w:lang w:bidi="ar"/>
                <w14:textFill>
                  <w14:solidFill>
                    <w14:schemeClr w14:val="tx1">
                      <w14:lumMod w14:val="95000"/>
                      <w14:lumOff w14:val="5000"/>
                    </w14:schemeClr>
                  </w14:solidFill>
                </w14:textFill>
              </w:rPr>
              <w:t>主要为冬牧场，</w:t>
            </w:r>
            <w:r>
              <w:rPr>
                <w:rFonts w:cs="宋体"/>
                <w:color w:val="0D0D0D" w:themeColor="text1" w:themeTint="F2"/>
                <w:lang w:bidi="ar"/>
                <w14:textFill>
                  <w14:solidFill>
                    <w14:schemeClr w14:val="tx1">
                      <w14:lumMod w14:val="95000"/>
                      <w14:lumOff w14:val="5000"/>
                    </w14:schemeClr>
                  </w14:solidFill>
                </w14:textFill>
              </w:rPr>
              <w:t>亩产可以利用鲜草30</w:t>
            </w:r>
            <w:r>
              <w:rPr>
                <w:rFonts w:hint="eastAsia" w:cs="宋体"/>
                <w:color w:val="0D0D0D" w:themeColor="text1" w:themeTint="F2"/>
                <w:lang w:bidi="ar"/>
                <w14:textFill>
                  <w14:solidFill>
                    <w14:schemeClr w14:val="tx1">
                      <w14:lumMod w14:val="95000"/>
                      <w14:lumOff w14:val="5000"/>
                    </w14:schemeClr>
                  </w14:solidFill>
                </w14:textFill>
              </w:rPr>
              <w:t>～</w:t>
            </w:r>
            <w:r>
              <w:rPr>
                <w:rFonts w:cs="宋体"/>
                <w:color w:val="0D0D0D" w:themeColor="text1" w:themeTint="F2"/>
                <w:lang w:bidi="ar"/>
                <w14:textFill>
                  <w14:solidFill>
                    <w14:schemeClr w14:val="tx1">
                      <w14:lumMod w14:val="95000"/>
                      <w14:lumOff w14:val="5000"/>
                    </w14:schemeClr>
                  </w14:solidFill>
                </w14:textFill>
              </w:rPr>
              <w:t>40kg。草场中等牧草占60%，良低等占40%。根据我国北方《重点地区草场资源调查大纲》中采用的草场资源等级评价标准，确定</w:t>
            </w:r>
            <w:r>
              <w:rPr>
                <w:rFonts w:hint="eastAsia" w:cs="宋体"/>
                <w:color w:val="0D0D0D" w:themeColor="text1" w:themeTint="F2"/>
                <w:lang w:bidi="ar"/>
                <w14:textFill>
                  <w14:solidFill>
                    <w14:schemeClr w14:val="tx1">
                      <w14:lumMod w14:val="95000"/>
                      <w14:lumOff w14:val="5000"/>
                    </w14:schemeClr>
                  </w14:solidFill>
                </w14:textFill>
              </w:rPr>
              <w:t>草地</w:t>
            </w:r>
            <w:r>
              <w:rPr>
                <w:rFonts w:cs="宋体"/>
                <w:color w:val="0D0D0D" w:themeColor="text1" w:themeTint="F2"/>
                <w:lang w:bidi="ar"/>
                <w14:textFill>
                  <w14:solidFill>
                    <w14:schemeClr w14:val="tx1">
                      <w14:lumMod w14:val="95000"/>
                      <w14:lumOff w14:val="5000"/>
                    </w14:schemeClr>
                  </w14:solidFill>
                </w14:textFill>
              </w:rPr>
              <w:t>属三等8级草场。</w:t>
            </w:r>
            <w:r>
              <w:rPr>
                <w:rFonts w:hint="eastAsia" w:cs="宋体"/>
                <w:color w:val="0D0D0D" w:themeColor="text1" w:themeTint="F2"/>
                <w:lang w:bidi="ar"/>
                <w14:textFill>
                  <w14:solidFill>
                    <w14:schemeClr w14:val="tx1">
                      <w14:lumMod w14:val="95000"/>
                      <w14:lumOff w14:val="5000"/>
                    </w14:schemeClr>
                  </w14:solidFill>
                </w14:textFill>
              </w:rPr>
              <w:t>据此核算，牧草生物损失量约1.6</w:t>
            </w:r>
            <w:r>
              <w:rPr>
                <w:rFonts w:cs="宋体"/>
                <w:color w:val="0D0D0D" w:themeColor="text1" w:themeTint="F2"/>
                <w:lang w:bidi="ar"/>
                <w14:textFill>
                  <w14:solidFill>
                    <w14:schemeClr w14:val="tx1">
                      <w14:lumMod w14:val="95000"/>
                      <w14:lumOff w14:val="5000"/>
                    </w14:schemeClr>
                  </w14:solidFill>
                </w14:textFill>
              </w:rPr>
              <w:t>t</w:t>
            </w:r>
            <w:r>
              <w:rPr>
                <w:rFonts w:hint="eastAsia" w:cs="宋体"/>
                <w:color w:val="0D0D0D" w:themeColor="text1" w:themeTint="F2"/>
                <w:lang w:bidi="ar"/>
                <w14:textFill>
                  <w14:solidFill>
                    <w14:schemeClr w14:val="tx1">
                      <w14:lumMod w14:val="95000"/>
                      <w14:lumOff w14:val="5000"/>
                    </w14:schemeClr>
                  </w14:solidFill>
                </w14:textFill>
              </w:rPr>
              <w:t>。当临时占地的植被得到初步恢复后，这种损失将逐渐减少。</w:t>
            </w:r>
          </w:p>
          <w:bookmarkEnd w:id="76"/>
          <w:p w14:paraId="4DC68DD4">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（3）对野生动物的影响分析</w:t>
            </w:r>
          </w:p>
          <w:p w14:paraId="553BCC51">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项目的实施对野生动物生存环境、分布范围和种群数量的影响，主要分为直接影响和间接影响两个方面。直接影响主要表现为建设项目占地，使野生动物的原始生存环境被破坏或改变；间接影响主要表现为由于植被的减少或污染破坏而引起野生动物食物来源减少。钻试过程中，由于机械设备的轰鸣惊扰，人群活动的增加，项目区内的野生动物将远离施工现场，使区域内单位面积上的动物种群数量下降，原有的野生动物将逐渐避开人类活动的干扰迁至其他区域，远离影响范围；施工期设备及车辆发出的噪声、人为活动会惊扰项目区附近的野生动物，影响其觅食、活动等行为。项目区及周边野生动物主要为伴人型鸟类如麻雀、鼠类、爬行类和小型啮齿类动物等，麻雀、鼠类等伴人型野生动物一般在离施工区不远处活动，待无噪声干扰时较常见于施工区附近，施工活动对爬行类和小型啮齿类动物干扰不大，加上工程占地面积较小，该区域替代生境较多，项目区不是野生动物的唯一栖息地，故该建设项目对动物区域性生境不产生明显影响。而且施工结束后，各种机械噪声显著减少，且人类活动也大大减少。由于生活习惯，野生动物有可能逐渐返回原来的区域。故该建设项目对动物区域性生境不产生明显影响。</w:t>
            </w:r>
          </w:p>
          <w:p w14:paraId="721A1225">
            <w:pPr>
              <w:spacing w:line="500" w:lineRule="exact"/>
              <w:ind w:firstLine="480" w:firstLineChars="200"/>
              <w:rPr>
                <w:rFonts w:hint="eastAsia" w:ascii="宋体" w:hAnsi="宋体"/>
                <w:color w:val="0D0D0D" w:themeColor="text1" w:themeTint="F2"/>
                <w:kern w:val="0"/>
                <w14:textFill>
                  <w14:solidFill>
                    <w14:schemeClr w14:val="tx1">
                      <w14:lumMod w14:val="95000"/>
                      <w14:lumOff w14:val="5000"/>
                    </w14:schemeClr>
                  </w14:solidFill>
                </w14:textFill>
              </w:rPr>
            </w:pPr>
            <w:bookmarkStart w:id="77" w:name="_Hlk167566797"/>
            <w:bookmarkStart w:id="78" w:name="_Hlk143602167"/>
            <w:bookmarkStart w:id="79" w:name="_Hlk140835968"/>
            <w:r>
              <w:rPr>
                <w:rFonts w:hint="eastAsia" w:ascii="宋体" w:hAnsi="宋体"/>
                <w:color w:val="0D0D0D" w:themeColor="text1" w:themeTint="F2"/>
                <w:kern w:val="0"/>
                <w14:textFill>
                  <w14:solidFill>
                    <w14:schemeClr w14:val="tx1">
                      <w14:lumMod w14:val="95000"/>
                      <w14:lumOff w14:val="5000"/>
                    </w14:schemeClr>
                  </w14:solidFill>
                </w14:textFill>
              </w:rPr>
              <w:t>（3）对天然牧草地的影响分析</w:t>
            </w:r>
          </w:p>
          <w:p w14:paraId="41589613">
            <w:pPr>
              <w:spacing w:line="500" w:lineRule="exact"/>
              <w:ind w:firstLine="480" w:firstLineChars="200"/>
              <w:rPr>
                <w:rFonts w:hint="eastAsia" w:ascii="宋体" w:hAnsi="宋体"/>
                <w:color w:val="0D0D0D" w:themeColor="text1" w:themeTint="F2"/>
                <w:kern w:val="0"/>
                <w14:textFill>
                  <w14:solidFill>
                    <w14:schemeClr w14:val="tx1">
                      <w14:lumMod w14:val="95000"/>
                      <w14:lumOff w14:val="5000"/>
                    </w14:schemeClr>
                  </w14:solidFill>
                </w14:textFill>
              </w:rPr>
            </w:pPr>
            <w:r>
              <w:rPr>
                <w:rFonts w:hint="eastAsia" w:ascii="宋体" w:hAnsi="宋体"/>
                <w:color w:val="0D0D0D" w:themeColor="text1" w:themeTint="F2"/>
                <w:kern w:val="0"/>
                <w14:textFill>
                  <w14:solidFill>
                    <w14:schemeClr w14:val="tx1">
                      <w14:lumMod w14:val="95000"/>
                      <w14:lumOff w14:val="5000"/>
                    </w14:schemeClr>
                  </w14:solidFill>
                </w14:textFill>
              </w:rPr>
              <w:t>施工阶段的人类活动及工程占地会破坏临时占地范围的天然牧草地，使草地失去原有功能，施工结束后，随着临时占地范围内植被的恢复而逐步恢复。整体上，本项目不会对区域天然牧草地的生态功能产生影响。</w:t>
            </w:r>
          </w:p>
          <w:p w14:paraId="72944BB9">
            <w:pPr>
              <w:widowControl/>
              <w:snapToGrid w:val="0"/>
              <w:spacing w:line="500" w:lineRule="exact"/>
              <w:ind w:firstLine="482" w:firstLineChars="200"/>
              <w:rPr>
                <w:rFonts w:hint="eastAsia" w:ascii="宋体" w:hAnsi="宋体" w:cs="宋体"/>
                <w:b/>
                <w:bCs/>
                <w:color w:val="0D0D0D" w:themeColor="text1" w:themeTint="F2"/>
                <w:kern w:val="0"/>
                <w14:textFill>
                  <w14:solidFill>
                    <w14:schemeClr w14:val="tx1">
                      <w14:lumMod w14:val="95000"/>
                      <w14:lumOff w14:val="5000"/>
                    </w14:schemeClr>
                  </w14:solidFill>
                </w14:textFill>
              </w:rPr>
            </w:pPr>
            <w:r>
              <w:rPr>
                <w:rFonts w:hint="eastAsia" w:ascii="宋体" w:hAnsi="宋体" w:cs="宋体"/>
                <w:b/>
                <w:bCs/>
                <w:color w:val="0D0D0D" w:themeColor="text1" w:themeTint="F2"/>
                <w:kern w:val="0"/>
                <w14:textFill>
                  <w14:solidFill>
                    <w14:schemeClr w14:val="tx1">
                      <w14:lumMod w14:val="95000"/>
                      <w14:lumOff w14:val="5000"/>
                    </w14:schemeClr>
                  </w14:solidFill>
                </w14:textFill>
              </w:rPr>
              <w:t>2、水土流失影响分析</w:t>
            </w:r>
          </w:p>
          <w:p w14:paraId="3E29F69D">
            <w:pPr>
              <w:spacing w:line="500" w:lineRule="exact"/>
              <w:ind w:firstLine="472" w:firstLineChars="200"/>
              <w:rPr>
                <w:rFonts w:hint="eastAsia" w:ascii="宋体" w:hAnsi="宋体"/>
                <w:color w:val="0D0D0D" w:themeColor="text1" w:themeTint="F2"/>
                <w:spacing w:val="-2"/>
                <w14:textFill>
                  <w14:solidFill>
                    <w14:schemeClr w14:val="tx1">
                      <w14:lumMod w14:val="95000"/>
                      <w14:lumOff w14:val="5000"/>
                    </w14:schemeClr>
                  </w14:solidFill>
                </w14:textFill>
              </w:rPr>
            </w:pPr>
            <w:r>
              <w:rPr>
                <w:rFonts w:hint="eastAsia" w:ascii="宋体" w:hAnsi="宋体"/>
                <w:color w:val="0D0D0D" w:themeColor="text1" w:themeTint="F2"/>
                <w:spacing w:val="-2"/>
                <w14:textFill>
                  <w14:solidFill>
                    <w14:schemeClr w14:val="tx1">
                      <w14:lumMod w14:val="95000"/>
                      <w14:lumOff w14:val="5000"/>
                    </w14:schemeClr>
                  </w14:solidFill>
                </w14:textFill>
              </w:rPr>
              <w:t>对水土流失影响的方式包括地表扰动、植被损坏及破坏原地貌、地表土壤结构。施工时场地平整、土方堆放、机械作业人员活动等都会加剧水土流失。井场、生活营地和探临道路施工时施工车辆对地表的大面积碾压，将破坏地表原有稳定结构，施工作业范围内的土壤表层遭到破坏，下层的粉细物质暴露在地层表面，</w:t>
            </w:r>
            <w:r>
              <w:rPr>
                <w:rFonts w:hint="eastAsia" w:ascii="宋体" w:hAnsi="宋体" w:cs="宋体"/>
                <w:color w:val="0D0D0D" w:themeColor="text1" w:themeTint="F2"/>
                <w:spacing w:val="-2"/>
                <w14:textFill>
                  <w14:solidFill>
                    <w14:schemeClr w14:val="tx1">
                      <w14:lumMod w14:val="95000"/>
                      <w14:lumOff w14:val="5000"/>
                    </w14:schemeClr>
                  </w14:solidFill>
                </w14:textFill>
              </w:rPr>
              <w:t>在风力的作用下，风蚀量会明显加大，这种影响在短时间内不会完全恢复。但随着时间的延长、土壤结构的变化以及地表植被的恢复，风蚀量会随着地表新保护层的逐渐形成而减弱，水土流失的程度会慢慢减轻。在建设过程中，应避免在大风天气作业，避免风蚀从而造成水土流失。施工过程中探临道路采用砂石路面，井场、生活营地和探临道路</w:t>
            </w:r>
            <w:r>
              <w:rPr>
                <w:rFonts w:hint="eastAsia" w:ascii="宋体" w:hAnsi="宋体"/>
                <w:color w:val="0D0D0D" w:themeColor="text1" w:themeTint="F2"/>
                <w:spacing w:val="-2"/>
                <w14:textFill>
                  <w14:solidFill>
                    <w14:schemeClr w14:val="tx1">
                      <w14:lumMod w14:val="95000"/>
                      <w14:lumOff w14:val="5000"/>
                    </w14:schemeClr>
                  </w14:solidFill>
                </w14:textFill>
              </w:rPr>
              <w:t>采取相应的水土保持措施后，可将本项目对水土流失的影响降至最低，加上项目占地呈点、线状分布，占地面积不大，本项目实施不会明显加剧区域水土流失重点治理区的水土流失程度。</w:t>
            </w:r>
          </w:p>
          <w:bookmarkEnd w:id="77"/>
          <w:p w14:paraId="6AE6A8FE">
            <w:pPr>
              <w:pStyle w:val="38"/>
              <w:ind w:firstLine="482"/>
              <w:rPr>
                <w:rFonts w:hint="eastAsia"/>
                <w:b/>
                <w:bCs/>
                <w:color w:val="0D0D0D" w:themeColor="text1" w:themeTint="F2"/>
                <w14:textFill>
                  <w14:solidFill>
                    <w14:schemeClr w14:val="tx1">
                      <w14:lumMod w14:val="95000"/>
                      <w14:lumOff w14:val="5000"/>
                    </w14:schemeClr>
                  </w14:solidFill>
                </w14:textFill>
              </w:rPr>
            </w:pPr>
            <w:r>
              <w:rPr>
                <w:rFonts w:hint="eastAsia" w:cs="宋体"/>
                <w:b/>
                <w:bCs/>
                <w:color w:val="0D0D0D" w:themeColor="text1" w:themeTint="F2"/>
                <w14:textFill>
                  <w14:solidFill>
                    <w14:schemeClr w14:val="tx1">
                      <w14:lumMod w14:val="95000"/>
                      <w14:lumOff w14:val="5000"/>
                    </w14:schemeClr>
                  </w14:solidFill>
                </w14:textFill>
              </w:rPr>
              <w:t>3、</w:t>
            </w:r>
            <w:r>
              <w:rPr>
                <w:rFonts w:hint="eastAsia"/>
                <w:b/>
                <w:bCs/>
                <w:color w:val="0D0D0D" w:themeColor="text1" w:themeTint="F2"/>
                <w14:textFill>
                  <w14:solidFill>
                    <w14:schemeClr w14:val="tx1">
                      <w14:lumMod w14:val="95000"/>
                      <w14:lumOff w14:val="5000"/>
                    </w14:schemeClr>
                  </w14:solidFill>
                </w14:textFill>
              </w:rPr>
              <w:t>对区域土地沙化的影响分析</w:t>
            </w:r>
            <w:bookmarkEnd w:id="78"/>
          </w:p>
          <w:p w14:paraId="2DEE0ED0">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项目实施过程中将会破坏占地范围内的土壤表层稳定结皮和地表荒漠植被，项目所在区域具有多风、降水量偏低等气候特征，地表稳定结皮被破坏后，在大风天气条件下，施工会使占地范围内的土地就地起沙，局部沙化趋势加重。但是由于项目占地范围较小，施工时间短，施工结束后对临时占地范围内场地进行平整和清理，尽量利用施工时产生的表层土对临时占地进行覆盖，采用自然恢复的方式对区域植被进行恢复。综上所述，本项目对区域土地沙化影响不大。</w:t>
            </w:r>
          </w:p>
          <w:bookmarkEnd w:id="79"/>
          <w:p w14:paraId="20BB02D4">
            <w:pPr>
              <w:pStyle w:val="38"/>
              <w:ind w:firstLine="482"/>
              <w:rPr>
                <w:rFonts w:hint="eastAsia"/>
                <w:color w:val="0D0D0D" w:themeColor="text1" w:themeTint="F2"/>
                <w14:textFill>
                  <w14:solidFill>
                    <w14:schemeClr w14:val="tx1">
                      <w14:lumMod w14:val="95000"/>
                      <w14:lumOff w14:val="5000"/>
                    </w14:schemeClr>
                  </w14:solidFill>
                </w14:textFill>
              </w:rPr>
            </w:pPr>
            <w:r>
              <w:rPr>
                <w:rFonts w:hint="eastAsia"/>
                <w:b/>
                <w:bCs/>
                <w:color w:val="0D0D0D" w:themeColor="text1" w:themeTint="F2"/>
                <w14:textFill>
                  <w14:solidFill>
                    <w14:schemeClr w14:val="tx1">
                      <w14:lumMod w14:val="95000"/>
                      <w14:lumOff w14:val="5000"/>
                    </w14:schemeClr>
                  </w14:solidFill>
                </w14:textFill>
              </w:rPr>
              <w:t>4、大气环境影响分析</w:t>
            </w:r>
          </w:p>
          <w:p w14:paraId="41683A82">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废气主要为柴油机、发电机燃料燃烧烟气、施工机械及施工车辆尾气、施工扬尘、伴生气放空燃烧烟气、试油期间采出液储存及装车过程中无组织逸散废气、柴油储存卸车无组织废气、水基钻井岩屑暂存扬尘</w:t>
            </w:r>
            <w:bookmarkStart w:id="80" w:name="OLE_LINK2"/>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油基钻井岩屑暂存时无组织挥发性有机物、油基钻井液暂存及钻井过程中油基钻井液挥发废气、</w:t>
            </w:r>
            <w:r>
              <w:rPr>
                <w:rFonts w:hint="eastAsia"/>
                <w:color w:val="0D0D0D" w:themeColor="text1" w:themeTint="F2"/>
                <w14:textFill>
                  <w14:solidFill>
                    <w14:schemeClr w14:val="tx1">
                      <w14:lumMod w14:val="95000"/>
                      <w14:lumOff w14:val="5000"/>
                    </w14:schemeClr>
                  </w14:solidFill>
                </w14:textFill>
              </w:rPr>
              <w:t>储层改造过程中的无组织废气等。</w:t>
            </w:r>
          </w:p>
          <w:bookmarkEnd w:id="80"/>
          <w:p w14:paraId="56996F9B">
            <w:pPr>
              <w:pStyle w:val="38"/>
              <w:ind w:firstLine="480"/>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w:t>
            </w:r>
            <w:r>
              <w:rPr>
                <w:rFonts w:hint="eastAsia"/>
                <w:color w:val="0D0D0D" w:themeColor="text1" w:themeTint="F2"/>
                <w14:textFill>
                  <w14:solidFill>
                    <w14:schemeClr w14:val="tx1">
                      <w14:lumMod w14:val="95000"/>
                      <w14:lumOff w14:val="5000"/>
                    </w14:schemeClr>
                  </w14:solidFill>
                </w14:textFill>
              </w:rPr>
              <w:t>柴油机、发电机燃料燃烧烟气</w:t>
            </w:r>
          </w:p>
          <w:p w14:paraId="0DDE4143">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施工期井场动力系统共设5台柴油发电机，为钻机及井场提供动力、电力和照明，柴油机、发电机工作时消耗的燃料主要为柴油。根据设计资料，柴油消耗总量为1736t。柴油燃烧后会产生烟气，以无组织形式逸散，烟气中主要污染物为</w:t>
            </w:r>
            <w:bookmarkStart w:id="81" w:name="_Hlk15402090"/>
            <w:r>
              <w:rPr>
                <w:rFonts w:hint="eastAsia"/>
                <w:b w:val="0"/>
                <w:bCs w:val="0"/>
                <w:color w:val="0D0D0D" w:themeColor="text1" w:themeTint="F2"/>
                <w14:textFill>
                  <w14:solidFill>
                    <w14:schemeClr w14:val="tx1">
                      <w14:lumMod w14:val="95000"/>
                      <w14:lumOff w14:val="5000"/>
                    </w14:schemeClr>
                  </w14:solidFill>
                </w14:textFill>
              </w:rPr>
              <w:t>二氧化硫、氮氧化物及总烃等。</w:t>
            </w:r>
            <w:bookmarkEnd w:id="81"/>
            <w:r>
              <w:rPr>
                <w:b w:val="0"/>
                <w:bCs w:val="0"/>
                <w:color w:val="0D0D0D" w:themeColor="text1" w:themeTint="F2"/>
                <w14:textFill>
                  <w14:solidFill>
                    <w14:schemeClr w14:val="tx1">
                      <w14:lumMod w14:val="95000"/>
                      <w14:lumOff w14:val="5000"/>
                    </w14:schemeClr>
                  </w14:solidFill>
                </w14:textFill>
              </w:rPr>
              <w:t>根据</w:t>
            </w:r>
            <w:r>
              <w:rPr>
                <w:rFonts w:hint="eastAsia"/>
                <w:b w:val="0"/>
                <w:bCs w:val="0"/>
                <w:color w:val="0D0D0D" w:themeColor="text1" w:themeTint="F2"/>
                <w14:textFill>
                  <w14:solidFill>
                    <w14:schemeClr w14:val="tx1">
                      <w14:lumMod w14:val="95000"/>
                      <w14:lumOff w14:val="5000"/>
                    </w14:schemeClr>
                  </w14:solidFill>
                </w14:textFill>
              </w:rPr>
              <w:t>国家环境工程评估中心编制的</w:t>
            </w:r>
            <w:r>
              <w:rPr>
                <w:b w:val="0"/>
                <w:bCs w:val="0"/>
                <w:color w:val="0D0D0D" w:themeColor="text1" w:themeTint="F2"/>
                <w14:textFill>
                  <w14:solidFill>
                    <w14:schemeClr w14:val="tx1">
                      <w14:lumMod w14:val="95000"/>
                      <w14:lumOff w14:val="5000"/>
                    </w14:schemeClr>
                  </w14:solidFill>
                </w14:textFill>
              </w:rPr>
              <w:t>《社会区域类环境影响评价》一书中</w:t>
            </w:r>
            <w:r>
              <w:rPr>
                <w:rFonts w:hint="eastAsia"/>
                <w:b w:val="0"/>
                <w:bCs w:val="0"/>
                <w:color w:val="0D0D0D" w:themeColor="text1" w:themeTint="F2"/>
                <w14:textFill>
                  <w14:solidFill>
                    <w14:schemeClr w14:val="tx1">
                      <w14:lumMod w14:val="95000"/>
                      <w14:lumOff w14:val="5000"/>
                    </w14:schemeClr>
                  </w14:solidFill>
                </w14:textFill>
              </w:rPr>
              <w:t>提供的资料</w:t>
            </w:r>
            <w:r>
              <w:rPr>
                <w:b w:val="0"/>
                <w:bCs w:val="0"/>
                <w:color w:val="0D0D0D" w:themeColor="text1" w:themeTint="F2"/>
                <w14:textFill>
                  <w14:solidFill>
                    <w14:schemeClr w14:val="tx1">
                      <w14:lumMod w14:val="95000"/>
                      <w14:lumOff w14:val="5000"/>
                    </w14:schemeClr>
                  </w14:solidFill>
                </w14:textFill>
              </w:rPr>
              <w:t>，柴油</w:t>
            </w:r>
            <w:r>
              <w:rPr>
                <w:rFonts w:hint="eastAsia"/>
                <w:b w:val="0"/>
                <w:bCs w:val="0"/>
                <w:color w:val="0D0D0D" w:themeColor="text1" w:themeTint="F2"/>
                <w14:textFill>
                  <w14:solidFill>
                    <w14:schemeClr w14:val="tx1">
                      <w14:lumMod w14:val="95000"/>
                      <w14:lumOff w14:val="5000"/>
                    </w14:schemeClr>
                  </w14:solidFill>
                </w14:textFill>
              </w:rPr>
              <w:t>燃烧</w:t>
            </w:r>
            <w:r>
              <w:rPr>
                <w:b w:val="0"/>
                <w:bCs w:val="0"/>
                <w:color w:val="0D0D0D" w:themeColor="text1" w:themeTint="F2"/>
                <w14:textFill>
                  <w14:solidFill>
                    <w14:schemeClr w14:val="tx1">
                      <w14:lumMod w14:val="95000"/>
                      <w14:lumOff w14:val="5000"/>
                    </w14:schemeClr>
                  </w14:solidFill>
                </w14:textFill>
              </w:rPr>
              <w:t>产污系数为</w:t>
            </w:r>
            <w:r>
              <w:rPr>
                <w:rFonts w:hint="eastAsia"/>
                <w:b w:val="0"/>
                <w:bCs w:val="0"/>
                <w:color w:val="0D0D0D" w:themeColor="text1" w:themeTint="F2"/>
                <w14:textFill>
                  <w14:solidFill>
                    <w14:schemeClr w14:val="tx1">
                      <w14:lumMod w14:val="95000"/>
                      <w14:lumOff w14:val="5000"/>
                    </w14:schemeClr>
                  </w14:solidFill>
                </w14:textFill>
              </w:rPr>
              <w:t>；</w:t>
            </w:r>
            <w:r>
              <w:rPr>
                <w:b w:val="0"/>
                <w:bCs w:val="0"/>
                <w:color w:val="0D0D0D" w:themeColor="text1" w:themeTint="F2"/>
                <w14:textFill>
                  <w14:solidFill>
                    <w14:schemeClr w14:val="tx1">
                      <w14:lumMod w14:val="95000"/>
                      <w14:lumOff w14:val="5000"/>
                    </w14:schemeClr>
                  </w14:solidFill>
                </w14:textFill>
              </w:rPr>
              <w:t>SO</w:t>
            </w:r>
            <w:r>
              <w:rPr>
                <w:b w:val="0"/>
                <w:bCs w:val="0"/>
                <w:color w:val="0D0D0D" w:themeColor="text1" w:themeTint="F2"/>
                <w:vertAlign w:val="subscript"/>
                <w14:textFill>
                  <w14:solidFill>
                    <w14:schemeClr w14:val="tx1">
                      <w14:lumMod w14:val="95000"/>
                      <w14:lumOff w14:val="5000"/>
                    </w14:schemeClr>
                  </w14:solidFill>
                </w14:textFill>
              </w:rPr>
              <w:t>2</w:t>
            </w:r>
            <w:r>
              <w:rPr>
                <w:rFonts w:hint="eastAsia"/>
                <w:b w:val="0"/>
                <w:bCs w:val="0"/>
                <w:color w:val="0D0D0D" w:themeColor="text1" w:themeTint="F2"/>
                <w14:textFill>
                  <w14:solidFill>
                    <w14:schemeClr w14:val="tx1">
                      <w14:lumMod w14:val="95000"/>
                      <w14:lumOff w14:val="5000"/>
                    </w14:schemeClr>
                  </w14:solidFill>
                </w14:textFill>
              </w:rPr>
              <w:t>：</w:t>
            </w:r>
            <w:r>
              <w:rPr>
                <w:b w:val="0"/>
                <w:bCs w:val="0"/>
                <w:color w:val="0D0D0D" w:themeColor="text1" w:themeTint="F2"/>
                <w14:textFill>
                  <w14:solidFill>
                    <w14:schemeClr w14:val="tx1">
                      <w14:lumMod w14:val="95000"/>
                      <w14:lumOff w14:val="5000"/>
                    </w14:schemeClr>
                  </w14:solidFill>
                </w14:textFill>
              </w:rPr>
              <w:t>2.24kg/t，NO</w:t>
            </w:r>
            <w:r>
              <w:rPr>
                <w:b w:val="0"/>
                <w:bCs w:val="0"/>
                <w:color w:val="0D0D0D" w:themeColor="text1" w:themeTint="F2"/>
                <w:vertAlign w:val="subscript"/>
                <w14:textFill>
                  <w14:solidFill>
                    <w14:schemeClr w14:val="tx1">
                      <w14:lumMod w14:val="95000"/>
                      <w14:lumOff w14:val="5000"/>
                    </w14:schemeClr>
                  </w14:solidFill>
                </w14:textFill>
              </w:rPr>
              <w:t>x</w:t>
            </w:r>
            <w:r>
              <w:rPr>
                <w:rFonts w:hint="eastAsia"/>
                <w:b w:val="0"/>
                <w:bCs w:val="0"/>
                <w:color w:val="0D0D0D" w:themeColor="text1" w:themeTint="F2"/>
                <w14:textFill>
                  <w14:solidFill>
                    <w14:schemeClr w14:val="tx1">
                      <w14:lumMod w14:val="95000"/>
                      <w14:lumOff w14:val="5000"/>
                    </w14:schemeClr>
                  </w14:solidFill>
                </w14:textFill>
              </w:rPr>
              <w:t>：</w:t>
            </w:r>
            <w:r>
              <w:rPr>
                <w:b w:val="0"/>
                <w:bCs w:val="0"/>
                <w:color w:val="0D0D0D" w:themeColor="text1" w:themeTint="F2"/>
                <w14:textFill>
                  <w14:solidFill>
                    <w14:schemeClr w14:val="tx1">
                      <w14:lumMod w14:val="95000"/>
                      <w14:lumOff w14:val="5000"/>
                    </w14:schemeClr>
                  </w14:solidFill>
                </w14:textFill>
              </w:rPr>
              <w:t>2.92kg/t，总烃</w:t>
            </w:r>
            <w:r>
              <w:rPr>
                <w:rFonts w:hint="eastAsia"/>
                <w:b w:val="0"/>
                <w:bCs w:val="0"/>
                <w:color w:val="0D0D0D" w:themeColor="text1" w:themeTint="F2"/>
                <w14:textFill>
                  <w14:solidFill>
                    <w14:schemeClr w14:val="tx1">
                      <w14:lumMod w14:val="95000"/>
                      <w14:lumOff w14:val="5000"/>
                    </w14:schemeClr>
                  </w14:solidFill>
                </w14:textFill>
              </w:rPr>
              <w:t>：</w:t>
            </w:r>
            <w:r>
              <w:rPr>
                <w:b w:val="0"/>
                <w:bCs w:val="0"/>
                <w:color w:val="0D0D0D" w:themeColor="text1" w:themeTint="F2"/>
                <w14:textFill>
                  <w14:solidFill>
                    <w14:schemeClr w14:val="tx1">
                      <w14:lumMod w14:val="95000"/>
                      <w14:lumOff w14:val="5000"/>
                    </w14:schemeClr>
                  </w14:solidFill>
                </w14:textFill>
              </w:rPr>
              <w:t>2.13kg/t</w:t>
            </w:r>
            <w:r>
              <w:rPr>
                <w:rFonts w:hint="eastAsia"/>
                <w:b w:val="0"/>
                <w:bCs w:val="0"/>
                <w:color w:val="0D0D0D" w:themeColor="text1" w:themeTint="F2"/>
                <w14:textFill>
                  <w14:solidFill>
                    <w14:schemeClr w14:val="tx1">
                      <w14:lumMod w14:val="95000"/>
                      <w14:lumOff w14:val="5000"/>
                    </w14:schemeClr>
                  </w14:solidFill>
                </w14:textFill>
              </w:rPr>
              <w:t>，则钻试期污染物排放总量约为SO</w:t>
            </w:r>
            <w:r>
              <w:rPr>
                <w:b w:val="0"/>
                <w:bCs w:val="0"/>
                <w:color w:val="0D0D0D" w:themeColor="text1" w:themeTint="F2"/>
                <w:vertAlign w:val="subscript"/>
                <w14:textFill>
                  <w14:solidFill>
                    <w14:schemeClr w14:val="tx1">
                      <w14:lumMod w14:val="95000"/>
                      <w14:lumOff w14:val="5000"/>
                    </w14:schemeClr>
                  </w14:solidFill>
                </w14:textFill>
              </w:rPr>
              <w:t>2</w:t>
            </w:r>
            <w:r>
              <w:rPr>
                <w:rFonts w:hint="eastAsia"/>
                <w:b w:val="0"/>
                <w:bCs w:val="0"/>
                <w:color w:val="0D0D0D" w:themeColor="text1" w:themeTint="F2"/>
                <w14:textFill>
                  <w14:solidFill>
                    <w14:schemeClr w14:val="tx1">
                      <w14:lumMod w14:val="95000"/>
                      <w14:lumOff w14:val="5000"/>
                    </w14:schemeClr>
                  </w14:solidFill>
                </w14:textFill>
              </w:rPr>
              <w:t>：3.89t，NO</w:t>
            </w:r>
            <w:r>
              <w:rPr>
                <w:rFonts w:hint="eastAsia"/>
                <w:b w:val="0"/>
                <w:bCs w:val="0"/>
                <w:color w:val="0D0D0D" w:themeColor="text1" w:themeTint="F2"/>
                <w:vertAlign w:val="subscript"/>
                <w14:textFill>
                  <w14:solidFill>
                    <w14:schemeClr w14:val="tx1">
                      <w14:lumMod w14:val="95000"/>
                      <w14:lumOff w14:val="5000"/>
                    </w14:schemeClr>
                  </w14:solidFill>
                </w14:textFill>
              </w:rPr>
              <w:t>x</w:t>
            </w:r>
            <w:r>
              <w:rPr>
                <w:rFonts w:hint="eastAsia"/>
                <w:b w:val="0"/>
                <w:bCs w:val="0"/>
                <w:color w:val="0D0D0D" w:themeColor="text1" w:themeTint="F2"/>
                <w14:textFill>
                  <w14:solidFill>
                    <w14:schemeClr w14:val="tx1">
                      <w14:lumMod w14:val="95000"/>
                      <w14:lumOff w14:val="5000"/>
                    </w14:schemeClr>
                  </w14:solidFill>
                </w14:textFill>
              </w:rPr>
              <w:t>：5.07t，总烃：3.70t。</w:t>
            </w:r>
          </w:p>
          <w:p w14:paraId="575B7A1A">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项目区地域空旷，周围扩散条件良好，且废气随施工的结束而消失。因此，对区域大气环境影响不大。</w:t>
            </w:r>
          </w:p>
          <w:p w14:paraId="6B682DC1">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（2）施工机械及施工车辆尾气</w:t>
            </w:r>
          </w:p>
          <w:p w14:paraId="16B03E0D">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施工机械及施工车辆运行过程中会产生一定的尾气，对周围大气环境产生一定的影响；各类施工机械及施工车辆均采用符合国家标准的油品，定期对施工机械及车辆检维修并加强保养，保证施工机械及车辆正常运行，且废气随着施工期的结束而消失，不会对周围大气环境产生不利影响。</w:t>
            </w:r>
          </w:p>
          <w:p w14:paraId="024932CC">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（3）施工扬尘</w:t>
            </w:r>
          </w:p>
          <w:p w14:paraId="4D2E66D1">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井场平整、探临道路、生活营地等建设及施工运输车辆会产生扬尘，对周围大气环境产生一定的影响；施工期加强管理、对易起尘物料进行遮盖、车辆低速慢行等措施，且扬尘随着施工期的结束而消失，不会对周围大气环境产生不利影响。</w:t>
            </w:r>
          </w:p>
          <w:p w14:paraId="082B4E4D">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w:t>
            </w:r>
            <w:r>
              <w:rPr>
                <w:b w:val="0"/>
                <w:bCs w:val="0"/>
                <w:color w:val="0D0D0D" w:themeColor="text1" w:themeTint="F2"/>
                <w14:textFill>
                  <w14:solidFill>
                    <w14:schemeClr w14:val="tx1">
                      <w14:lumMod w14:val="95000"/>
                      <w14:lumOff w14:val="5000"/>
                    </w14:schemeClr>
                  </w14:solidFill>
                </w14:textFill>
              </w:rPr>
              <w:t>4</w:t>
            </w:r>
            <w:r>
              <w:rPr>
                <w:rFonts w:hint="eastAsia"/>
                <w:b w:val="0"/>
                <w:bCs w:val="0"/>
                <w:color w:val="0D0D0D" w:themeColor="text1" w:themeTint="F2"/>
                <w14:textFill>
                  <w14:solidFill>
                    <w14:schemeClr w14:val="tx1">
                      <w14:lumMod w14:val="95000"/>
                      <w14:lumOff w14:val="5000"/>
                    </w14:schemeClr>
                  </w14:solidFill>
                </w14:textFill>
              </w:rPr>
              <w:t>）伴生气燃烧烟气</w:t>
            </w:r>
          </w:p>
          <w:p w14:paraId="00679972">
            <w:pPr>
              <w:pStyle w:val="11"/>
              <w:ind w:firstLine="480"/>
              <w:rPr>
                <w:rFonts w:hint="eastAsia"/>
                <w:b w:val="0"/>
                <w:bCs w:val="0"/>
                <w:color w:val="0D0D0D" w:themeColor="text1" w:themeTint="F2"/>
                <w14:textFill>
                  <w14:solidFill>
                    <w14:schemeClr w14:val="tx1">
                      <w14:lumMod w14:val="95000"/>
                      <w14:lumOff w14:val="5000"/>
                    </w14:schemeClr>
                  </w14:solidFill>
                </w14:textFill>
              </w:rPr>
            </w:pPr>
            <w:bookmarkStart w:id="82" w:name="_Hlk213898659"/>
            <w:r>
              <w:rPr>
                <w:rFonts w:hint="eastAsia"/>
                <w:b w:val="0"/>
                <w:bCs w:val="0"/>
                <w:color w:val="0D0D0D" w:themeColor="text1" w:themeTint="F2"/>
                <w14:textFill>
                  <w14:solidFill>
                    <w14:schemeClr w14:val="tx1">
                      <w14:lumMod w14:val="95000"/>
                      <w14:lumOff w14:val="5000"/>
                    </w14:schemeClr>
                  </w14:solidFill>
                </w14:textFill>
              </w:rPr>
              <w:t>本项目为矿产资源地质勘探项目，目的是获取地层油气藏参数，以期新的油气藏发现，试油期产生的伴生气产量不稳定，</w:t>
            </w:r>
            <w:bookmarkEnd w:id="82"/>
            <w:r>
              <w:rPr>
                <w:rFonts w:hint="eastAsia"/>
                <w:b w:val="0"/>
                <w:bCs w:val="0"/>
                <w:color w:val="0D0D0D" w:themeColor="text1" w:themeTint="F2"/>
                <w14:textFill>
                  <w14:solidFill>
                    <w14:schemeClr w14:val="tx1">
                      <w14:lumMod w14:val="95000"/>
                      <w14:lumOff w14:val="5000"/>
                    </w14:schemeClr>
                  </w14:solidFill>
                </w14:textFill>
              </w:rPr>
              <w:t>不具备回收利</w:t>
            </w:r>
            <w:bookmarkStart w:id="83" w:name="_Hlk170206616"/>
            <w:r>
              <w:rPr>
                <w:rFonts w:hint="eastAsia"/>
                <w:b w:val="0"/>
                <w:bCs w:val="0"/>
                <w:color w:val="0D0D0D" w:themeColor="text1" w:themeTint="F2"/>
                <w14:textFill>
                  <w14:solidFill>
                    <w14:schemeClr w14:val="tx1">
                      <w14:lumMod w14:val="95000"/>
                      <w14:lumOff w14:val="5000"/>
                    </w14:schemeClr>
                  </w14:solidFill>
                </w14:textFill>
              </w:rPr>
              <w:t>用条件，通过排气管线充分燃烧后放空，燃烧烟气的主要污染物为二氧化硫、氮氧化物、非甲烷总烃和颗粒物，排放各污染物中非甲烷总烃应满足《陆上石油天然气开采工业大气污染物排放标准》（GB39728-2020）要求，其余污染物应满足《大气污染物综合排放标准》（GB16297-1996）相关要求。由于燃烧烟气属于阶段性排放，且随着试油结束而停止产生。井场周边无集中居民区，地域空旷、扩散条件良好，不会对周围大气环境产生明显不利影响。</w:t>
            </w:r>
          </w:p>
          <w:p w14:paraId="21766A1B">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b w:val="0"/>
                <w:bCs w:val="0"/>
                <w:color w:val="0D0D0D" w:themeColor="text1" w:themeTint="F2"/>
                <w14:textFill>
                  <w14:solidFill>
                    <w14:schemeClr w14:val="tx1">
                      <w14:lumMod w14:val="95000"/>
                      <w14:lumOff w14:val="5000"/>
                    </w14:schemeClr>
                  </w14:solidFill>
                </w14:textFill>
              </w:rPr>
              <w:t>（5）采出液储存及装车过程的无组织废气</w:t>
            </w:r>
          </w:p>
          <w:p w14:paraId="56D1506C">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b w:val="0"/>
                <w:bCs w:val="0"/>
                <w:color w:val="0D0D0D" w:themeColor="text1" w:themeTint="F2"/>
                <w14:textFill>
                  <w14:solidFill>
                    <w14:schemeClr w14:val="tx1">
                      <w14:lumMod w14:val="95000"/>
                      <w14:lumOff w14:val="5000"/>
                    </w14:schemeClr>
                  </w14:solidFill>
                </w14:textFill>
              </w:rPr>
              <w:t>试油期产生的采出液暂存于地面储罐，由罐车定期拉运至</w:t>
            </w:r>
            <w:r>
              <w:rPr>
                <w:rFonts w:hint="eastAsia"/>
                <w:b w:val="0"/>
                <w:bCs w:val="0"/>
                <w:color w:val="0D0D0D" w:themeColor="text1" w:themeTint="F2"/>
                <w14:textFill>
                  <w14:solidFill>
                    <w14:schemeClr w14:val="tx1">
                      <w14:lumMod w14:val="95000"/>
                      <w14:lumOff w14:val="5000"/>
                    </w14:schemeClr>
                  </w14:solidFill>
                </w14:textFill>
              </w:rPr>
              <w:t>采油一厂红山嘴原油处理站</w:t>
            </w:r>
            <w:r>
              <w:rPr>
                <w:b w:val="0"/>
                <w:bCs w:val="0"/>
                <w:color w:val="0D0D0D" w:themeColor="text1" w:themeTint="F2"/>
                <w14:textFill>
                  <w14:solidFill>
                    <w14:schemeClr w14:val="tx1">
                      <w14:lumMod w14:val="95000"/>
                      <w14:lumOff w14:val="5000"/>
                    </w14:schemeClr>
                  </w14:solidFill>
                </w14:textFill>
              </w:rPr>
              <w:t>处理，采出液在储存及装车过程中会产生无组织挥发烃类（以非甲烷总烃</w:t>
            </w:r>
            <w:r>
              <w:rPr>
                <w:rFonts w:hint="eastAsia"/>
                <w:b w:val="0"/>
                <w:bCs w:val="0"/>
                <w:color w:val="0D0D0D" w:themeColor="text1" w:themeTint="F2"/>
                <w14:textFill>
                  <w14:solidFill>
                    <w14:schemeClr w14:val="tx1">
                      <w14:lumMod w14:val="95000"/>
                      <w14:lumOff w14:val="5000"/>
                    </w14:schemeClr>
                  </w14:solidFill>
                </w14:textFill>
              </w:rPr>
              <w:t>计</w:t>
            </w:r>
            <w:r>
              <w:rPr>
                <w:b w:val="0"/>
                <w:bCs w:val="0"/>
                <w:color w:val="0D0D0D" w:themeColor="text1" w:themeTint="F2"/>
                <w14:textFill>
                  <w14:solidFill>
                    <w14:schemeClr w14:val="tx1">
                      <w14:lumMod w14:val="95000"/>
                      <w14:lumOff w14:val="5000"/>
                    </w14:schemeClr>
                  </w14:solidFill>
                </w14:textFill>
              </w:rPr>
              <w:t>）。</w:t>
            </w:r>
            <w:r>
              <w:rPr>
                <w:rFonts w:hint="eastAsia"/>
                <w:b w:val="0"/>
                <w:bCs w:val="0"/>
                <w:color w:val="0D0D0D" w:themeColor="text1" w:themeTint="F2"/>
                <w14:textFill>
                  <w14:solidFill>
                    <w14:schemeClr w14:val="tx1">
                      <w14:lumMod w14:val="95000"/>
                      <w14:lumOff w14:val="5000"/>
                    </w14:schemeClr>
                  </w14:solidFill>
                </w14:textFill>
              </w:rPr>
              <w:t>本项目主要为探明区域油藏含油气性及规模，试油过程不确定性大，试油阶段采出液产生情况无法确定，且采出液装载仅在试油期进行，随试油期结束而停止产生；项目周边地域空旷、扩散条件良好；试油期采出液储存及装车过程产生的无组织非甲烷总烃应符合《陆上石油天然气开采工业大气污染物排放标准》（GB39728-2020）中相关标准限值要求，不会对区域环境产生较大影响。</w:t>
            </w:r>
            <w:bookmarkStart w:id="84" w:name="_Hlk136794460"/>
          </w:p>
          <w:p w14:paraId="37071374">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（6）柴油卸车及储存无组织废气</w:t>
            </w:r>
          </w:p>
          <w:p w14:paraId="2D938E60">
            <w:pPr>
              <w:snapToGrid w:val="0"/>
              <w:spacing w:line="500" w:lineRule="exact"/>
              <w:ind w:firstLine="480" w:firstLineChars="200"/>
              <w:rPr>
                <w:rFonts w:hint="eastAsia" w:ascii="宋体" w:hAnsi="宋体" w:cs="宋体"/>
                <w:color w:val="0D0D0D" w:themeColor="text1" w:themeTint="F2"/>
                <w:kern w:val="0"/>
                <w14:textFill>
                  <w14:solidFill>
                    <w14:schemeClr w14:val="tx1">
                      <w14:lumMod w14:val="95000"/>
                      <w14:lumOff w14:val="5000"/>
                    </w14:schemeClr>
                  </w14:solidFill>
                </w14:textFill>
              </w:rPr>
            </w:pPr>
            <w:r>
              <w:rPr>
                <w:rFonts w:hint="eastAsia" w:ascii="宋体" w:hAnsi="宋体" w:cs="宋体"/>
                <w:color w:val="0D0D0D" w:themeColor="text1" w:themeTint="F2"/>
                <w:kern w:val="0"/>
                <w14:textFill>
                  <w14:solidFill>
                    <w14:schemeClr w14:val="tx1">
                      <w14:lumMod w14:val="95000"/>
                      <w14:lumOff w14:val="5000"/>
                    </w14:schemeClr>
                  </w14:solidFill>
                </w14:textFill>
              </w:rPr>
              <w:t>井场设1座柴油罐，为固定顶罐，外购柴油由罐车拉运至井场后暂存于储罐内，最大贮存量约20t。柴油卸车及临时贮存时会产生一定的无组织挥发性废气，由于柴油周转量较小，真实蒸气压较低，挥发性低，由柴油储罐临时储存产生的挥发性废气量较小，不会对周围大气环境产生明显不利影响。</w:t>
            </w:r>
          </w:p>
          <w:bookmarkEnd w:id="83"/>
          <w:p w14:paraId="7107A6F1">
            <w:pPr>
              <w:widowControl/>
              <w:snapToGrid w:val="0"/>
              <w:spacing w:line="500" w:lineRule="exact"/>
              <w:ind w:firstLine="480" w:firstLineChars="200"/>
              <w:rPr>
                <w:rFonts w:hint="eastAsia" w:ascii="宋体" w:hAnsi="宋体" w:cs="宋体"/>
                <w:color w:val="0D0D0D" w:themeColor="text1" w:themeTint="F2"/>
                <w:kern w:val="0"/>
                <w14:textFill>
                  <w14:solidFill>
                    <w14:schemeClr w14:val="tx1">
                      <w14:lumMod w14:val="95000"/>
                      <w14:lumOff w14:val="5000"/>
                    </w14:schemeClr>
                  </w14:solidFill>
                </w14:textFill>
              </w:rPr>
            </w:pPr>
            <w:r>
              <w:rPr>
                <w:rFonts w:hint="eastAsia" w:ascii="宋体" w:hAnsi="宋体" w:cs="宋体"/>
                <w:color w:val="0D0D0D" w:themeColor="text1" w:themeTint="F2"/>
                <w:kern w:val="0"/>
                <w14:textFill>
                  <w14:solidFill>
                    <w14:schemeClr w14:val="tx1">
                      <w14:lumMod w14:val="95000"/>
                      <w14:lumOff w14:val="5000"/>
                    </w14:schemeClr>
                  </w14:solidFill>
                </w14:textFill>
              </w:rPr>
              <w:t>（7）水基钻井岩屑暂存扬尘</w:t>
            </w:r>
          </w:p>
          <w:p w14:paraId="4D9C54E6">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水基钻井岩屑暂存于岩屑罐中，不落地系统分离出的水基钻井岩屑含水率较高且产生后及时清运，由水基钻井岩屑临时暂存产生的扬尘量很少，不会对周围大气环境产生不利影响。</w:t>
            </w:r>
          </w:p>
          <w:p w14:paraId="0DA1E098">
            <w:pPr>
              <w:pStyle w:val="38"/>
              <w:ind w:firstLine="480"/>
              <w:rPr>
                <w:rFonts w:hint="eastAsia"/>
              </w:rPr>
            </w:pPr>
            <w:r>
              <w:t>（8）油基钻井岩屑暂存时无组织挥发性有机物</w:t>
            </w:r>
          </w:p>
          <w:p w14:paraId="1631E76F">
            <w:pPr>
              <w:pStyle w:val="38"/>
              <w:ind w:firstLine="480"/>
              <w:rPr>
                <w:rFonts w:hint="eastAsia"/>
              </w:rPr>
            </w:pPr>
            <w:r>
              <w:t>油基钻井岩屑暂存于岩屑罐中，暂存过程中会产生少量的无组织挥发性有机物，油基钻井岩屑含油率较低且产生后及时清运，由油基钻井岩屑在岩屑罐中临时暂存过程中产生的无组织挥发性有机物很少，项目区地域空旷，不会对周围大气环境产生不利影响。</w:t>
            </w:r>
          </w:p>
          <w:p w14:paraId="13885A5B">
            <w:pPr>
              <w:pStyle w:val="38"/>
              <w:ind w:firstLine="480"/>
              <w:rPr>
                <w:rFonts w:hint="eastAsia"/>
              </w:rPr>
            </w:pPr>
            <w:r>
              <w:t>（9）油基钻井液暂存及钻井过程中油基钻井液挥发废气</w:t>
            </w:r>
          </w:p>
          <w:p w14:paraId="70FEFE0B">
            <w:pPr>
              <w:pStyle w:val="38"/>
              <w:ind w:firstLine="480"/>
              <w:rPr>
                <w:rFonts w:hint="eastAsia"/>
              </w:rPr>
            </w:pPr>
            <w:r>
              <w:t>油基钻井液暂存于带盖的钻井液方罐中，油基钻井液中白油的含量为30%，白油蒸气压较低，挥发性低，由油基钻井液暂存产生的挥发性废气较少，不会对周围大气环境产生明显不利影响；二开</w:t>
            </w:r>
            <w:r>
              <w:rPr>
                <w:rFonts w:hint="eastAsia"/>
              </w:rPr>
              <w:t>至五</w:t>
            </w:r>
            <w:r>
              <w:t>开采用油基钻井液，钻至500m后开始使用油基钻井液，钻井过程中由使用油基钻井液产生的无组织挥发性废气较少，不会对周围大气环境产生明显不利影响。比新疆油田其他类似钻井井场，井场场界外非甲烷总烃的浓度低于《陆上石油天然气开采工业大气污染物排放标准》（GB39728-2020）周界外无组织排放浓度限值4.0mg/m</w:t>
            </w:r>
            <w:r>
              <w:rPr>
                <w:vertAlign w:val="superscript"/>
              </w:rPr>
              <w:t>3</w:t>
            </w:r>
            <w:r>
              <w:t>的要求。</w:t>
            </w:r>
          </w:p>
          <w:p w14:paraId="3AF1F1CA">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（10）储层改造过程中的无组织废气</w:t>
            </w:r>
          </w:p>
          <w:p w14:paraId="6ED5A3E7">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储层改造过程中射孔作业对套管和井壁进行射孔，建立地层与井筒之间的通道，射孔作业完成后油藏中油气通过井筒返至地面，以无组织形式逸散至大气环境中，对周围大气环境产生一定的影响。</w:t>
            </w:r>
          </w:p>
          <w:p w14:paraId="21A0A711">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11）项目为油气矿产资源勘查，不确定油气藏中是否含硫化氢，按不利因素考虑，在试油过程中伴生气中可能含有少量的硫化氢，试油过程中可能通过阀门、法兰等连接件有少量的硫化氢逸散，井场配备有硫化氢监测仪，试油过程中伴生气主要通过排气管线燃烧放空，项目周围无大气环境保护目标，且地域空旷、扩散条件较好，不会对周围环境产生不利影响。</w:t>
            </w:r>
          </w:p>
          <w:p w14:paraId="2B36033B">
            <w:pPr>
              <w:spacing w:line="500" w:lineRule="exact"/>
              <w:ind w:firstLine="480"/>
              <w:rPr>
                <w:rFonts w:hint="eastAsia" w:ascii="宋体" w:hAnsi="宋体" w:cs="宋体"/>
                <w:color w:val="0D0D0D" w:themeColor="text1" w:themeTint="F2"/>
                <w:kern w:val="0"/>
                <w:szCs w:val="20"/>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综上所述，施工期间产生的废气对大气环境影响不大。</w:t>
            </w:r>
          </w:p>
          <w:bookmarkEnd w:id="84"/>
          <w:p w14:paraId="5226AFEC">
            <w:pPr>
              <w:pStyle w:val="11"/>
              <w:rPr>
                <w:rFonts w:hint="eastAsia"/>
                <w:color w:val="0D0D0D" w:themeColor="text1" w:themeTint="F2"/>
                <w14:textFill>
                  <w14:solidFill>
                    <w14:schemeClr w14:val="tx1">
                      <w14:lumMod w14:val="95000"/>
                      <w14:lumOff w14:val="5000"/>
                    </w14:schemeClr>
                  </w14:solidFill>
                </w14:textFill>
              </w:rPr>
            </w:pPr>
            <w:bookmarkStart w:id="85" w:name="_Hlk136795076"/>
            <w:r>
              <w:rPr>
                <w:rFonts w:hint="eastAsia"/>
                <w:color w:val="0D0D0D" w:themeColor="text1" w:themeTint="F2"/>
                <w14:textFill>
                  <w14:solidFill>
                    <w14:schemeClr w14:val="tx1">
                      <w14:lumMod w14:val="95000"/>
                      <w14:lumOff w14:val="5000"/>
                    </w14:schemeClr>
                  </w14:solidFill>
                </w14:textFill>
              </w:rPr>
              <w:t>5、地表水环境影响分析</w:t>
            </w:r>
          </w:p>
          <w:bookmarkEnd w:id="85"/>
          <w:p w14:paraId="3137C122">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废水主要为生活污水和试油期废水。</w:t>
            </w:r>
          </w:p>
          <w:p w14:paraId="42F90B5F">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（1）生活污水</w:t>
            </w:r>
          </w:p>
          <w:p w14:paraId="67360311">
            <w:pPr>
              <w:pStyle w:val="11"/>
              <w:ind w:firstLine="480"/>
              <w:rPr>
                <w:rFonts w:hint="eastAsia"/>
                <w:b w:val="0"/>
                <w:bCs w:val="0"/>
                <w:color w:val="0D0D0D" w:themeColor="text1" w:themeTint="F2"/>
                <w14:textFill>
                  <w14:solidFill>
                    <w14:schemeClr w14:val="tx1">
                      <w14:lumMod w14:val="95000"/>
                      <w14:lumOff w14:val="5000"/>
                    </w14:schemeClr>
                  </w14:solidFill>
                </w14:textFill>
              </w:rPr>
            </w:pPr>
            <w:bookmarkStart w:id="86" w:name="_Hlk213898762"/>
            <w:r>
              <w:rPr>
                <w:rFonts w:hint="eastAsia"/>
                <w:b w:val="0"/>
                <w:bCs w:val="0"/>
                <w:color w:val="0D0D0D" w:themeColor="text1" w:themeTint="F2"/>
                <w14:textFill>
                  <w14:solidFill>
                    <w14:schemeClr w14:val="tx1">
                      <w14:lumMod w14:val="95000"/>
                      <w14:lumOff w14:val="5000"/>
                    </w14:schemeClr>
                  </w14:solidFill>
                </w14:textFill>
              </w:rPr>
              <w:t>施工期设生活营地，根据《新疆维吾尔自治区生活用水定额》，单人生活用水量取20L/d，钻试期间生活用水总量约为182m</w:t>
            </w:r>
            <w:r>
              <w:rPr>
                <w:rFonts w:hint="eastAsia"/>
                <w:b w:val="0"/>
                <w:bCs w:val="0"/>
                <w:color w:val="0D0D0D" w:themeColor="text1" w:themeTint="F2"/>
                <w:vertAlign w:val="superscript"/>
                <w14:textFill>
                  <w14:solidFill>
                    <w14:schemeClr w14:val="tx1">
                      <w14:lumMod w14:val="95000"/>
                      <w14:lumOff w14:val="5000"/>
                    </w14:schemeClr>
                  </w14:solidFill>
                </w14:textFill>
              </w:rPr>
              <w:t>3</w:t>
            </w:r>
            <w:r>
              <w:rPr>
                <w:rFonts w:hint="eastAsia"/>
                <w:b w:val="0"/>
                <w:bCs w:val="0"/>
                <w:color w:val="0D0D0D" w:themeColor="text1" w:themeTint="F2"/>
                <w14:textFill>
                  <w14:solidFill>
                    <w14:schemeClr w14:val="tx1">
                      <w14:lumMod w14:val="95000"/>
                      <w14:lumOff w14:val="5000"/>
                    </w14:schemeClr>
                  </w14:solidFill>
                </w14:textFill>
              </w:rPr>
              <w:t>，生活污水产生量按照生活用水量的80%计算，则生活污水产生量约为145m</w:t>
            </w:r>
            <w:r>
              <w:rPr>
                <w:rFonts w:hint="eastAsia"/>
                <w:b w:val="0"/>
                <w:bCs w:val="0"/>
                <w:color w:val="0D0D0D" w:themeColor="text1" w:themeTint="F2"/>
                <w:vertAlign w:val="superscript"/>
                <w14:textFill>
                  <w14:solidFill>
                    <w14:schemeClr w14:val="tx1">
                      <w14:lumMod w14:val="95000"/>
                      <w14:lumOff w14:val="5000"/>
                    </w14:schemeClr>
                  </w14:solidFill>
                </w14:textFill>
              </w:rPr>
              <w:t>3</w:t>
            </w:r>
            <w:r>
              <w:rPr>
                <w:rFonts w:hint="eastAsia"/>
                <w:b w:val="0"/>
                <w:bCs w:val="0"/>
                <w:color w:val="0D0D0D" w:themeColor="text1" w:themeTint="F2"/>
                <w14:textFill>
                  <w14:solidFill>
                    <w14:schemeClr w14:val="tx1">
                      <w14:lumMod w14:val="95000"/>
                      <w14:lumOff w14:val="5000"/>
                    </w14:schemeClr>
                  </w14:solidFill>
                </w14:textFill>
              </w:rPr>
              <w:t>，其水质与居民生活污水相似，主要污染物浓度分别为化学需氧量（COD）350mg/L、氨氮（NH</w:t>
            </w:r>
            <w:r>
              <w:rPr>
                <w:rFonts w:hint="eastAsia"/>
                <w:b w:val="0"/>
                <w:bCs w:val="0"/>
                <w:color w:val="0D0D0D" w:themeColor="text1" w:themeTint="F2"/>
                <w:vertAlign w:val="subscript"/>
                <w14:textFill>
                  <w14:solidFill>
                    <w14:schemeClr w14:val="tx1">
                      <w14:lumMod w14:val="95000"/>
                      <w14:lumOff w14:val="5000"/>
                    </w14:schemeClr>
                  </w14:solidFill>
                </w14:textFill>
              </w:rPr>
              <w:t>3</w:t>
            </w:r>
            <w:r>
              <w:rPr>
                <w:rFonts w:hint="eastAsia"/>
                <w:b w:val="0"/>
                <w:bCs w:val="0"/>
                <w:color w:val="0D0D0D" w:themeColor="text1" w:themeTint="F2"/>
                <w14:textFill>
                  <w14:solidFill>
                    <w14:schemeClr w14:val="tx1">
                      <w14:lumMod w14:val="95000"/>
                      <w14:lumOff w14:val="5000"/>
                    </w14:schemeClr>
                  </w14:solidFill>
                </w14:textFill>
              </w:rPr>
              <w:t>-N）30mg/L、悬浮物（SS）200mg/L。</w:t>
            </w:r>
          </w:p>
          <w:bookmarkEnd w:id="86"/>
          <w:p w14:paraId="1E208EED">
            <w:pPr>
              <w:pStyle w:val="11"/>
              <w:ind w:firstLine="480"/>
              <w:rPr>
                <w:rFonts w:hint="eastAsia"/>
                <w:b w:val="0"/>
                <w:bCs w:val="0"/>
                <w:color w:val="0D0D0D" w:themeColor="text1" w:themeTint="F2"/>
                <w14:textFill>
                  <w14:solidFill>
                    <w14:schemeClr w14:val="tx1">
                      <w14:lumMod w14:val="95000"/>
                      <w14:lumOff w14:val="5000"/>
                    </w14:schemeClr>
                  </w14:solidFill>
                </w14:textFill>
              </w:rPr>
            </w:pPr>
            <w:bookmarkStart w:id="87" w:name="OLE_LINK14"/>
            <w:bookmarkStart w:id="88" w:name="_Hlk213895565"/>
            <w:r>
              <w:rPr>
                <w:rFonts w:hint="eastAsia"/>
                <w:b w:val="0"/>
                <w:bCs w:val="0"/>
                <w:color w:val="0D0D0D" w:themeColor="text1" w:themeTint="F2"/>
                <w14:textFill>
                  <w14:solidFill>
                    <w14:schemeClr w14:val="tx1">
                      <w14:lumMod w14:val="95000"/>
                      <w14:lumOff w14:val="5000"/>
                    </w14:schemeClr>
                  </w14:solidFill>
                </w14:textFill>
              </w:rPr>
              <w:t>曙探1井生活营地</w:t>
            </w:r>
            <w:bookmarkEnd w:id="87"/>
            <w:r>
              <w:rPr>
                <w:rFonts w:hint="eastAsia"/>
                <w:b w:val="0"/>
                <w:bCs w:val="0"/>
                <w:color w:val="0D0D0D" w:themeColor="text1" w:themeTint="F2"/>
                <w14:textFill>
                  <w14:solidFill>
                    <w14:schemeClr w14:val="tx1">
                      <w14:lumMod w14:val="95000"/>
                      <w14:lumOff w14:val="5000"/>
                    </w14:schemeClr>
                  </w14:solidFill>
                </w14:textFill>
              </w:rPr>
              <w:t>位于井场西北侧，内设置1座临时防渗收集池（容积约40m</w:t>
            </w:r>
            <w:r>
              <w:rPr>
                <w:rFonts w:hint="eastAsia"/>
                <w:b w:val="0"/>
                <w:bCs w:val="0"/>
                <w:color w:val="0D0D0D" w:themeColor="text1" w:themeTint="F2"/>
                <w:vertAlign w:val="superscript"/>
                <w14:textFill>
                  <w14:solidFill>
                    <w14:schemeClr w14:val="tx1">
                      <w14:lumMod w14:val="95000"/>
                      <w14:lumOff w14:val="5000"/>
                    </w14:schemeClr>
                  </w14:solidFill>
                </w14:textFill>
              </w:rPr>
              <w:t>3</w:t>
            </w:r>
            <w:r>
              <w:rPr>
                <w:rFonts w:hint="eastAsia"/>
                <w:b w:val="0"/>
                <w:bCs w:val="0"/>
                <w:color w:val="0D0D0D" w:themeColor="text1" w:themeTint="F2"/>
                <w14:textFill>
                  <w14:solidFill>
                    <w14:schemeClr w14:val="tx1">
                      <w14:lumMod w14:val="95000"/>
                      <w14:lumOff w14:val="5000"/>
                    </w14:schemeClr>
                  </w14:solidFill>
                </w14:textFill>
              </w:rPr>
              <w:t>），用于收集和暂存生活污水，防渗收集池开挖后采用HDPE防渗膜铺垫防渗，其渗透系数不低于1×10</w:t>
            </w:r>
            <w:r>
              <w:rPr>
                <w:rFonts w:hint="eastAsia"/>
                <w:b w:val="0"/>
                <w:bCs w:val="0"/>
                <w:color w:val="0D0D0D" w:themeColor="text1" w:themeTint="F2"/>
                <w:vertAlign w:val="superscript"/>
                <w14:textFill>
                  <w14:solidFill>
                    <w14:schemeClr w14:val="tx1">
                      <w14:lumMod w14:val="95000"/>
                      <w14:lumOff w14:val="5000"/>
                    </w14:schemeClr>
                  </w14:solidFill>
                </w14:textFill>
              </w:rPr>
              <w:t>-7</w:t>
            </w:r>
            <w:r>
              <w:rPr>
                <w:rFonts w:hint="eastAsia"/>
                <w:b w:val="0"/>
                <w:bCs w:val="0"/>
                <w:color w:val="0D0D0D" w:themeColor="text1" w:themeTint="F2"/>
                <w14:textFill>
                  <w14:solidFill>
                    <w14:schemeClr w14:val="tx1">
                      <w14:lumMod w14:val="95000"/>
                      <w14:lumOff w14:val="5000"/>
                    </w14:schemeClr>
                  </w14:solidFill>
                </w14:textFill>
              </w:rPr>
              <w:t>cm/s。生活污水定期清运至呼图壁县丰泉城污水处理厂处理，施工结束后，防渗收集池占地及时清理并恢复原貌、防渗膜回收。</w:t>
            </w:r>
          </w:p>
          <w:bookmarkEnd w:id="88"/>
          <w:p w14:paraId="6217D537">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（2）试油废水</w:t>
            </w:r>
          </w:p>
          <w:p w14:paraId="0C7D0098">
            <w:pPr>
              <w:pStyle w:val="11"/>
              <w:ind w:firstLine="480"/>
              <w:rPr>
                <w:rFonts w:hint="eastAsia"/>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钻井期间无生产废水产生，试油废水包括洗井废水和压裂返排液。洗井用水总量800m</w:t>
            </w:r>
            <w:r>
              <w:rPr>
                <w:rFonts w:hint="eastAsia"/>
                <w:b w:val="0"/>
                <w:bCs w:val="0"/>
                <w:color w:val="0D0D0D" w:themeColor="text1" w:themeTint="F2"/>
                <w:vertAlign w:val="superscript"/>
                <w14:textFill>
                  <w14:solidFill>
                    <w14:schemeClr w14:val="tx1">
                      <w14:lumMod w14:val="95000"/>
                      <w14:lumOff w14:val="5000"/>
                    </w14:schemeClr>
                  </w14:solidFill>
                </w14:textFill>
              </w:rPr>
              <w:t>3</w:t>
            </w:r>
            <w:r>
              <w:rPr>
                <w:rFonts w:hint="eastAsia"/>
                <w:b w:val="0"/>
                <w:bCs w:val="0"/>
                <w:color w:val="0D0D0D" w:themeColor="text1" w:themeTint="F2"/>
                <w14:textFill>
                  <w14:solidFill>
                    <w14:schemeClr w14:val="tx1">
                      <w14:lumMod w14:val="95000"/>
                      <w14:lumOff w14:val="5000"/>
                    </w14:schemeClr>
                  </w14:solidFill>
                </w14:textFill>
              </w:rPr>
              <w:t>，井筒清洗完后全部返回井场设置的储罐内，洗井废水产生量为800</w:t>
            </w:r>
            <w:r>
              <w:rPr>
                <w:b w:val="0"/>
                <w:bCs w:val="0"/>
                <w:color w:val="0D0D0D" w:themeColor="text1" w:themeTint="F2"/>
                <w14:textFill>
                  <w14:solidFill>
                    <w14:schemeClr w14:val="tx1">
                      <w14:lumMod w14:val="95000"/>
                      <w14:lumOff w14:val="5000"/>
                    </w14:schemeClr>
                  </w14:solidFill>
                </w14:textFill>
              </w:rPr>
              <w:t>m</w:t>
            </w:r>
            <w:r>
              <w:rPr>
                <w:b w:val="0"/>
                <w:bCs w:val="0"/>
                <w:color w:val="0D0D0D" w:themeColor="text1" w:themeTint="F2"/>
                <w:vertAlign w:val="superscript"/>
                <w14:textFill>
                  <w14:solidFill>
                    <w14:schemeClr w14:val="tx1">
                      <w14:lumMod w14:val="95000"/>
                      <w14:lumOff w14:val="5000"/>
                    </w14:schemeClr>
                  </w14:solidFill>
                </w14:textFill>
              </w:rPr>
              <w:t>3</w:t>
            </w:r>
            <w:r>
              <w:rPr>
                <w:rFonts w:hint="eastAsia"/>
                <w:b w:val="0"/>
                <w:bCs w:val="0"/>
                <w:color w:val="0D0D0D" w:themeColor="text1" w:themeTint="F2"/>
                <w14:textFill>
                  <w14:solidFill>
                    <w14:schemeClr w14:val="tx1">
                      <w14:lumMod w14:val="95000"/>
                      <w14:lumOff w14:val="5000"/>
                    </w14:schemeClr>
                  </w14:solidFill>
                </w14:textFill>
              </w:rPr>
              <w:t>，主要污染物为石油类和悬浮物等；压裂期间使用压裂液约800m</w:t>
            </w:r>
            <w:r>
              <w:rPr>
                <w:rFonts w:hint="eastAsia"/>
                <w:b w:val="0"/>
                <w:bCs w:val="0"/>
                <w:color w:val="0D0D0D" w:themeColor="text1" w:themeTint="F2"/>
                <w:vertAlign w:val="superscript"/>
                <w14:textFill>
                  <w14:solidFill>
                    <w14:schemeClr w14:val="tx1">
                      <w14:lumMod w14:val="95000"/>
                      <w14:lumOff w14:val="5000"/>
                    </w14:schemeClr>
                  </w14:solidFill>
                </w14:textFill>
              </w:rPr>
              <w:t>3</w:t>
            </w:r>
            <w:r>
              <w:rPr>
                <w:rFonts w:hint="eastAsia"/>
                <w:b w:val="0"/>
                <w:bCs w:val="0"/>
                <w:color w:val="0D0D0D" w:themeColor="text1" w:themeTint="F2"/>
                <w14:textFill>
                  <w14:solidFill>
                    <w14:schemeClr w14:val="tx1">
                      <w14:lumMod w14:val="95000"/>
                      <w14:lumOff w14:val="5000"/>
                    </w14:schemeClr>
                  </w14:solidFill>
                </w14:textFill>
              </w:rPr>
              <w:t>，根据同类项目施工数据可知，压裂液返排量约20%～50%，取最大值50%计算，则压裂返排液产生量约250m</w:t>
            </w:r>
            <w:r>
              <w:rPr>
                <w:rFonts w:hint="eastAsia"/>
                <w:b w:val="0"/>
                <w:bCs w:val="0"/>
                <w:color w:val="0D0D0D" w:themeColor="text1" w:themeTint="F2"/>
                <w:vertAlign w:val="superscript"/>
                <w14:textFill>
                  <w14:solidFill>
                    <w14:schemeClr w14:val="tx1">
                      <w14:lumMod w14:val="95000"/>
                      <w14:lumOff w14:val="5000"/>
                    </w14:schemeClr>
                  </w14:solidFill>
                </w14:textFill>
              </w:rPr>
              <w:t>3</w:t>
            </w:r>
            <w:r>
              <w:rPr>
                <w:rFonts w:hint="eastAsia"/>
                <w:b w:val="0"/>
                <w:bCs w:val="0"/>
                <w:color w:val="0D0D0D" w:themeColor="text1" w:themeTint="F2"/>
                <w14:textFill>
                  <w14:solidFill>
                    <w14:schemeClr w14:val="tx1">
                      <w14:lumMod w14:val="95000"/>
                      <w14:lumOff w14:val="5000"/>
                    </w14:schemeClr>
                  </w14:solidFill>
                </w14:textFill>
              </w:rPr>
              <w:t>，主要污染物为石油类、悬浮物等。洗井废水和压裂返排液经专用储罐收集后由罐车拉运至采油一厂红山嘴原油处理站采出水处理系统处理，满足《碎屑岩油藏注水水质指标技术要求及分析方法》（SY/T5329-2022）的相关标准后全部回注油藏，不外排。</w:t>
            </w:r>
          </w:p>
          <w:p w14:paraId="316F1859">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综上所述，施工期产生的废水不会对地表水环境产生影响。</w:t>
            </w:r>
          </w:p>
          <w:p w14:paraId="0E05E2A1">
            <w:pPr>
              <w:pStyle w:val="1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6、地下水、土壤环境影响分析</w:t>
            </w:r>
          </w:p>
          <w:p w14:paraId="12D3FB3B">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（1）地下水环境影响分析</w:t>
            </w:r>
          </w:p>
          <w:p w14:paraId="6959B782">
            <w:pPr>
              <w:pStyle w:val="38"/>
              <w:ind w:firstLine="480"/>
              <w:rPr>
                <w:rFonts w:hint="eastAsia"/>
                <w:color w:val="0D0D0D" w:themeColor="text1" w:themeTint="F2"/>
                <w14:textFill>
                  <w14:solidFill>
                    <w14:schemeClr w14:val="tx1">
                      <w14:lumMod w14:val="95000"/>
                      <w14:lumOff w14:val="5000"/>
                    </w14:schemeClr>
                  </w14:solidFill>
                </w14:textFill>
              </w:rPr>
            </w:pPr>
            <w:bookmarkStart w:id="89" w:name="_Hlk170207859"/>
            <w:r>
              <w:rPr>
                <w:rFonts w:hint="eastAsia"/>
                <w:color w:val="0D0D0D" w:themeColor="text1" w:themeTint="F2"/>
                <w14:textFill>
                  <w14:solidFill>
                    <w14:schemeClr w14:val="tx1">
                      <w14:lumMod w14:val="95000"/>
                      <w14:lumOff w14:val="5000"/>
                    </w14:schemeClr>
                  </w14:solidFill>
                </w14:textFill>
              </w:rPr>
              <w:t>井场采出液储罐、柴油储罐、水基钻井液储罐、试油废水储罐、发电房、材料房、生活污水收集池、水基钻井岩屑方罐底部等关键区域均采用防渗膜防渗。</w:t>
            </w:r>
            <w:bookmarkStart w:id="90" w:name="_Hlk208325115"/>
            <w:bookmarkStart w:id="91" w:name="_Hlk213895962"/>
            <w:r>
              <w:rPr>
                <w:rFonts w:hint="eastAsia"/>
                <w:color w:val="0D0D0D" w:themeColor="text1" w:themeTint="F2"/>
                <w14:textFill>
                  <w14:solidFill>
                    <w14:schemeClr w14:val="tx1">
                      <w14:lumMod w14:val="95000"/>
                      <w14:lumOff w14:val="5000"/>
                    </w14:schemeClr>
                  </w14:solidFill>
                </w14:textFill>
              </w:rPr>
              <w:t>项目区地下水埋深约50m，本次钻井深度为8050m，钻井采用下套管注水泥固井的完井方式进行水泥固井，表层套管的深度为1400m，对含水层进行了固封处理，可有效保护地下水层；试油目的层与地下水处于不同层系，在施工过程中确保套管下入指定深度，可有效避免钻试工程对地下水环境的影响。</w:t>
            </w:r>
            <w:bookmarkEnd w:id="90"/>
          </w:p>
          <w:bookmarkEnd w:id="89"/>
          <w:bookmarkEnd w:id="91"/>
          <w:p w14:paraId="31E1F575">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（2）土壤环境影响分析</w:t>
            </w:r>
          </w:p>
          <w:p w14:paraId="44924D50">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钻前工程及钻试工程各项施工活动不可避免的会对土壤造成人为扰动，产生破坏性影响，如钻井井场、岩屑临时堆放场和生活营地等占地，以及施工材料堆积、挖掘、碾压、踩踏等均会改变原有的土壤结构和理化性质，机械碾压的结果使土壤紧实度增高，地表水渗入减少，土壤团粒结构遭到破坏，降低土壤肥力，不利于野生植被的生长恢复。另外施工过程中，各类机械设备若发生燃油滴漏的情况，也有可能对沿线土壤造成一定的影响。</w:t>
            </w:r>
          </w:p>
          <w:p w14:paraId="3BACDEAA">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kern w:val="2"/>
                <w14:textFill>
                  <w14:solidFill>
                    <w14:schemeClr w14:val="tx1">
                      <w14:lumMod w14:val="95000"/>
                      <w14:lumOff w14:val="5000"/>
                    </w14:schemeClr>
                  </w14:solidFill>
                </w14:textFill>
              </w:rPr>
              <w:t>施工结束后，随着施工设备和人员的撤离，临时占地将得到释放</w:t>
            </w:r>
            <w:bookmarkStart w:id="92" w:name="_Hlk167973179"/>
            <w:r>
              <w:rPr>
                <w:rFonts w:hint="eastAsia"/>
                <w:color w:val="0D0D0D" w:themeColor="text1" w:themeTint="F2"/>
                <w:kern w:val="2"/>
                <w14:textFill>
                  <w14:solidFill>
                    <w14:schemeClr w14:val="tx1">
                      <w14:lumMod w14:val="95000"/>
                      <w14:lumOff w14:val="5000"/>
                    </w14:schemeClr>
                  </w14:solidFill>
                </w14:textFill>
              </w:rPr>
              <w:t>。施工期应严格控制施工作业范围，</w:t>
            </w:r>
            <w:r>
              <w:rPr>
                <w:rFonts w:hint="eastAsia"/>
                <w:color w:val="0D0D0D" w:themeColor="text1" w:themeTint="F2"/>
                <w14:textFill>
                  <w14:solidFill>
                    <w14:schemeClr w14:val="tx1">
                      <w14:lumMod w14:val="95000"/>
                      <w14:lumOff w14:val="5000"/>
                    </w14:schemeClr>
                  </w14:solidFill>
                </w14:textFill>
              </w:rPr>
              <w:t>施工机械及施工车辆禁止随意行驶，禁止将废水、固体废物排至项目区及周边。</w:t>
            </w:r>
            <w:bookmarkEnd w:id="92"/>
            <w:r>
              <w:rPr>
                <w:rFonts w:hint="eastAsia"/>
                <w:color w:val="0D0D0D" w:themeColor="text1" w:themeTint="F2"/>
                <w14:textFill>
                  <w14:solidFill>
                    <w14:schemeClr w14:val="tx1">
                      <w14:lumMod w14:val="95000"/>
                      <w14:lumOff w14:val="5000"/>
                    </w14:schemeClr>
                  </w14:solidFill>
                </w14:textFill>
              </w:rPr>
              <w:t>采取上述措施后，施工期间不会对周围土壤环境产生明显影响。</w:t>
            </w:r>
          </w:p>
          <w:p w14:paraId="71E6E91C">
            <w:pPr>
              <w:pStyle w:val="1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7、声环境影响分析</w:t>
            </w:r>
          </w:p>
          <w:p w14:paraId="4289D0B5">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期噪声源主要包括柴油发电机、柴油机、钻井液循环泵和压裂车等各类施工机械，源强一般为85～110dB（A），基础减振降噪效果约为10dB（A），柴油发电机和柴油机位于室内，基础减振和室内隔声降噪效果约为20dB（A）。根据现场调查，声环境评价范围内没有固定居住人群等声敏感目标，不会造成扰民现象，施工期的噪声仅对施工人员产生影响。</w:t>
            </w:r>
            <w:bookmarkStart w:id="93" w:name="_Hlk163506224"/>
            <w:r>
              <w:rPr>
                <w:rFonts w:hint="eastAsia"/>
                <w:color w:val="0D0D0D" w:themeColor="text1" w:themeTint="F2"/>
                <w14:textFill>
                  <w14:solidFill>
                    <w14:schemeClr w14:val="tx1">
                      <w14:lumMod w14:val="95000"/>
                      <w14:lumOff w14:val="5000"/>
                    </w14:schemeClr>
                  </w14:solidFill>
                </w14:textFill>
              </w:rPr>
              <w:t>施工期噪声源及特性见</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REF _Ref206180113 \h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表17</w:t>
            </w:r>
            <w:r>
              <w:rPr>
                <w:rFonts w:hint="eastAsia"/>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w:t>
            </w:r>
          </w:p>
          <w:p w14:paraId="0A3E4EEE">
            <w:pPr>
              <w:pStyle w:val="8"/>
              <w:rPr>
                <w:rFonts w:hint="eastAsia"/>
                <w:color w:val="0D0D0D" w:themeColor="text1" w:themeTint="F2"/>
                <w14:textFill>
                  <w14:solidFill>
                    <w14:schemeClr w14:val="tx1">
                      <w14:lumMod w14:val="95000"/>
                      <w14:lumOff w14:val="5000"/>
                    </w14:schemeClr>
                  </w14:solidFill>
                </w14:textFill>
              </w:rPr>
            </w:pPr>
            <w:bookmarkStart w:id="94" w:name="_Ref206180113"/>
            <w:r>
              <w:rPr>
                <w:rFonts w:hint="eastAsia"/>
                <w:color w:val="0D0D0D" w:themeColor="text1" w:themeTint="F2"/>
                <w14:textFill>
                  <w14:solidFill>
                    <w14:schemeClr w14:val="tx1">
                      <w14:lumMod w14:val="95000"/>
                      <w14:lumOff w14:val="5000"/>
                    </w14:schemeClr>
                  </w14:solidFill>
                </w14:textFill>
              </w:rPr>
              <w:t>表</w:t>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w:instrText>
            </w:r>
            <w:r>
              <w:rPr>
                <w:rFonts w:hint="eastAsia"/>
                <w:color w:val="0D0D0D" w:themeColor="text1" w:themeTint="F2"/>
                <w14:textFill>
                  <w14:solidFill>
                    <w14:schemeClr w14:val="tx1">
                      <w14:lumMod w14:val="95000"/>
                      <w14:lumOff w14:val="5000"/>
                    </w14:schemeClr>
                  </w14:solidFill>
                </w14:textFill>
              </w:rPr>
              <w:instrText xml:space="preserve">SEQ 表 \* ARABIC</w:instrText>
            </w:r>
            <w:r>
              <w:rPr>
                <w:color w:val="0D0D0D" w:themeColor="text1" w:themeTint="F2"/>
                <w14:textFill>
                  <w14:solidFill>
                    <w14:schemeClr w14:val="tx1">
                      <w14:lumMod w14:val="95000"/>
                      <w14:lumOff w14:val="5000"/>
                    </w14:schemeClr>
                  </w14:solidFill>
                </w14:textFill>
              </w:rPr>
              <w:instrText xml:space="preserve"> </w:instrText>
            </w:r>
            <w:r>
              <w:rPr>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17</w:t>
            </w:r>
            <w:r>
              <w:rPr>
                <w:color w:val="0D0D0D" w:themeColor="text1" w:themeTint="F2"/>
                <w14:textFill>
                  <w14:solidFill>
                    <w14:schemeClr w14:val="tx1">
                      <w14:lumMod w14:val="95000"/>
                      <w14:lumOff w14:val="5000"/>
                    </w14:schemeClr>
                  </w14:solidFill>
                </w14:textFill>
              </w:rPr>
              <w:fldChar w:fldCharType="end"/>
            </w:r>
            <w:bookmarkEnd w:id="94"/>
            <w:r>
              <w:rPr>
                <w:color w:val="0D0D0D" w:themeColor="text1" w:themeTint="F2"/>
                <w14:textFill>
                  <w14:solidFill>
                    <w14:schemeClr w14:val="tx1">
                      <w14:lumMod w14:val="95000"/>
                      <w14:lumOff w14:val="5000"/>
                    </w14:schemeClr>
                  </w14:solidFill>
                </w14:textFill>
              </w:rPr>
              <w:t xml:space="preserve"> </w:t>
            </w:r>
            <w:r>
              <w:rPr>
                <w:rFonts w:hint="eastAsia"/>
                <w:color w:val="0D0D0D" w:themeColor="text1" w:themeTint="F2"/>
                <w14:textFill>
                  <w14:solidFill>
                    <w14:schemeClr w14:val="tx1">
                      <w14:lumMod w14:val="95000"/>
                      <w14:lumOff w14:val="5000"/>
                    </w14:schemeClr>
                  </w14:solidFill>
                </w14:textFill>
              </w:rPr>
              <w:t xml:space="preserve">  </w:t>
            </w:r>
            <w:r>
              <w:rPr>
                <w:color w:val="0D0D0D" w:themeColor="text1" w:themeTint="F2"/>
                <w14:textFill>
                  <w14:solidFill>
                    <w14:schemeClr w14:val="tx1">
                      <w14:lumMod w14:val="95000"/>
                      <w14:lumOff w14:val="5000"/>
                    </w14:schemeClr>
                  </w14:solidFill>
                </w14:textFill>
              </w:rPr>
              <w:t xml:space="preserve"> </w:t>
            </w:r>
            <w:r>
              <w:rPr>
                <w:rFonts w:hint="eastAsia"/>
                <w:color w:val="0D0D0D" w:themeColor="text1" w:themeTint="F2"/>
                <w14:textFill>
                  <w14:solidFill>
                    <w14:schemeClr w14:val="tx1">
                      <w14:lumMod w14:val="95000"/>
                      <w14:lumOff w14:val="5000"/>
                    </w14:schemeClr>
                  </w14:solidFill>
                </w14:textFill>
              </w:rPr>
              <w:t>施工期主要噪声源强特性单位：</w:t>
            </w:r>
            <w:r>
              <w:rPr>
                <w:color w:val="0D0D0D" w:themeColor="text1" w:themeTint="F2"/>
                <w14:textFill>
                  <w14:solidFill>
                    <w14:schemeClr w14:val="tx1">
                      <w14:lumMod w14:val="95000"/>
                      <w14:lumOff w14:val="5000"/>
                    </w14:schemeClr>
                  </w14:solidFill>
                </w14:textFill>
              </w:rPr>
              <w:t>dB(A)</w:t>
            </w:r>
          </w:p>
          <w:tbl>
            <w:tblPr>
              <w:tblStyle w:val="113"/>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745"/>
              <w:gridCol w:w="1417"/>
              <w:gridCol w:w="589"/>
              <w:gridCol w:w="995"/>
              <w:gridCol w:w="957"/>
              <w:gridCol w:w="1043"/>
              <w:gridCol w:w="1181"/>
              <w:gridCol w:w="1097"/>
            </w:tblGrid>
            <w:tr w14:paraId="267A689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464" w:type="pct"/>
                  <w:vAlign w:val="center"/>
                </w:tcPr>
                <w:p w14:paraId="123B76B9">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时段</w:t>
                  </w:r>
                </w:p>
              </w:tc>
              <w:tc>
                <w:tcPr>
                  <w:tcW w:w="883" w:type="pct"/>
                  <w:vAlign w:val="center"/>
                </w:tcPr>
                <w:p w14:paraId="0E46623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噪声设备</w:t>
                  </w:r>
                </w:p>
              </w:tc>
              <w:tc>
                <w:tcPr>
                  <w:tcW w:w="367" w:type="pct"/>
                  <w:vAlign w:val="center"/>
                </w:tcPr>
                <w:p w14:paraId="3D3284A3">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数量</w:t>
                  </w:r>
                </w:p>
              </w:tc>
              <w:tc>
                <w:tcPr>
                  <w:tcW w:w="620" w:type="pct"/>
                  <w:vAlign w:val="center"/>
                </w:tcPr>
                <w:p w14:paraId="561744F2">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单台源强</w:t>
                  </w:r>
                </w:p>
              </w:tc>
              <w:tc>
                <w:tcPr>
                  <w:tcW w:w="596" w:type="pct"/>
                  <w:vAlign w:val="center"/>
                </w:tcPr>
                <w:p w14:paraId="55BCC8B0">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距声源</w:t>
                  </w:r>
                </w:p>
              </w:tc>
              <w:tc>
                <w:tcPr>
                  <w:tcW w:w="650" w:type="pct"/>
                  <w:vAlign w:val="center"/>
                </w:tcPr>
                <w:p w14:paraId="466BDA6F">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噪声特性</w:t>
                  </w:r>
                </w:p>
              </w:tc>
              <w:tc>
                <w:tcPr>
                  <w:tcW w:w="736" w:type="pct"/>
                  <w:vAlign w:val="center"/>
                </w:tcPr>
                <w:p w14:paraId="32A7ADA4">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排放时间</w:t>
                  </w:r>
                </w:p>
              </w:tc>
              <w:tc>
                <w:tcPr>
                  <w:tcW w:w="683" w:type="pct"/>
                  <w:vAlign w:val="center"/>
                </w:tcPr>
                <w:p w14:paraId="65BD33D5">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声源种类</w:t>
                  </w:r>
                </w:p>
              </w:tc>
            </w:tr>
            <w:tr w14:paraId="6348D4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464" w:type="pct"/>
                  <w:vMerge w:val="restart"/>
                  <w:vAlign w:val="center"/>
                </w:tcPr>
                <w:p w14:paraId="0E26816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钻井期</w:t>
                  </w:r>
                </w:p>
              </w:tc>
              <w:tc>
                <w:tcPr>
                  <w:tcW w:w="883" w:type="pct"/>
                  <w:vAlign w:val="center"/>
                </w:tcPr>
                <w:p w14:paraId="763F358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钻井设备</w:t>
                  </w:r>
                </w:p>
              </w:tc>
              <w:tc>
                <w:tcPr>
                  <w:tcW w:w="367" w:type="pct"/>
                  <w:vAlign w:val="center"/>
                </w:tcPr>
                <w:p w14:paraId="71F5E943">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w:t>
                  </w:r>
                </w:p>
              </w:tc>
              <w:tc>
                <w:tcPr>
                  <w:tcW w:w="620" w:type="pct"/>
                  <w:vAlign w:val="center"/>
                </w:tcPr>
                <w:p w14:paraId="0202B28B">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90</w:t>
                  </w:r>
                </w:p>
              </w:tc>
              <w:tc>
                <w:tcPr>
                  <w:tcW w:w="596" w:type="pct"/>
                  <w:vAlign w:val="center"/>
                </w:tcPr>
                <w:p w14:paraId="3C883412">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1m</w:t>
                  </w:r>
                </w:p>
              </w:tc>
              <w:tc>
                <w:tcPr>
                  <w:tcW w:w="650" w:type="pct"/>
                  <w:vAlign w:val="center"/>
                </w:tcPr>
                <w:p w14:paraId="50426B82">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机械</w:t>
                  </w:r>
                </w:p>
              </w:tc>
              <w:tc>
                <w:tcPr>
                  <w:tcW w:w="736" w:type="pct"/>
                  <w:vAlign w:val="center"/>
                </w:tcPr>
                <w:p w14:paraId="1F234A52">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昼夜连续</w:t>
                  </w:r>
                </w:p>
              </w:tc>
              <w:tc>
                <w:tcPr>
                  <w:tcW w:w="683" w:type="pct"/>
                  <w:vAlign w:val="center"/>
                </w:tcPr>
                <w:p w14:paraId="27E6FB71">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固定声源</w:t>
                  </w:r>
                </w:p>
              </w:tc>
            </w:tr>
            <w:tr w14:paraId="200D24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464" w:type="pct"/>
                  <w:vMerge w:val="continue"/>
                  <w:vAlign w:val="center"/>
                </w:tcPr>
                <w:p w14:paraId="7C169427">
                  <w:pPr>
                    <w:pStyle w:val="42"/>
                    <w:rPr>
                      <w:rFonts w:hint="eastAsia"/>
                      <w:color w:val="0D0D0D" w:themeColor="text1" w:themeTint="F2"/>
                      <w14:textFill>
                        <w14:solidFill>
                          <w14:schemeClr w14:val="tx1">
                            <w14:lumMod w14:val="95000"/>
                            <w14:lumOff w14:val="5000"/>
                          </w14:schemeClr>
                        </w14:solidFill>
                      </w14:textFill>
                    </w:rPr>
                  </w:pPr>
                </w:p>
              </w:tc>
              <w:tc>
                <w:tcPr>
                  <w:tcW w:w="883" w:type="pct"/>
                  <w:vAlign w:val="center"/>
                </w:tcPr>
                <w:p w14:paraId="093E842C">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泥浆泵</w:t>
                  </w:r>
                </w:p>
              </w:tc>
              <w:tc>
                <w:tcPr>
                  <w:tcW w:w="367" w:type="pct"/>
                  <w:vAlign w:val="center"/>
                </w:tcPr>
                <w:p w14:paraId="3E6143F5">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2</w:t>
                  </w:r>
                </w:p>
              </w:tc>
              <w:tc>
                <w:tcPr>
                  <w:tcW w:w="620" w:type="pct"/>
                  <w:vAlign w:val="center"/>
                </w:tcPr>
                <w:p w14:paraId="3478DBC8">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90</w:t>
                  </w:r>
                </w:p>
              </w:tc>
              <w:tc>
                <w:tcPr>
                  <w:tcW w:w="596" w:type="pct"/>
                  <w:vAlign w:val="center"/>
                </w:tcPr>
                <w:p w14:paraId="1B944FF7">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1m</w:t>
                  </w:r>
                </w:p>
              </w:tc>
              <w:tc>
                <w:tcPr>
                  <w:tcW w:w="650" w:type="pct"/>
                  <w:vAlign w:val="center"/>
                </w:tcPr>
                <w:p w14:paraId="23CC7513">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机械</w:t>
                  </w:r>
                </w:p>
              </w:tc>
              <w:tc>
                <w:tcPr>
                  <w:tcW w:w="736" w:type="pct"/>
                  <w:vAlign w:val="center"/>
                </w:tcPr>
                <w:p w14:paraId="75B4122C">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昼夜连续</w:t>
                  </w:r>
                </w:p>
              </w:tc>
              <w:tc>
                <w:tcPr>
                  <w:tcW w:w="683" w:type="pct"/>
                  <w:vAlign w:val="center"/>
                </w:tcPr>
                <w:p w14:paraId="182A0BA3">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固定声源</w:t>
                  </w:r>
                </w:p>
              </w:tc>
            </w:tr>
            <w:tr w14:paraId="1136D2A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464" w:type="pct"/>
                  <w:vMerge w:val="continue"/>
                  <w:vAlign w:val="center"/>
                </w:tcPr>
                <w:p w14:paraId="33321337">
                  <w:pPr>
                    <w:pStyle w:val="42"/>
                    <w:rPr>
                      <w:rFonts w:hint="eastAsia"/>
                      <w:color w:val="0D0D0D" w:themeColor="text1" w:themeTint="F2"/>
                      <w14:textFill>
                        <w14:solidFill>
                          <w14:schemeClr w14:val="tx1">
                            <w14:lumMod w14:val="95000"/>
                            <w14:lumOff w14:val="5000"/>
                          </w14:schemeClr>
                        </w14:solidFill>
                      </w14:textFill>
                    </w:rPr>
                  </w:pPr>
                </w:p>
              </w:tc>
              <w:tc>
                <w:tcPr>
                  <w:tcW w:w="883" w:type="pct"/>
                  <w:vAlign w:val="center"/>
                </w:tcPr>
                <w:p w14:paraId="2317ED4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振动筛</w:t>
                  </w:r>
                </w:p>
              </w:tc>
              <w:tc>
                <w:tcPr>
                  <w:tcW w:w="367" w:type="pct"/>
                  <w:vAlign w:val="center"/>
                </w:tcPr>
                <w:p w14:paraId="67F6EE39">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3</w:t>
                  </w:r>
                </w:p>
              </w:tc>
              <w:tc>
                <w:tcPr>
                  <w:tcW w:w="620" w:type="pct"/>
                  <w:vAlign w:val="center"/>
                </w:tcPr>
                <w:p w14:paraId="071DDF58">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100</w:t>
                  </w:r>
                </w:p>
              </w:tc>
              <w:tc>
                <w:tcPr>
                  <w:tcW w:w="596" w:type="pct"/>
                  <w:vAlign w:val="center"/>
                </w:tcPr>
                <w:p w14:paraId="200DF642">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1m</w:t>
                  </w:r>
                </w:p>
              </w:tc>
              <w:tc>
                <w:tcPr>
                  <w:tcW w:w="650" w:type="pct"/>
                  <w:vAlign w:val="center"/>
                </w:tcPr>
                <w:p w14:paraId="52ACF9CC">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机械</w:t>
                  </w:r>
                </w:p>
              </w:tc>
              <w:tc>
                <w:tcPr>
                  <w:tcW w:w="736" w:type="pct"/>
                  <w:vAlign w:val="center"/>
                </w:tcPr>
                <w:p w14:paraId="50F7ED50">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昼夜连续</w:t>
                  </w:r>
                </w:p>
              </w:tc>
              <w:tc>
                <w:tcPr>
                  <w:tcW w:w="683" w:type="pct"/>
                  <w:vAlign w:val="center"/>
                </w:tcPr>
                <w:p w14:paraId="5257E69C">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固定声源</w:t>
                  </w:r>
                </w:p>
              </w:tc>
            </w:tr>
            <w:tr w14:paraId="30B5D8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464" w:type="pct"/>
                  <w:vMerge w:val="continue"/>
                  <w:vAlign w:val="center"/>
                </w:tcPr>
                <w:p w14:paraId="7F3B29CD">
                  <w:pPr>
                    <w:pStyle w:val="42"/>
                    <w:rPr>
                      <w:rFonts w:hint="eastAsia"/>
                      <w:color w:val="0D0D0D" w:themeColor="text1" w:themeTint="F2"/>
                      <w14:textFill>
                        <w14:solidFill>
                          <w14:schemeClr w14:val="tx1">
                            <w14:lumMod w14:val="95000"/>
                            <w14:lumOff w14:val="5000"/>
                          </w14:schemeClr>
                        </w14:solidFill>
                      </w14:textFill>
                    </w:rPr>
                  </w:pPr>
                </w:p>
              </w:tc>
              <w:tc>
                <w:tcPr>
                  <w:tcW w:w="883" w:type="pct"/>
                  <w:vAlign w:val="center"/>
                </w:tcPr>
                <w:p w14:paraId="1BBF89F9">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柴油发电机</w:t>
                  </w:r>
                </w:p>
              </w:tc>
              <w:tc>
                <w:tcPr>
                  <w:tcW w:w="367" w:type="pct"/>
                  <w:vAlign w:val="center"/>
                </w:tcPr>
                <w:p w14:paraId="1E1CC989">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2</w:t>
                  </w:r>
                </w:p>
              </w:tc>
              <w:tc>
                <w:tcPr>
                  <w:tcW w:w="620" w:type="pct"/>
                  <w:vAlign w:val="center"/>
                </w:tcPr>
                <w:p w14:paraId="516C4976">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85</w:t>
                  </w:r>
                </w:p>
              </w:tc>
              <w:tc>
                <w:tcPr>
                  <w:tcW w:w="596" w:type="pct"/>
                  <w:vAlign w:val="center"/>
                </w:tcPr>
                <w:p w14:paraId="424B12A7">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1m</w:t>
                  </w:r>
                </w:p>
              </w:tc>
              <w:tc>
                <w:tcPr>
                  <w:tcW w:w="650" w:type="pct"/>
                  <w:vAlign w:val="center"/>
                </w:tcPr>
                <w:p w14:paraId="551761E4">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机械</w:t>
                  </w:r>
                </w:p>
              </w:tc>
              <w:tc>
                <w:tcPr>
                  <w:tcW w:w="736" w:type="pct"/>
                  <w:vAlign w:val="center"/>
                </w:tcPr>
                <w:p w14:paraId="7D133DC4">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昼夜连续</w:t>
                  </w:r>
                </w:p>
              </w:tc>
              <w:tc>
                <w:tcPr>
                  <w:tcW w:w="683" w:type="pct"/>
                  <w:vAlign w:val="center"/>
                </w:tcPr>
                <w:p w14:paraId="66359584">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固定声源</w:t>
                  </w:r>
                </w:p>
              </w:tc>
            </w:tr>
            <w:tr w14:paraId="093D06E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464" w:type="pct"/>
                  <w:vMerge w:val="continue"/>
                  <w:vAlign w:val="center"/>
                </w:tcPr>
                <w:p w14:paraId="4B519123">
                  <w:pPr>
                    <w:pStyle w:val="42"/>
                    <w:rPr>
                      <w:rFonts w:hint="eastAsia"/>
                      <w:color w:val="0D0D0D" w:themeColor="text1" w:themeTint="F2"/>
                      <w14:textFill>
                        <w14:solidFill>
                          <w14:schemeClr w14:val="tx1">
                            <w14:lumMod w14:val="95000"/>
                            <w14:lumOff w14:val="5000"/>
                          </w14:schemeClr>
                        </w14:solidFill>
                      </w14:textFill>
                    </w:rPr>
                  </w:pPr>
                </w:p>
              </w:tc>
              <w:tc>
                <w:tcPr>
                  <w:tcW w:w="883" w:type="pct"/>
                  <w:vAlign w:val="center"/>
                </w:tcPr>
                <w:p w14:paraId="1339CCE6">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柴油机</w:t>
                  </w:r>
                </w:p>
              </w:tc>
              <w:tc>
                <w:tcPr>
                  <w:tcW w:w="367" w:type="pct"/>
                  <w:vAlign w:val="center"/>
                </w:tcPr>
                <w:p w14:paraId="2B765D96">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w:t>
                  </w:r>
                </w:p>
              </w:tc>
              <w:tc>
                <w:tcPr>
                  <w:tcW w:w="620" w:type="pct"/>
                  <w:vAlign w:val="center"/>
                </w:tcPr>
                <w:p w14:paraId="76F108A6">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95</w:t>
                  </w:r>
                </w:p>
              </w:tc>
              <w:tc>
                <w:tcPr>
                  <w:tcW w:w="596" w:type="pct"/>
                  <w:vAlign w:val="center"/>
                </w:tcPr>
                <w:p w14:paraId="17E5BB3F">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1m</w:t>
                  </w:r>
                </w:p>
              </w:tc>
              <w:tc>
                <w:tcPr>
                  <w:tcW w:w="650" w:type="pct"/>
                  <w:vAlign w:val="center"/>
                </w:tcPr>
                <w:p w14:paraId="634D2BF0">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机械</w:t>
                  </w:r>
                </w:p>
              </w:tc>
              <w:tc>
                <w:tcPr>
                  <w:tcW w:w="736" w:type="pct"/>
                  <w:vAlign w:val="center"/>
                </w:tcPr>
                <w:p w14:paraId="229B7E0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昼夜连续</w:t>
                  </w:r>
                </w:p>
              </w:tc>
              <w:tc>
                <w:tcPr>
                  <w:tcW w:w="683" w:type="pct"/>
                  <w:vAlign w:val="center"/>
                </w:tcPr>
                <w:p w14:paraId="423F160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固定声源</w:t>
                  </w:r>
                </w:p>
              </w:tc>
            </w:tr>
            <w:tr w14:paraId="1F5F82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40" w:hRule="atLeast"/>
              </w:trPr>
              <w:tc>
                <w:tcPr>
                  <w:tcW w:w="464" w:type="pct"/>
                  <w:vMerge w:val="restart"/>
                  <w:vAlign w:val="center"/>
                </w:tcPr>
                <w:p w14:paraId="053F79A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储层改造阶段</w:t>
                  </w:r>
                </w:p>
              </w:tc>
              <w:tc>
                <w:tcPr>
                  <w:tcW w:w="883" w:type="pct"/>
                  <w:vAlign w:val="center"/>
                </w:tcPr>
                <w:p w14:paraId="6F2AE76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压裂车</w:t>
                  </w:r>
                </w:p>
              </w:tc>
              <w:tc>
                <w:tcPr>
                  <w:tcW w:w="367" w:type="pct"/>
                  <w:vAlign w:val="center"/>
                </w:tcPr>
                <w:p w14:paraId="5BFCAEF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8</w:t>
                  </w:r>
                </w:p>
              </w:tc>
              <w:tc>
                <w:tcPr>
                  <w:tcW w:w="620" w:type="pct"/>
                  <w:vAlign w:val="center"/>
                </w:tcPr>
                <w:p w14:paraId="07D205E4">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100</w:t>
                  </w:r>
                </w:p>
              </w:tc>
              <w:tc>
                <w:tcPr>
                  <w:tcW w:w="596" w:type="pct"/>
                  <w:vAlign w:val="center"/>
                </w:tcPr>
                <w:p w14:paraId="1F38B779">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1m</w:t>
                  </w:r>
                </w:p>
              </w:tc>
              <w:tc>
                <w:tcPr>
                  <w:tcW w:w="650" w:type="pct"/>
                  <w:vAlign w:val="center"/>
                </w:tcPr>
                <w:p w14:paraId="5DE366E9">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机械</w:t>
                  </w:r>
                </w:p>
              </w:tc>
              <w:tc>
                <w:tcPr>
                  <w:tcW w:w="736" w:type="pct"/>
                  <w:vAlign w:val="center"/>
                </w:tcPr>
                <w:p w14:paraId="77EFDD32">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昼夜连续</w:t>
                  </w:r>
                </w:p>
              </w:tc>
              <w:tc>
                <w:tcPr>
                  <w:tcW w:w="683" w:type="pct"/>
                  <w:vAlign w:val="center"/>
                </w:tcPr>
                <w:p w14:paraId="4805BE3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固定声源</w:t>
                  </w:r>
                </w:p>
              </w:tc>
            </w:tr>
            <w:tr w14:paraId="6DE904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464" w:type="pct"/>
                  <w:vMerge w:val="continue"/>
                  <w:vAlign w:val="center"/>
                </w:tcPr>
                <w:p w14:paraId="2E24E4E4">
                  <w:pPr>
                    <w:pStyle w:val="42"/>
                    <w:rPr>
                      <w:rFonts w:hint="eastAsia"/>
                      <w:color w:val="0D0D0D" w:themeColor="text1" w:themeTint="F2"/>
                      <w14:textFill>
                        <w14:solidFill>
                          <w14:schemeClr w14:val="tx1">
                            <w14:lumMod w14:val="95000"/>
                            <w14:lumOff w14:val="5000"/>
                          </w14:schemeClr>
                        </w14:solidFill>
                      </w14:textFill>
                    </w:rPr>
                  </w:pPr>
                </w:p>
              </w:tc>
              <w:tc>
                <w:tcPr>
                  <w:tcW w:w="883" w:type="pct"/>
                  <w:vAlign w:val="center"/>
                </w:tcPr>
                <w:p w14:paraId="586DC19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射孔车</w:t>
                  </w:r>
                </w:p>
              </w:tc>
              <w:tc>
                <w:tcPr>
                  <w:tcW w:w="367" w:type="pct"/>
                  <w:vAlign w:val="center"/>
                </w:tcPr>
                <w:p w14:paraId="05A891A1">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w:t>
                  </w:r>
                </w:p>
              </w:tc>
              <w:tc>
                <w:tcPr>
                  <w:tcW w:w="620" w:type="pct"/>
                  <w:vAlign w:val="center"/>
                </w:tcPr>
                <w:p w14:paraId="2EE783D0">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100</w:t>
                  </w:r>
                </w:p>
              </w:tc>
              <w:tc>
                <w:tcPr>
                  <w:tcW w:w="596" w:type="pct"/>
                  <w:vAlign w:val="center"/>
                </w:tcPr>
                <w:p w14:paraId="02B8907E">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1m</w:t>
                  </w:r>
                </w:p>
              </w:tc>
              <w:tc>
                <w:tcPr>
                  <w:tcW w:w="650" w:type="pct"/>
                  <w:vAlign w:val="center"/>
                </w:tcPr>
                <w:p w14:paraId="7D8BE1A6">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机械</w:t>
                  </w:r>
                </w:p>
              </w:tc>
              <w:tc>
                <w:tcPr>
                  <w:tcW w:w="736" w:type="pct"/>
                  <w:vAlign w:val="center"/>
                </w:tcPr>
                <w:p w14:paraId="7A5CA021">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昼夜连续</w:t>
                  </w:r>
                </w:p>
              </w:tc>
              <w:tc>
                <w:tcPr>
                  <w:tcW w:w="683" w:type="pct"/>
                  <w:vAlign w:val="center"/>
                </w:tcPr>
                <w:p w14:paraId="4E780873">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固定声源</w:t>
                  </w:r>
                </w:p>
              </w:tc>
            </w:tr>
          </w:tbl>
          <w:p w14:paraId="3C59232A">
            <w:pPr>
              <w:pStyle w:val="38"/>
              <w:ind w:firstLine="480"/>
              <w:rPr>
                <w:rFonts w:hint="eastAsia"/>
                <w:color w:val="0D0D0D" w:themeColor="text1" w:themeTint="F2"/>
                <w:lang w:bidi="ar"/>
                <w14:textFill>
                  <w14:solidFill>
                    <w14:schemeClr w14:val="tx1">
                      <w14:lumMod w14:val="95000"/>
                      <w14:lumOff w14:val="5000"/>
                    </w14:schemeClr>
                  </w14:solidFill>
                </w14:textFill>
              </w:rPr>
            </w:pPr>
            <w:bookmarkStart w:id="95" w:name="_Hlk208332441"/>
            <w:r>
              <w:rPr>
                <w:rFonts w:hint="eastAsia"/>
                <w:color w:val="0D0D0D" w:themeColor="text1" w:themeTint="F2"/>
                <w:lang w:bidi="ar"/>
                <w14:textFill>
                  <w14:solidFill>
                    <w14:schemeClr w14:val="tx1">
                      <w14:lumMod w14:val="95000"/>
                      <w14:lumOff w14:val="5000"/>
                    </w14:schemeClr>
                  </w14:solidFill>
                </w14:textFill>
              </w:rPr>
              <w:t>预测计算模式采用《环境影响评价技术导则—声环境》</w:t>
            </w:r>
            <w:r>
              <w:rPr>
                <w:rFonts w:hint="eastAsia"/>
                <w:color w:val="0D0D0D" w:themeColor="text1" w:themeTint="F2"/>
                <w14:textFill>
                  <w14:solidFill>
                    <w14:schemeClr w14:val="tx1">
                      <w14:lumMod w14:val="95000"/>
                      <w14:lumOff w14:val="5000"/>
                    </w14:schemeClr>
                  </w14:solidFill>
                </w14:textFill>
              </w:rPr>
              <w:t>（HJ2.4-20</w:t>
            </w:r>
            <w:r>
              <w:rPr>
                <w:color w:val="0D0D0D" w:themeColor="text1" w:themeTint="F2"/>
                <w14:textFill>
                  <w14:solidFill>
                    <w14:schemeClr w14:val="tx1">
                      <w14:lumMod w14:val="95000"/>
                      <w14:lumOff w14:val="5000"/>
                    </w14:schemeClr>
                  </w14:solidFill>
                </w14:textFill>
              </w:rPr>
              <w:t>21</w:t>
            </w:r>
            <w:r>
              <w:rPr>
                <w:rFonts w:hint="eastAsia"/>
                <w:color w:val="0D0D0D" w:themeColor="text1" w:themeTint="F2"/>
                <w14:textFill>
                  <w14:solidFill>
                    <w14:schemeClr w14:val="tx1">
                      <w14:lumMod w14:val="95000"/>
                      <w14:lumOff w14:val="5000"/>
                    </w14:schemeClr>
                  </w14:solidFill>
                </w14:textFill>
              </w:rPr>
              <w:t>）</w:t>
            </w:r>
            <w:r>
              <w:rPr>
                <w:rFonts w:hint="eastAsia"/>
                <w:color w:val="0D0D0D" w:themeColor="text1" w:themeTint="F2"/>
                <w:lang w:bidi="ar"/>
                <w14:textFill>
                  <w14:solidFill>
                    <w14:schemeClr w14:val="tx1">
                      <w14:lumMod w14:val="95000"/>
                      <w14:lumOff w14:val="5000"/>
                    </w14:schemeClr>
                  </w14:solidFill>
                </w14:textFill>
              </w:rPr>
              <w:t>中所推荐的预测模式，计算式如下：</w:t>
            </w:r>
          </w:p>
          <w:p w14:paraId="42A6E46A">
            <w:pPr>
              <w:adjustRightInd w:val="0"/>
              <w:snapToGrid w:val="0"/>
              <w:spacing w:line="500" w:lineRule="exact"/>
              <w:ind w:firstLine="480" w:firstLineChars="200"/>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lang w:bidi="ar"/>
                <w14:textFill>
                  <w14:solidFill>
                    <w14:schemeClr w14:val="tx1">
                      <w14:lumMod w14:val="95000"/>
                      <w14:lumOff w14:val="5000"/>
                    </w14:schemeClr>
                  </w14:solidFill>
                </w14:textFill>
              </w:rPr>
              <w:t>L</w:t>
            </w:r>
            <w:r>
              <w:rPr>
                <w:rFonts w:hint="eastAsia" w:ascii="宋体" w:hAnsi="宋体" w:cs="宋体"/>
                <w:color w:val="0D0D0D" w:themeColor="text1" w:themeTint="F2"/>
                <w:vertAlign w:val="subscript"/>
                <w:lang w:bidi="ar"/>
                <w14:textFill>
                  <w14:solidFill>
                    <w14:schemeClr w14:val="tx1">
                      <w14:lumMod w14:val="95000"/>
                      <w14:lumOff w14:val="5000"/>
                    </w14:schemeClr>
                  </w14:solidFill>
                </w14:textFill>
              </w:rPr>
              <w:t>A</w:t>
            </w:r>
            <w:r>
              <w:rPr>
                <w:rFonts w:hint="eastAsia" w:ascii="宋体" w:hAnsi="宋体" w:cs="宋体"/>
                <w:color w:val="0D0D0D" w:themeColor="text1" w:themeTint="F2"/>
                <w:lang w:bidi="ar"/>
                <w14:textFill>
                  <w14:solidFill>
                    <w14:schemeClr w14:val="tx1">
                      <w14:lumMod w14:val="95000"/>
                      <w14:lumOff w14:val="5000"/>
                    </w14:schemeClr>
                  </w14:solidFill>
                </w14:textFill>
              </w:rPr>
              <w:t>（r）=L</w:t>
            </w:r>
            <w:r>
              <w:rPr>
                <w:rFonts w:hint="eastAsia" w:ascii="宋体" w:hAnsi="宋体" w:cs="宋体"/>
                <w:color w:val="0D0D0D" w:themeColor="text1" w:themeTint="F2"/>
                <w:vertAlign w:val="subscript"/>
                <w:lang w:bidi="ar"/>
                <w14:textFill>
                  <w14:solidFill>
                    <w14:schemeClr w14:val="tx1">
                      <w14:lumMod w14:val="95000"/>
                      <w14:lumOff w14:val="5000"/>
                    </w14:schemeClr>
                  </w14:solidFill>
                </w14:textFill>
              </w:rPr>
              <w:t>A</w:t>
            </w:r>
            <w:r>
              <w:rPr>
                <w:rFonts w:hint="eastAsia" w:ascii="宋体" w:hAnsi="宋体" w:cs="宋体"/>
                <w:color w:val="0D0D0D" w:themeColor="text1" w:themeTint="F2"/>
                <w:lang w:bidi="ar"/>
                <w14:textFill>
                  <w14:solidFill>
                    <w14:schemeClr w14:val="tx1">
                      <w14:lumMod w14:val="95000"/>
                      <w14:lumOff w14:val="5000"/>
                    </w14:schemeClr>
                  </w14:solidFill>
                </w14:textFill>
              </w:rPr>
              <w:t>（r</w:t>
            </w:r>
            <w:r>
              <w:rPr>
                <w:rFonts w:hint="eastAsia" w:ascii="宋体" w:hAnsi="宋体" w:cs="宋体"/>
                <w:color w:val="0D0D0D" w:themeColor="text1" w:themeTint="F2"/>
                <w:vertAlign w:val="subscript"/>
                <w:lang w:bidi="ar"/>
                <w14:textFill>
                  <w14:solidFill>
                    <w14:schemeClr w14:val="tx1">
                      <w14:lumMod w14:val="95000"/>
                      <w14:lumOff w14:val="5000"/>
                    </w14:schemeClr>
                  </w14:solidFill>
                </w14:textFill>
              </w:rPr>
              <w:t>0</w:t>
            </w:r>
            <w:r>
              <w:rPr>
                <w:rFonts w:hint="eastAsia" w:ascii="宋体" w:hAnsi="宋体" w:cs="宋体"/>
                <w:color w:val="0D0D0D" w:themeColor="text1" w:themeTint="F2"/>
                <w:lang w:bidi="ar"/>
                <w14:textFill>
                  <w14:solidFill>
                    <w14:schemeClr w14:val="tx1">
                      <w14:lumMod w14:val="95000"/>
                      <w14:lumOff w14:val="5000"/>
                    </w14:schemeClr>
                  </w14:solidFill>
                </w14:textFill>
              </w:rPr>
              <w:t>）-20lg（r/r</w:t>
            </w:r>
            <w:r>
              <w:rPr>
                <w:rFonts w:hint="eastAsia" w:ascii="宋体" w:hAnsi="宋体" w:cs="宋体"/>
                <w:color w:val="0D0D0D" w:themeColor="text1" w:themeTint="F2"/>
                <w:vertAlign w:val="subscript"/>
                <w:lang w:bidi="ar"/>
                <w14:textFill>
                  <w14:solidFill>
                    <w14:schemeClr w14:val="tx1">
                      <w14:lumMod w14:val="95000"/>
                      <w14:lumOff w14:val="5000"/>
                    </w14:schemeClr>
                  </w14:solidFill>
                </w14:textFill>
              </w:rPr>
              <w:t>0</w:t>
            </w:r>
            <w:r>
              <w:rPr>
                <w:rFonts w:hint="eastAsia" w:ascii="宋体" w:hAnsi="宋体" w:cs="宋体"/>
                <w:color w:val="0D0D0D" w:themeColor="text1" w:themeTint="F2"/>
                <w:lang w:bidi="ar"/>
                <w14:textFill>
                  <w14:solidFill>
                    <w14:schemeClr w14:val="tx1">
                      <w14:lumMod w14:val="95000"/>
                      <w14:lumOff w14:val="5000"/>
                    </w14:schemeClr>
                  </w14:solidFill>
                </w14:textFill>
              </w:rPr>
              <w:t>）</w:t>
            </w:r>
          </w:p>
          <w:p w14:paraId="17958E67">
            <w:pPr>
              <w:tabs>
                <w:tab w:val="left" w:pos="525"/>
              </w:tabs>
              <w:adjustRightInd w:val="0"/>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lang w:bidi="ar"/>
                <w14:textFill>
                  <w14:solidFill>
                    <w14:schemeClr w14:val="tx1">
                      <w14:lumMod w14:val="95000"/>
                      <w14:lumOff w14:val="5000"/>
                    </w14:schemeClr>
                  </w14:solidFill>
                </w14:textFill>
              </w:rPr>
              <w:t xml:space="preserve">       式中：L</w:t>
            </w:r>
            <w:r>
              <w:rPr>
                <w:rFonts w:hint="eastAsia" w:ascii="宋体" w:hAnsi="宋体" w:cs="宋体"/>
                <w:color w:val="0D0D0D" w:themeColor="text1" w:themeTint="F2"/>
                <w:vertAlign w:val="subscript"/>
                <w:lang w:bidi="ar"/>
                <w14:textFill>
                  <w14:solidFill>
                    <w14:schemeClr w14:val="tx1">
                      <w14:lumMod w14:val="95000"/>
                      <w14:lumOff w14:val="5000"/>
                    </w14:schemeClr>
                  </w14:solidFill>
                </w14:textFill>
              </w:rPr>
              <w:t>A</w:t>
            </w:r>
            <w:r>
              <w:rPr>
                <w:rFonts w:hint="eastAsia" w:ascii="宋体" w:hAnsi="宋体" w:cs="宋体"/>
                <w:color w:val="0D0D0D" w:themeColor="text1" w:themeTint="F2"/>
                <w:lang w:bidi="ar"/>
                <w14:textFill>
                  <w14:solidFill>
                    <w14:schemeClr w14:val="tx1">
                      <w14:lumMod w14:val="95000"/>
                      <w14:lumOff w14:val="5000"/>
                    </w14:schemeClr>
                  </w14:solidFill>
                </w14:textFill>
              </w:rPr>
              <w:t>（r）—距声源r处的A声级；</w:t>
            </w:r>
          </w:p>
          <w:p w14:paraId="5F84BB5D">
            <w:pPr>
              <w:adjustRightInd w:val="0"/>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lang w:bidi="ar"/>
                <w14:textFill>
                  <w14:solidFill>
                    <w14:schemeClr w14:val="tx1">
                      <w14:lumMod w14:val="95000"/>
                      <w14:lumOff w14:val="5000"/>
                    </w14:schemeClr>
                  </w14:solidFill>
                </w14:textFill>
              </w:rPr>
              <w:t xml:space="preserve">             L</w:t>
            </w:r>
            <w:r>
              <w:rPr>
                <w:rFonts w:hint="eastAsia" w:ascii="宋体" w:hAnsi="宋体" w:cs="宋体"/>
                <w:color w:val="0D0D0D" w:themeColor="text1" w:themeTint="F2"/>
                <w:vertAlign w:val="subscript"/>
                <w:lang w:bidi="ar"/>
                <w14:textFill>
                  <w14:solidFill>
                    <w14:schemeClr w14:val="tx1">
                      <w14:lumMod w14:val="95000"/>
                      <w14:lumOff w14:val="5000"/>
                    </w14:schemeClr>
                  </w14:solidFill>
                </w14:textFill>
              </w:rPr>
              <w:t>A</w:t>
            </w:r>
            <w:r>
              <w:rPr>
                <w:rFonts w:hint="eastAsia" w:ascii="宋体" w:hAnsi="宋体" w:cs="宋体"/>
                <w:color w:val="0D0D0D" w:themeColor="text1" w:themeTint="F2"/>
                <w:lang w:bidi="ar"/>
                <w14:textFill>
                  <w14:solidFill>
                    <w14:schemeClr w14:val="tx1">
                      <w14:lumMod w14:val="95000"/>
                      <w14:lumOff w14:val="5000"/>
                    </w14:schemeClr>
                  </w14:solidFill>
                </w14:textFill>
              </w:rPr>
              <w:t>（r</w:t>
            </w:r>
            <w:r>
              <w:rPr>
                <w:rFonts w:hint="eastAsia" w:ascii="宋体" w:hAnsi="宋体" w:cs="宋体"/>
                <w:color w:val="0D0D0D" w:themeColor="text1" w:themeTint="F2"/>
                <w:vertAlign w:val="subscript"/>
                <w:lang w:bidi="ar"/>
                <w14:textFill>
                  <w14:solidFill>
                    <w14:schemeClr w14:val="tx1">
                      <w14:lumMod w14:val="95000"/>
                      <w14:lumOff w14:val="5000"/>
                    </w14:schemeClr>
                  </w14:solidFill>
                </w14:textFill>
              </w:rPr>
              <w:t>0</w:t>
            </w:r>
            <w:r>
              <w:rPr>
                <w:rFonts w:hint="eastAsia" w:ascii="宋体" w:hAnsi="宋体" w:cs="宋体"/>
                <w:color w:val="0D0D0D" w:themeColor="text1" w:themeTint="F2"/>
                <w:lang w:bidi="ar"/>
                <w14:textFill>
                  <w14:solidFill>
                    <w14:schemeClr w14:val="tx1">
                      <w14:lumMod w14:val="95000"/>
                      <w14:lumOff w14:val="5000"/>
                    </w14:schemeClr>
                  </w14:solidFill>
                </w14:textFill>
              </w:rPr>
              <w:t>）—参考位置r</w:t>
            </w:r>
            <w:r>
              <w:rPr>
                <w:rFonts w:hint="eastAsia" w:ascii="宋体" w:hAnsi="宋体" w:cs="宋体"/>
                <w:color w:val="0D0D0D" w:themeColor="text1" w:themeTint="F2"/>
                <w:vertAlign w:val="subscript"/>
                <w:lang w:bidi="ar"/>
                <w14:textFill>
                  <w14:solidFill>
                    <w14:schemeClr w14:val="tx1">
                      <w14:lumMod w14:val="95000"/>
                      <w14:lumOff w14:val="5000"/>
                    </w14:schemeClr>
                  </w14:solidFill>
                </w14:textFill>
              </w:rPr>
              <w:t>0</w:t>
            </w:r>
            <w:r>
              <w:rPr>
                <w:rFonts w:hint="eastAsia" w:ascii="宋体" w:hAnsi="宋体" w:cs="宋体"/>
                <w:color w:val="0D0D0D" w:themeColor="text1" w:themeTint="F2"/>
                <w:lang w:bidi="ar"/>
                <w14:textFill>
                  <w14:solidFill>
                    <w14:schemeClr w14:val="tx1">
                      <w14:lumMod w14:val="95000"/>
                      <w14:lumOff w14:val="5000"/>
                    </w14:schemeClr>
                  </w14:solidFill>
                </w14:textFill>
              </w:rPr>
              <w:t>处的A声级；</w:t>
            </w:r>
          </w:p>
          <w:p w14:paraId="0214D699">
            <w:pPr>
              <w:adjustRightInd w:val="0"/>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lang w:bidi="ar"/>
                <w14:textFill>
                  <w14:solidFill>
                    <w14:schemeClr w14:val="tx1">
                      <w14:lumMod w14:val="95000"/>
                      <w14:lumOff w14:val="5000"/>
                    </w14:schemeClr>
                  </w14:solidFill>
                </w14:textFill>
              </w:rPr>
              <w:t xml:space="preserve">             r—预测点距声源距离，m；</w:t>
            </w:r>
          </w:p>
          <w:p w14:paraId="74797010">
            <w:pPr>
              <w:adjustRightInd w:val="0"/>
              <w:snapToGrid w:val="0"/>
              <w:spacing w:line="500" w:lineRule="exact"/>
              <w:ind w:firstLine="480" w:firstLineChars="200"/>
              <w:rPr>
                <w:rFonts w:hint="eastAsia" w:ascii="宋体" w:hAnsi="宋体" w:cs="宋体"/>
                <w:color w:val="0D0D0D" w:themeColor="text1" w:themeTint="F2"/>
                <w:lang w:bidi="ar"/>
                <w14:textFill>
                  <w14:solidFill>
                    <w14:schemeClr w14:val="tx1">
                      <w14:lumMod w14:val="95000"/>
                      <w14:lumOff w14:val="5000"/>
                    </w14:schemeClr>
                  </w14:solidFill>
                </w14:textFill>
              </w:rPr>
            </w:pPr>
            <w:r>
              <w:rPr>
                <w:rFonts w:hint="eastAsia" w:ascii="宋体" w:hAnsi="宋体" w:cs="宋体"/>
                <w:color w:val="0D0D0D" w:themeColor="text1" w:themeTint="F2"/>
                <w:lang w:bidi="ar"/>
                <w14:textFill>
                  <w14:solidFill>
                    <w14:schemeClr w14:val="tx1">
                      <w14:lumMod w14:val="95000"/>
                      <w14:lumOff w14:val="5000"/>
                    </w14:schemeClr>
                  </w14:solidFill>
                </w14:textFill>
              </w:rPr>
              <w:t xml:space="preserve">             r</w:t>
            </w:r>
            <w:r>
              <w:rPr>
                <w:rFonts w:hint="eastAsia" w:ascii="宋体" w:hAnsi="宋体" w:cs="宋体"/>
                <w:color w:val="0D0D0D" w:themeColor="text1" w:themeTint="F2"/>
                <w:vertAlign w:val="subscript"/>
                <w:lang w:bidi="ar"/>
                <w14:textFill>
                  <w14:solidFill>
                    <w14:schemeClr w14:val="tx1">
                      <w14:lumMod w14:val="95000"/>
                      <w14:lumOff w14:val="5000"/>
                    </w14:schemeClr>
                  </w14:solidFill>
                </w14:textFill>
              </w:rPr>
              <w:t>0</w:t>
            </w:r>
            <w:r>
              <w:rPr>
                <w:rFonts w:hint="eastAsia" w:ascii="宋体" w:hAnsi="宋体" w:cs="宋体"/>
                <w:color w:val="0D0D0D" w:themeColor="text1" w:themeTint="F2"/>
                <w:lang w:bidi="ar"/>
                <w14:textFill>
                  <w14:solidFill>
                    <w14:schemeClr w14:val="tx1">
                      <w14:lumMod w14:val="95000"/>
                      <w14:lumOff w14:val="5000"/>
                    </w14:schemeClr>
                  </w14:solidFill>
                </w14:textFill>
              </w:rPr>
              <w:t>—参考位置距离声源距离，m。</w:t>
            </w:r>
          </w:p>
          <w:p w14:paraId="71CD16C4">
            <w:pPr>
              <w:pStyle w:val="38"/>
              <w:spacing w:line="480" w:lineRule="exact"/>
              <w:ind w:firstLine="480"/>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设第i个室外声源在预测点产生的A声级为</w:t>
            </w:r>
            <w:r>
              <w:rPr>
                <w:i/>
                <w:color w:val="0D0D0D" w:themeColor="text1" w:themeTint="F2"/>
                <w14:textFill>
                  <w14:solidFill>
                    <w14:schemeClr w14:val="tx1">
                      <w14:lumMod w14:val="95000"/>
                      <w14:lumOff w14:val="5000"/>
                    </w14:schemeClr>
                  </w14:solidFill>
                </w14:textFill>
              </w:rPr>
              <w:t>L</w:t>
            </w:r>
            <w:r>
              <w:rPr>
                <w:i/>
                <w:color w:val="0D0D0D" w:themeColor="text1" w:themeTint="F2"/>
                <w:vertAlign w:val="subscript"/>
                <w14:textFill>
                  <w14:solidFill>
                    <w14:schemeClr w14:val="tx1">
                      <w14:lumMod w14:val="95000"/>
                      <w14:lumOff w14:val="5000"/>
                    </w14:schemeClr>
                  </w14:solidFill>
                </w14:textFill>
              </w:rPr>
              <w:t>Ain,i</w:t>
            </w:r>
            <w:r>
              <w:rPr>
                <w:color w:val="0D0D0D" w:themeColor="text1" w:themeTint="F2"/>
                <w14:textFill>
                  <w14:solidFill>
                    <w14:schemeClr w14:val="tx1">
                      <w14:lumMod w14:val="95000"/>
                      <w14:lumOff w14:val="5000"/>
                    </w14:schemeClr>
                  </w14:solidFill>
                </w14:textFill>
              </w:rPr>
              <w:t>，在T时间内该声源工作时间为</w:t>
            </w:r>
            <w:r>
              <w:rPr>
                <w:i/>
                <w:color w:val="0D0D0D" w:themeColor="text1" w:themeTint="F2"/>
                <w14:textFill>
                  <w14:solidFill>
                    <w14:schemeClr w14:val="tx1">
                      <w14:lumMod w14:val="95000"/>
                      <w14:lumOff w14:val="5000"/>
                    </w14:schemeClr>
                  </w14:solidFill>
                </w14:textFill>
              </w:rPr>
              <w:t>t</w:t>
            </w:r>
            <w:r>
              <w:rPr>
                <w:i/>
                <w:color w:val="0D0D0D" w:themeColor="text1" w:themeTint="F2"/>
                <w:vertAlign w:val="subscript"/>
                <w14:textFill>
                  <w14:solidFill>
                    <w14:schemeClr w14:val="tx1">
                      <w14:lumMod w14:val="95000"/>
                      <w14:lumOff w14:val="5000"/>
                    </w14:schemeClr>
                  </w14:solidFill>
                </w14:textFill>
              </w:rPr>
              <w:t>in,i</w:t>
            </w:r>
            <w:r>
              <w:rPr>
                <w:color w:val="0D0D0D" w:themeColor="text1" w:themeTint="F2"/>
                <w14:textFill>
                  <w14:solidFill>
                    <w14:schemeClr w14:val="tx1">
                      <w14:lumMod w14:val="95000"/>
                      <w14:lumOff w14:val="5000"/>
                    </w14:schemeClr>
                  </w14:solidFill>
                </w14:textFill>
              </w:rPr>
              <w:t>；第j个等效室外声源在预测点产生的A声级为</w:t>
            </w:r>
            <w:r>
              <w:rPr>
                <w:i/>
                <w:color w:val="0D0D0D" w:themeColor="text1" w:themeTint="F2"/>
                <w14:textFill>
                  <w14:solidFill>
                    <w14:schemeClr w14:val="tx1">
                      <w14:lumMod w14:val="95000"/>
                      <w14:lumOff w14:val="5000"/>
                    </w14:schemeClr>
                  </w14:solidFill>
                </w14:textFill>
              </w:rPr>
              <w:t>L</w:t>
            </w:r>
            <w:r>
              <w:rPr>
                <w:i/>
                <w:color w:val="0D0D0D" w:themeColor="text1" w:themeTint="F2"/>
                <w:vertAlign w:val="subscript"/>
                <w14:textFill>
                  <w14:solidFill>
                    <w14:schemeClr w14:val="tx1">
                      <w14:lumMod w14:val="95000"/>
                      <w14:lumOff w14:val="5000"/>
                    </w14:schemeClr>
                  </w14:solidFill>
                </w14:textFill>
              </w:rPr>
              <w:t>Aout,j</w:t>
            </w:r>
            <w:r>
              <w:rPr>
                <w:color w:val="0D0D0D" w:themeColor="text1" w:themeTint="F2"/>
                <w14:textFill>
                  <w14:solidFill>
                    <w14:schemeClr w14:val="tx1">
                      <w14:lumMod w14:val="95000"/>
                      <w14:lumOff w14:val="5000"/>
                    </w14:schemeClr>
                  </w14:solidFill>
                </w14:textFill>
              </w:rPr>
              <w:t>，在T时间内该声源工作时间为</w:t>
            </w:r>
            <w:r>
              <w:rPr>
                <w:i/>
                <w:color w:val="0D0D0D" w:themeColor="text1" w:themeTint="F2"/>
                <w14:textFill>
                  <w14:solidFill>
                    <w14:schemeClr w14:val="tx1">
                      <w14:lumMod w14:val="95000"/>
                      <w14:lumOff w14:val="5000"/>
                    </w14:schemeClr>
                  </w14:solidFill>
                </w14:textFill>
              </w:rPr>
              <w:t>t</w:t>
            </w:r>
            <w:r>
              <w:rPr>
                <w:i/>
                <w:color w:val="0D0D0D" w:themeColor="text1" w:themeTint="F2"/>
                <w:vertAlign w:val="subscript"/>
                <w14:textFill>
                  <w14:solidFill>
                    <w14:schemeClr w14:val="tx1">
                      <w14:lumMod w14:val="95000"/>
                      <w14:lumOff w14:val="5000"/>
                    </w14:schemeClr>
                  </w14:solidFill>
                </w14:textFill>
              </w:rPr>
              <w:t>out,j</w:t>
            </w:r>
            <w:r>
              <w:rPr>
                <w:color w:val="0D0D0D" w:themeColor="text1" w:themeTint="F2"/>
                <w14:textFill>
                  <w14:solidFill>
                    <w14:schemeClr w14:val="tx1">
                      <w14:lumMod w14:val="95000"/>
                      <w14:lumOff w14:val="5000"/>
                    </w14:schemeClr>
                  </w14:solidFill>
                </w14:textFill>
              </w:rPr>
              <w:t>，则预测点的总等效声级</w:t>
            </w:r>
            <w:r>
              <w:rPr>
                <w:rFonts w:hint="eastAsia"/>
                <w:color w:val="0D0D0D" w:themeColor="text1" w:themeTint="F2"/>
                <w14:textFill>
                  <w14:solidFill>
                    <w14:schemeClr w14:val="tx1">
                      <w14:lumMod w14:val="95000"/>
                      <w14:lumOff w14:val="5000"/>
                    </w14:schemeClr>
                  </w14:solidFill>
                </w14:textFill>
              </w:rPr>
              <w:t>按照下列公式进行计算：</w:t>
            </w:r>
          </w:p>
          <w:p w14:paraId="63EF3ED5">
            <w:pPr>
              <w:spacing w:before="163" w:beforeLines="50" w:after="163" w:afterLines="50" w:line="500" w:lineRule="atLeast"/>
              <w:jc w:val="center"/>
              <w:rPr>
                <w:rFonts w:hint="eastAsia"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position w:val="-32"/>
                <w14:textFill>
                  <w14:solidFill>
                    <w14:schemeClr w14:val="tx1">
                      <w14:lumMod w14:val="95000"/>
                      <w14:lumOff w14:val="5000"/>
                    </w14:schemeClr>
                  </w14:solidFill>
                </w14:textFill>
              </w:rPr>
              <w:object>
                <v:shape id="_x0000_i1025" o:spt="75" type="#_x0000_t75" style="height:36.65pt;width:246.3pt;" o:ole="t" filled="f" o:preferrelative="t" stroked="f" coordsize="21600,21600">
                  <v:path/>
                  <v:fill on="f" focussize="0,0"/>
                  <v:stroke on="f" joinstyle="miter"/>
                  <v:imagedata r:id="rId11" o:title=""/>
                  <o:lock v:ext="edit" aspectratio="t"/>
                  <w10:wrap type="none"/>
                  <w10:anchorlock/>
                </v:shape>
                <o:OLEObject Type="Embed" ProgID="Visio.Drawing.11" ShapeID="_x0000_i1025" DrawAspect="Content" ObjectID="_1468075725" r:id="rId10">
                  <o:LockedField>false</o:LockedField>
                </o:OLEObject>
              </w:object>
            </w:r>
          </w:p>
          <w:p w14:paraId="6C4A654A">
            <w:pPr>
              <w:spacing w:line="500" w:lineRule="atLeast"/>
              <w:ind w:firstLine="480" w:firstLineChars="200"/>
              <w:rPr>
                <w:rFonts w:hint="eastAsia"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14:textFill>
                  <w14:solidFill>
                    <w14:schemeClr w14:val="tx1">
                      <w14:lumMod w14:val="95000"/>
                      <w14:lumOff w14:val="5000"/>
                    </w14:schemeClr>
                  </w14:solidFill>
                </w14:textFill>
              </w:rPr>
              <w:t>式中：</w:t>
            </w:r>
          </w:p>
          <w:p w14:paraId="7D1CC802">
            <w:pPr>
              <w:spacing w:line="500" w:lineRule="atLeast"/>
              <w:ind w:firstLine="480" w:firstLineChars="200"/>
              <w:rPr>
                <w:rFonts w:hint="eastAsia"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14:textFill>
                  <w14:solidFill>
                    <w14:schemeClr w14:val="tx1">
                      <w14:lumMod w14:val="95000"/>
                      <w14:lumOff w14:val="5000"/>
                    </w14:schemeClr>
                  </w14:solidFill>
                </w14:textFill>
              </w:rPr>
              <w:t xml:space="preserve">      T</w:t>
            </w:r>
            <w:r>
              <w:rPr>
                <w:rFonts w:hint="eastAsia" w:ascii="宋体" w:hAnsi="宋体"/>
                <w:color w:val="0D0D0D" w:themeColor="text1" w:themeTint="F2"/>
                <w14:textFill>
                  <w14:solidFill>
                    <w14:schemeClr w14:val="tx1">
                      <w14:lumMod w14:val="95000"/>
                      <w14:lumOff w14:val="5000"/>
                    </w14:schemeClr>
                  </w14:solidFill>
                </w14:textFill>
              </w:rPr>
              <w:t>——</w:t>
            </w:r>
            <w:r>
              <w:rPr>
                <w:rFonts w:ascii="宋体" w:hAnsi="宋体"/>
                <w:color w:val="0D0D0D" w:themeColor="text1" w:themeTint="F2"/>
                <w14:textFill>
                  <w14:solidFill>
                    <w14:schemeClr w14:val="tx1">
                      <w14:lumMod w14:val="95000"/>
                      <w14:lumOff w14:val="5000"/>
                    </w14:schemeClr>
                  </w14:solidFill>
                </w14:textFill>
              </w:rPr>
              <w:t>计算等效声级的时间</w:t>
            </w:r>
            <w:r>
              <w:rPr>
                <w:rFonts w:hint="eastAsia" w:ascii="宋体" w:hAnsi="宋体"/>
                <w:color w:val="0D0D0D" w:themeColor="text1" w:themeTint="F2"/>
                <w14:textFill>
                  <w14:solidFill>
                    <w14:schemeClr w14:val="tx1">
                      <w14:lumMod w14:val="95000"/>
                      <w14:lumOff w14:val="5000"/>
                    </w14:schemeClr>
                  </w14:solidFill>
                </w14:textFill>
              </w:rPr>
              <w:t>；</w:t>
            </w:r>
          </w:p>
          <w:p w14:paraId="5431E5F1">
            <w:pPr>
              <w:spacing w:line="500" w:lineRule="atLeast"/>
              <w:ind w:firstLine="480" w:firstLineChars="200"/>
              <w:rPr>
                <w:rFonts w:hint="eastAsia"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14:textFill>
                  <w14:solidFill>
                    <w14:schemeClr w14:val="tx1">
                      <w14:lumMod w14:val="95000"/>
                      <w14:lumOff w14:val="5000"/>
                    </w14:schemeClr>
                  </w14:solidFill>
                </w14:textFill>
              </w:rPr>
              <w:t xml:space="preserve">      N</w:t>
            </w:r>
            <w:r>
              <w:rPr>
                <w:rFonts w:hint="eastAsia" w:ascii="宋体" w:hAnsi="宋体"/>
                <w:color w:val="0D0D0D" w:themeColor="text1" w:themeTint="F2"/>
                <w14:textFill>
                  <w14:solidFill>
                    <w14:schemeClr w14:val="tx1">
                      <w14:lumMod w14:val="95000"/>
                      <w14:lumOff w14:val="5000"/>
                    </w14:schemeClr>
                  </w14:solidFill>
                </w14:textFill>
              </w:rPr>
              <w:t>——</w:t>
            </w:r>
            <w:r>
              <w:rPr>
                <w:rFonts w:ascii="宋体" w:hAnsi="宋体"/>
                <w:color w:val="0D0D0D" w:themeColor="text1" w:themeTint="F2"/>
                <w14:textFill>
                  <w14:solidFill>
                    <w14:schemeClr w14:val="tx1">
                      <w14:lumMod w14:val="95000"/>
                      <w14:lumOff w14:val="5000"/>
                    </w14:schemeClr>
                  </w14:solidFill>
                </w14:textFill>
              </w:rPr>
              <w:t>为室外声源个数</w:t>
            </w:r>
            <w:r>
              <w:rPr>
                <w:rFonts w:hint="eastAsia" w:ascii="宋体" w:hAnsi="宋体"/>
                <w:color w:val="0D0D0D" w:themeColor="text1" w:themeTint="F2"/>
                <w14:textFill>
                  <w14:solidFill>
                    <w14:schemeClr w14:val="tx1">
                      <w14:lumMod w14:val="95000"/>
                      <w14:lumOff w14:val="5000"/>
                    </w14:schemeClr>
                  </w14:solidFill>
                </w14:textFill>
              </w:rPr>
              <w:t>；</w:t>
            </w:r>
          </w:p>
          <w:p w14:paraId="194F3A13">
            <w:pPr>
              <w:spacing w:line="500" w:lineRule="atLeast"/>
              <w:ind w:firstLine="480" w:firstLineChars="200"/>
              <w:rPr>
                <w:rFonts w:hint="eastAsia"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14:textFill>
                  <w14:solidFill>
                    <w14:schemeClr w14:val="tx1">
                      <w14:lumMod w14:val="95000"/>
                      <w14:lumOff w14:val="5000"/>
                    </w14:schemeClr>
                  </w14:solidFill>
                </w14:textFill>
              </w:rPr>
              <w:t xml:space="preserve">      M</w:t>
            </w:r>
            <w:r>
              <w:rPr>
                <w:rFonts w:hint="eastAsia" w:ascii="宋体" w:hAnsi="宋体"/>
                <w:color w:val="0D0D0D" w:themeColor="text1" w:themeTint="F2"/>
                <w14:textFill>
                  <w14:solidFill>
                    <w14:schemeClr w14:val="tx1">
                      <w14:lumMod w14:val="95000"/>
                      <w14:lumOff w14:val="5000"/>
                    </w14:schemeClr>
                  </w14:solidFill>
                </w14:textFill>
              </w:rPr>
              <w:t>——</w:t>
            </w:r>
            <w:r>
              <w:rPr>
                <w:rFonts w:ascii="宋体" w:hAnsi="宋体"/>
                <w:color w:val="0D0D0D" w:themeColor="text1" w:themeTint="F2"/>
                <w14:textFill>
                  <w14:solidFill>
                    <w14:schemeClr w14:val="tx1">
                      <w14:lumMod w14:val="95000"/>
                      <w14:lumOff w14:val="5000"/>
                    </w14:schemeClr>
                  </w14:solidFill>
                </w14:textFill>
              </w:rPr>
              <w:t>为等效室外声源个数。</w:t>
            </w:r>
          </w:p>
          <w:p w14:paraId="0F73B77B">
            <w:pPr>
              <w:spacing w:line="500" w:lineRule="atLeast"/>
              <w:ind w:firstLine="480" w:firstLineChars="200"/>
              <w:rPr>
                <w:rFonts w:hint="eastAsia"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14:textFill>
                  <w14:solidFill>
                    <w14:schemeClr w14:val="tx1">
                      <w14:lumMod w14:val="95000"/>
                      <w14:lumOff w14:val="5000"/>
                    </w14:schemeClr>
                  </w14:solidFill>
                </w14:textFill>
              </w:rPr>
              <w:t>预测点的预测等效声级（</w:t>
            </w:r>
            <w:r>
              <w:rPr>
                <w:rFonts w:ascii="宋体" w:hAnsi="宋体"/>
                <w:i/>
                <w:color w:val="0D0D0D" w:themeColor="text1" w:themeTint="F2"/>
                <w14:textFill>
                  <w14:solidFill>
                    <w14:schemeClr w14:val="tx1">
                      <w14:lumMod w14:val="95000"/>
                      <w14:lumOff w14:val="5000"/>
                    </w14:schemeClr>
                  </w14:solidFill>
                </w14:textFill>
              </w:rPr>
              <w:t>L</w:t>
            </w:r>
            <w:r>
              <w:rPr>
                <w:rFonts w:ascii="宋体" w:hAnsi="宋体"/>
                <w:i/>
                <w:color w:val="0D0D0D" w:themeColor="text1" w:themeTint="F2"/>
                <w:vertAlign w:val="subscript"/>
                <w14:textFill>
                  <w14:solidFill>
                    <w14:schemeClr w14:val="tx1">
                      <w14:lumMod w14:val="95000"/>
                      <w14:lumOff w14:val="5000"/>
                    </w14:schemeClr>
                  </w14:solidFill>
                </w14:textFill>
              </w:rPr>
              <w:t>eq</w:t>
            </w:r>
            <w:r>
              <w:rPr>
                <w:rFonts w:ascii="宋体" w:hAnsi="宋体"/>
                <w:color w:val="0D0D0D" w:themeColor="text1" w:themeTint="F2"/>
                <w14:textFill>
                  <w14:solidFill>
                    <w14:schemeClr w14:val="tx1">
                      <w14:lumMod w14:val="95000"/>
                      <w14:lumOff w14:val="5000"/>
                    </w14:schemeClr>
                  </w14:solidFill>
                </w14:textFill>
              </w:rPr>
              <w:t>）计算公式：</w:t>
            </w:r>
          </w:p>
          <w:p w14:paraId="6552B596">
            <w:pPr>
              <w:spacing w:before="163" w:beforeLines="50" w:after="163" w:afterLines="50" w:line="500" w:lineRule="atLeast"/>
              <w:jc w:val="center"/>
              <w:rPr>
                <w:rFonts w:hint="eastAsia"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position w:val="-14"/>
                <w14:textFill>
                  <w14:solidFill>
                    <w14:schemeClr w14:val="tx1">
                      <w14:lumMod w14:val="95000"/>
                      <w14:lumOff w14:val="5000"/>
                    </w14:schemeClr>
                  </w14:solidFill>
                </w14:textFill>
              </w:rPr>
              <w:object>
                <v:shape id="_x0000_i1026" o:spt="75" type="#_x0000_t75" style="height:22.1pt;width:138.3pt;" o:ole="t" filled="f" o:preferrelative="t" stroked="f" coordsize="21600,21600">
                  <v:path/>
                  <v:fill on="f" focussize="0,0"/>
                  <v:stroke on="f" joinstyle="miter"/>
                  <v:imagedata r:id="rId13" o:title=""/>
                  <o:lock v:ext="edit" aspectratio="t"/>
                  <w10:wrap type="none"/>
                  <w10:anchorlock/>
                </v:shape>
                <o:OLEObject Type="Embed" ProgID="Visio.Drawing.11" ShapeID="_x0000_i1026" DrawAspect="Content" ObjectID="_1468075726" r:id="rId12">
                  <o:LockedField>false</o:LockedField>
                </o:OLEObject>
              </w:object>
            </w:r>
          </w:p>
          <w:p w14:paraId="310D1568">
            <w:pPr>
              <w:spacing w:line="500" w:lineRule="atLeast"/>
              <w:ind w:firstLine="480" w:firstLineChars="200"/>
              <w:rPr>
                <w:rFonts w:hint="eastAsia"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14:textFill>
                  <w14:solidFill>
                    <w14:schemeClr w14:val="tx1">
                      <w14:lumMod w14:val="95000"/>
                      <w14:lumOff w14:val="5000"/>
                    </w14:schemeClr>
                  </w14:solidFill>
                </w14:textFill>
              </w:rPr>
              <w:t>式中：</w:t>
            </w:r>
            <w:r>
              <w:rPr>
                <w:rFonts w:ascii="宋体" w:hAnsi="宋体"/>
                <w:i/>
                <w:color w:val="0D0D0D" w:themeColor="text1" w:themeTint="F2"/>
                <w14:textFill>
                  <w14:solidFill>
                    <w14:schemeClr w14:val="tx1">
                      <w14:lumMod w14:val="95000"/>
                      <w14:lumOff w14:val="5000"/>
                    </w14:schemeClr>
                  </w14:solidFill>
                </w14:textFill>
              </w:rPr>
              <w:t>L</w:t>
            </w:r>
            <w:r>
              <w:rPr>
                <w:rFonts w:ascii="宋体" w:hAnsi="宋体"/>
                <w:i/>
                <w:color w:val="0D0D0D" w:themeColor="text1" w:themeTint="F2"/>
                <w:vertAlign w:val="subscript"/>
                <w14:textFill>
                  <w14:solidFill>
                    <w14:schemeClr w14:val="tx1">
                      <w14:lumMod w14:val="95000"/>
                      <w14:lumOff w14:val="5000"/>
                    </w14:schemeClr>
                  </w14:solidFill>
                </w14:textFill>
              </w:rPr>
              <w:t>eqg</w:t>
            </w:r>
            <w:r>
              <w:rPr>
                <w:rFonts w:hint="eastAsia" w:ascii="宋体" w:hAnsi="宋体"/>
                <w:color w:val="0D0D0D" w:themeColor="text1" w:themeTint="F2"/>
                <w14:textFill>
                  <w14:solidFill>
                    <w14:schemeClr w14:val="tx1">
                      <w14:lumMod w14:val="95000"/>
                      <w14:lumOff w14:val="5000"/>
                    </w14:schemeClr>
                  </w14:solidFill>
                </w14:textFill>
              </w:rPr>
              <w:t>——</w:t>
            </w:r>
            <w:r>
              <w:rPr>
                <w:rFonts w:ascii="宋体" w:hAnsi="宋体"/>
                <w:color w:val="0D0D0D" w:themeColor="text1" w:themeTint="F2"/>
                <w14:textFill>
                  <w14:solidFill>
                    <w14:schemeClr w14:val="tx1">
                      <w14:lumMod w14:val="95000"/>
                      <w14:lumOff w14:val="5000"/>
                    </w14:schemeClr>
                  </w14:solidFill>
                </w14:textFill>
              </w:rPr>
              <w:t>建设项目声源在预测点的等效声级贡献值，dB（A）；</w:t>
            </w:r>
          </w:p>
          <w:p w14:paraId="0F2316BE">
            <w:pPr>
              <w:adjustRightInd w:val="0"/>
              <w:snapToGrid w:val="0"/>
              <w:spacing w:line="500" w:lineRule="exact"/>
              <w:ind w:firstLine="480" w:firstLineChars="200"/>
              <w:rPr>
                <w:color w:val="0D0D0D" w:themeColor="text1" w:themeTint="F2"/>
                <w14:textFill>
                  <w14:solidFill>
                    <w14:schemeClr w14:val="tx1">
                      <w14:lumMod w14:val="95000"/>
                      <w14:lumOff w14:val="5000"/>
                    </w14:schemeClr>
                  </w14:solidFill>
                </w14:textFill>
              </w:rPr>
            </w:pPr>
            <w:r>
              <w:rPr>
                <w:rFonts w:ascii="宋体" w:hAnsi="宋体"/>
                <w:i/>
                <w:color w:val="0D0D0D" w:themeColor="text1" w:themeTint="F2"/>
                <w14:textFill>
                  <w14:solidFill>
                    <w14:schemeClr w14:val="tx1">
                      <w14:lumMod w14:val="95000"/>
                      <w14:lumOff w14:val="5000"/>
                    </w14:schemeClr>
                  </w14:solidFill>
                </w14:textFill>
              </w:rPr>
              <w:t xml:space="preserve">      L</w:t>
            </w:r>
            <w:r>
              <w:rPr>
                <w:rFonts w:ascii="宋体" w:hAnsi="宋体"/>
                <w:i/>
                <w:color w:val="0D0D0D" w:themeColor="text1" w:themeTint="F2"/>
                <w:vertAlign w:val="subscript"/>
                <w14:textFill>
                  <w14:solidFill>
                    <w14:schemeClr w14:val="tx1">
                      <w14:lumMod w14:val="95000"/>
                      <w14:lumOff w14:val="5000"/>
                    </w14:schemeClr>
                  </w14:solidFill>
                </w14:textFill>
              </w:rPr>
              <w:t>eqb</w:t>
            </w:r>
            <w:r>
              <w:rPr>
                <w:rFonts w:hint="eastAsia" w:ascii="宋体" w:hAnsi="宋体"/>
                <w:color w:val="0D0D0D" w:themeColor="text1" w:themeTint="F2"/>
                <w14:textFill>
                  <w14:solidFill>
                    <w14:schemeClr w14:val="tx1">
                      <w14:lumMod w14:val="95000"/>
                      <w14:lumOff w14:val="5000"/>
                    </w14:schemeClr>
                  </w14:solidFill>
                </w14:textFill>
              </w:rPr>
              <w:t>——</w:t>
            </w:r>
            <w:r>
              <w:rPr>
                <w:rFonts w:ascii="宋体" w:hAnsi="宋体"/>
                <w:color w:val="0D0D0D" w:themeColor="text1" w:themeTint="F2"/>
                <w14:textFill>
                  <w14:solidFill>
                    <w14:schemeClr w14:val="tx1">
                      <w14:lumMod w14:val="95000"/>
                      <w14:lumOff w14:val="5000"/>
                    </w14:schemeClr>
                  </w14:solidFill>
                </w14:textFill>
              </w:rPr>
              <w:t>预测点的背景值，dB（A）。</w:t>
            </w:r>
          </w:p>
          <w:bookmarkEnd w:id="95"/>
          <w:p w14:paraId="1F591C6F">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施工过程中，不同类型施工机械在不同距离处的噪声预</w:t>
            </w:r>
            <w:r>
              <w:rPr>
                <w:rStyle w:val="60"/>
                <w:rFonts w:hint="eastAsia"/>
                <w:color w:val="0D0D0D" w:themeColor="text1" w:themeTint="F2"/>
                <w14:textFill>
                  <w14:solidFill>
                    <w14:schemeClr w14:val="tx1">
                      <w14:lumMod w14:val="95000"/>
                      <w14:lumOff w14:val="5000"/>
                    </w14:schemeClr>
                  </w14:solidFill>
                </w14:textFill>
              </w:rPr>
              <w:t>测值见</w:t>
            </w:r>
            <w:r>
              <w:rPr>
                <w:rStyle w:val="60"/>
                <w:rFonts w:hint="eastAsia"/>
                <w:color w:val="0D0D0D" w:themeColor="text1" w:themeTint="F2"/>
                <w14:textFill>
                  <w14:solidFill>
                    <w14:schemeClr w14:val="tx1">
                      <w14:lumMod w14:val="95000"/>
                      <w14:lumOff w14:val="5000"/>
                    </w14:schemeClr>
                  </w14:solidFill>
                </w14:textFill>
              </w:rPr>
              <w:fldChar w:fldCharType="begin"/>
            </w:r>
            <w:r>
              <w:rPr>
                <w:rStyle w:val="60"/>
                <w:rFonts w:hint="eastAsia"/>
                <w:color w:val="0D0D0D" w:themeColor="text1" w:themeTint="F2"/>
                <w14:textFill>
                  <w14:solidFill>
                    <w14:schemeClr w14:val="tx1">
                      <w14:lumMod w14:val="95000"/>
                      <w14:lumOff w14:val="5000"/>
                    </w14:schemeClr>
                  </w14:solidFill>
                </w14:textFill>
              </w:rPr>
              <w:instrText xml:space="preserve"> REF _Ref206180151 \h  \* MERGEFORMAT </w:instrText>
            </w:r>
            <w:r>
              <w:rPr>
                <w:rStyle w:val="60"/>
                <w:rFonts w:hint="eastAsia"/>
                <w:color w:val="0D0D0D" w:themeColor="text1" w:themeTint="F2"/>
                <w14:textFill>
                  <w14:solidFill>
                    <w14:schemeClr w14:val="tx1">
                      <w14:lumMod w14:val="95000"/>
                      <w14:lumOff w14:val="5000"/>
                    </w14:schemeClr>
                  </w14:solidFill>
                </w14:textFill>
              </w:rPr>
              <w:fldChar w:fldCharType="separate"/>
            </w:r>
            <w:r>
              <w:rPr>
                <w:rStyle w:val="60"/>
              </w:rPr>
              <w:t>表18</w:t>
            </w:r>
            <w:r>
              <w:rPr>
                <w:rStyle w:val="60"/>
                <w:rFonts w:hint="eastAsia"/>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w:t>
            </w:r>
          </w:p>
          <w:p w14:paraId="38A48E17">
            <w:pPr>
              <w:pStyle w:val="11"/>
              <w:ind w:firstLine="420"/>
              <w:jc w:val="center"/>
              <w:rPr>
                <w:rFonts w:hint="eastAsia" w:ascii="黑体" w:hAnsi="黑体" w:eastAsia="黑体"/>
                <w:b w:val="0"/>
                <w:bCs w:val="0"/>
                <w:color w:val="0D0D0D" w:themeColor="text1" w:themeTint="F2"/>
                <w:sz w:val="21"/>
                <w:szCs w:val="21"/>
                <w14:textFill>
                  <w14:solidFill>
                    <w14:schemeClr w14:val="tx1">
                      <w14:lumMod w14:val="95000"/>
                      <w14:lumOff w14:val="5000"/>
                    </w14:schemeClr>
                  </w14:solidFill>
                </w14:textFill>
              </w:rPr>
            </w:pPr>
            <w:bookmarkStart w:id="96" w:name="_Ref206180151"/>
            <w:r>
              <w:rPr>
                <w:rFonts w:hint="eastAsia" w:ascii="黑体" w:hAnsi="黑体" w:eastAsia="黑体"/>
                <w:b w:val="0"/>
                <w:bCs w:val="0"/>
                <w:color w:val="0D0D0D" w:themeColor="text1" w:themeTint="F2"/>
                <w:sz w:val="21"/>
                <w:szCs w:val="21"/>
                <w14:textFill>
                  <w14:solidFill>
                    <w14:schemeClr w14:val="tx1">
                      <w14:lumMod w14:val="95000"/>
                      <w14:lumOff w14:val="5000"/>
                    </w14:schemeClr>
                  </w14:solidFill>
                </w14:textFill>
              </w:rPr>
              <w:t>表</w:t>
            </w:r>
            <w:r>
              <w:rPr>
                <w:rFonts w:ascii="黑体" w:hAnsi="黑体" w:eastAsia="黑体"/>
                <w:b w:val="0"/>
                <w:bCs w:val="0"/>
                <w:color w:val="0D0D0D" w:themeColor="text1" w:themeTint="F2"/>
                <w:sz w:val="21"/>
                <w:szCs w:val="21"/>
                <w14:textFill>
                  <w14:solidFill>
                    <w14:schemeClr w14:val="tx1">
                      <w14:lumMod w14:val="95000"/>
                      <w14:lumOff w14:val="5000"/>
                    </w14:schemeClr>
                  </w14:solidFill>
                </w14:textFill>
              </w:rPr>
              <w:fldChar w:fldCharType="begin"/>
            </w:r>
            <w:r>
              <w:rPr>
                <w:rFonts w:ascii="黑体" w:hAnsi="黑体" w:eastAsia="黑体"/>
                <w:b w:val="0"/>
                <w:bCs w:val="0"/>
                <w:color w:val="0D0D0D" w:themeColor="text1" w:themeTint="F2"/>
                <w:sz w:val="21"/>
                <w:szCs w:val="21"/>
                <w14:textFill>
                  <w14:solidFill>
                    <w14:schemeClr w14:val="tx1">
                      <w14:lumMod w14:val="95000"/>
                      <w14:lumOff w14:val="5000"/>
                    </w14:schemeClr>
                  </w14:solidFill>
                </w14:textFill>
              </w:rPr>
              <w:instrText xml:space="preserve"> </w:instrText>
            </w:r>
            <w:r>
              <w:rPr>
                <w:rFonts w:hint="eastAsia" w:ascii="黑体" w:hAnsi="黑体" w:eastAsia="黑体"/>
                <w:b w:val="0"/>
                <w:bCs w:val="0"/>
                <w:color w:val="0D0D0D" w:themeColor="text1" w:themeTint="F2"/>
                <w:sz w:val="21"/>
                <w:szCs w:val="21"/>
                <w14:textFill>
                  <w14:solidFill>
                    <w14:schemeClr w14:val="tx1">
                      <w14:lumMod w14:val="95000"/>
                      <w14:lumOff w14:val="5000"/>
                    </w14:schemeClr>
                  </w14:solidFill>
                </w14:textFill>
              </w:rPr>
              <w:instrText xml:space="preserve">SEQ 表 \* ARABIC</w:instrText>
            </w:r>
            <w:r>
              <w:rPr>
                <w:rFonts w:ascii="黑体" w:hAnsi="黑体" w:eastAsia="黑体"/>
                <w:b w:val="0"/>
                <w:bCs w:val="0"/>
                <w:color w:val="0D0D0D" w:themeColor="text1" w:themeTint="F2"/>
                <w:sz w:val="21"/>
                <w:szCs w:val="21"/>
                <w14:textFill>
                  <w14:solidFill>
                    <w14:schemeClr w14:val="tx1">
                      <w14:lumMod w14:val="95000"/>
                      <w14:lumOff w14:val="5000"/>
                    </w14:schemeClr>
                  </w14:solidFill>
                </w14:textFill>
              </w:rPr>
              <w:instrText xml:space="preserve"> </w:instrText>
            </w:r>
            <w:r>
              <w:rPr>
                <w:rFonts w:ascii="黑体" w:hAnsi="黑体" w:eastAsia="黑体"/>
                <w:b w:val="0"/>
                <w:bCs w:val="0"/>
                <w:color w:val="0D0D0D" w:themeColor="text1" w:themeTint="F2"/>
                <w:sz w:val="21"/>
                <w:szCs w:val="21"/>
                <w14:textFill>
                  <w14:solidFill>
                    <w14:schemeClr w14:val="tx1">
                      <w14:lumMod w14:val="95000"/>
                      <w14:lumOff w14:val="5000"/>
                    </w14:schemeClr>
                  </w14:solidFill>
                </w14:textFill>
              </w:rPr>
              <w:fldChar w:fldCharType="separate"/>
            </w:r>
            <w:r>
              <w:rPr>
                <w:rFonts w:hint="eastAsia" w:ascii="黑体" w:hAnsi="黑体" w:eastAsia="黑体"/>
                <w:b w:val="0"/>
                <w:bCs w:val="0"/>
                <w:color w:val="0D0D0D" w:themeColor="text1" w:themeTint="F2"/>
                <w:sz w:val="21"/>
                <w:szCs w:val="21"/>
                <w14:textFill>
                  <w14:solidFill>
                    <w14:schemeClr w14:val="tx1">
                      <w14:lumMod w14:val="95000"/>
                      <w14:lumOff w14:val="5000"/>
                    </w14:schemeClr>
                  </w14:solidFill>
                </w14:textFill>
              </w:rPr>
              <w:t>18</w:t>
            </w:r>
            <w:r>
              <w:rPr>
                <w:rFonts w:ascii="黑体" w:hAnsi="黑体" w:eastAsia="黑体"/>
                <w:b w:val="0"/>
                <w:bCs w:val="0"/>
                <w:color w:val="0D0D0D" w:themeColor="text1" w:themeTint="F2"/>
                <w:sz w:val="21"/>
                <w:szCs w:val="21"/>
                <w14:textFill>
                  <w14:solidFill>
                    <w14:schemeClr w14:val="tx1">
                      <w14:lumMod w14:val="95000"/>
                      <w14:lumOff w14:val="5000"/>
                    </w14:schemeClr>
                  </w14:solidFill>
                </w14:textFill>
              </w:rPr>
              <w:fldChar w:fldCharType="end"/>
            </w:r>
            <w:bookmarkEnd w:id="96"/>
            <w:r>
              <w:rPr>
                <w:rFonts w:ascii="黑体" w:hAnsi="黑体" w:eastAsia="黑体"/>
                <w:b w:val="0"/>
                <w:bCs w:val="0"/>
                <w:color w:val="0D0D0D" w:themeColor="text1" w:themeTint="F2"/>
                <w:sz w:val="21"/>
                <w:szCs w:val="21"/>
                <w14:textFill>
                  <w14:solidFill>
                    <w14:schemeClr w14:val="tx1">
                      <w14:lumMod w14:val="95000"/>
                      <w14:lumOff w14:val="5000"/>
                    </w14:schemeClr>
                  </w14:solidFill>
                </w14:textFill>
              </w:rPr>
              <w:t xml:space="preserve"> </w:t>
            </w:r>
            <w:r>
              <w:rPr>
                <w:rFonts w:hint="eastAsia" w:ascii="黑体" w:hAnsi="黑体" w:eastAsia="黑体"/>
                <w:b w:val="0"/>
                <w:bCs w:val="0"/>
                <w:color w:val="0D0D0D" w:themeColor="text1" w:themeTint="F2"/>
                <w:sz w:val="21"/>
                <w:szCs w:val="21"/>
                <w14:textFill>
                  <w14:solidFill>
                    <w14:schemeClr w14:val="tx1">
                      <w14:lumMod w14:val="95000"/>
                      <w14:lumOff w14:val="5000"/>
                    </w14:schemeClr>
                  </w14:solidFill>
                </w14:textFill>
              </w:rPr>
              <w:t xml:space="preserve">  </w:t>
            </w:r>
            <w:r>
              <w:rPr>
                <w:rFonts w:ascii="黑体" w:hAnsi="黑体" w:eastAsia="黑体"/>
                <w:b w:val="0"/>
                <w:bCs w:val="0"/>
                <w:color w:val="0D0D0D" w:themeColor="text1" w:themeTint="F2"/>
                <w:sz w:val="21"/>
                <w:szCs w:val="21"/>
                <w14:textFill>
                  <w14:solidFill>
                    <w14:schemeClr w14:val="tx1">
                      <w14:lumMod w14:val="95000"/>
                      <w14:lumOff w14:val="5000"/>
                    </w14:schemeClr>
                  </w14:solidFill>
                </w14:textFill>
              </w:rPr>
              <w:t xml:space="preserve"> </w:t>
            </w:r>
            <w:r>
              <w:rPr>
                <w:rFonts w:hint="eastAsia" w:ascii="黑体" w:hAnsi="黑体" w:eastAsia="黑体"/>
                <w:b w:val="0"/>
                <w:bCs w:val="0"/>
                <w:color w:val="0D0D0D" w:themeColor="text1" w:themeTint="F2"/>
                <w:sz w:val="21"/>
                <w:szCs w:val="21"/>
                <w14:textFill>
                  <w14:solidFill>
                    <w14:schemeClr w14:val="tx1">
                      <w14:lumMod w14:val="95000"/>
                      <w14:lumOff w14:val="5000"/>
                    </w14:schemeClr>
                  </w14:solidFill>
                </w14:textFill>
              </w:rPr>
              <w:t>各种施工机械在不同距离的噪声预测值</w:t>
            </w:r>
            <w:r>
              <w:rPr>
                <w:rFonts w:ascii="黑体" w:hAnsi="黑体" w:eastAsia="黑体"/>
                <w:b w:val="0"/>
                <w:bCs w:val="0"/>
                <w:color w:val="0D0D0D" w:themeColor="text1" w:themeTint="F2"/>
                <w:sz w:val="21"/>
                <w:szCs w:val="21"/>
                <w14:textFill>
                  <w14:solidFill>
                    <w14:schemeClr w14:val="tx1">
                      <w14:lumMod w14:val="95000"/>
                      <w14:lumOff w14:val="5000"/>
                    </w14:schemeClr>
                  </w14:solidFill>
                </w14:textFill>
              </w:rPr>
              <w:t xml:space="preserve">    </w:t>
            </w:r>
            <w:r>
              <w:rPr>
                <w:rFonts w:hint="eastAsia" w:ascii="黑体" w:hAnsi="黑体" w:eastAsia="黑体"/>
                <w:b w:val="0"/>
                <w:bCs w:val="0"/>
                <w:color w:val="0D0D0D" w:themeColor="text1" w:themeTint="F2"/>
                <w:sz w:val="21"/>
                <w:szCs w:val="21"/>
                <w14:textFill>
                  <w14:solidFill>
                    <w14:schemeClr w14:val="tx1">
                      <w14:lumMod w14:val="95000"/>
                      <w14:lumOff w14:val="5000"/>
                    </w14:schemeClr>
                  </w14:solidFill>
                </w14:textFill>
              </w:rPr>
              <w:t>单位：</w:t>
            </w:r>
            <w:r>
              <w:rPr>
                <w:rFonts w:ascii="黑体" w:hAnsi="黑体" w:eastAsia="黑体"/>
                <w:b w:val="0"/>
                <w:bCs w:val="0"/>
                <w:color w:val="0D0D0D" w:themeColor="text1" w:themeTint="F2"/>
                <w:sz w:val="21"/>
                <w:szCs w:val="21"/>
                <w14:textFill>
                  <w14:solidFill>
                    <w14:schemeClr w14:val="tx1">
                      <w14:lumMod w14:val="95000"/>
                      <w14:lumOff w14:val="5000"/>
                    </w14:schemeClr>
                  </w14:solidFill>
                </w14:textFill>
              </w:rPr>
              <w:t>dB</w:t>
            </w:r>
            <w:r>
              <w:rPr>
                <w:rFonts w:hint="eastAsia" w:ascii="黑体" w:hAnsi="黑体" w:eastAsia="黑体"/>
                <w:b w:val="0"/>
                <w:bCs w:val="0"/>
                <w:color w:val="0D0D0D" w:themeColor="text1" w:themeTint="F2"/>
                <w:sz w:val="21"/>
                <w:szCs w:val="21"/>
                <w14:textFill>
                  <w14:solidFill>
                    <w14:schemeClr w14:val="tx1">
                      <w14:lumMod w14:val="95000"/>
                      <w14:lumOff w14:val="5000"/>
                    </w14:schemeClr>
                  </w14:solidFill>
                </w14:textFill>
              </w:rPr>
              <w:t>（</w:t>
            </w:r>
            <w:r>
              <w:rPr>
                <w:rFonts w:ascii="黑体" w:hAnsi="黑体" w:eastAsia="黑体"/>
                <w:b w:val="0"/>
                <w:bCs w:val="0"/>
                <w:color w:val="0D0D0D" w:themeColor="text1" w:themeTint="F2"/>
                <w:sz w:val="21"/>
                <w:szCs w:val="21"/>
                <w14:textFill>
                  <w14:solidFill>
                    <w14:schemeClr w14:val="tx1">
                      <w14:lumMod w14:val="95000"/>
                      <w14:lumOff w14:val="5000"/>
                    </w14:schemeClr>
                  </w14:solidFill>
                </w14:textFill>
              </w:rPr>
              <w:t>A</w:t>
            </w:r>
            <w:r>
              <w:rPr>
                <w:rFonts w:hint="eastAsia" w:ascii="黑体" w:hAnsi="黑体" w:eastAsia="黑体"/>
                <w:b w:val="0"/>
                <w:bCs w:val="0"/>
                <w:color w:val="0D0D0D" w:themeColor="text1" w:themeTint="F2"/>
                <w:sz w:val="21"/>
                <w:szCs w:val="21"/>
                <w14:textFill>
                  <w14:solidFill>
                    <w14:schemeClr w14:val="tx1">
                      <w14:lumMod w14:val="95000"/>
                      <w14:lumOff w14:val="5000"/>
                    </w14:schemeClr>
                  </w14:solidFill>
                </w14:textFill>
              </w:rPr>
              <w:t>）</w:t>
            </w:r>
          </w:p>
          <w:tbl>
            <w:tblPr>
              <w:tblStyle w:val="2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83"/>
              <w:gridCol w:w="490"/>
              <w:gridCol w:w="655"/>
              <w:gridCol w:w="315"/>
              <w:gridCol w:w="313"/>
              <w:gridCol w:w="392"/>
              <w:gridCol w:w="392"/>
              <w:gridCol w:w="392"/>
              <w:gridCol w:w="392"/>
              <w:gridCol w:w="392"/>
              <w:gridCol w:w="392"/>
              <w:gridCol w:w="392"/>
              <w:gridCol w:w="392"/>
              <w:gridCol w:w="488"/>
              <w:gridCol w:w="488"/>
              <w:gridCol w:w="488"/>
              <w:gridCol w:w="488"/>
              <w:gridCol w:w="480"/>
            </w:tblGrid>
            <w:tr w14:paraId="2DFE08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26" w:type="pct"/>
                  <w:vAlign w:val="center"/>
                </w:tcPr>
                <w:p w14:paraId="1BEBD1F0">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距离（m）</w:t>
                  </w:r>
                </w:p>
              </w:tc>
              <w:tc>
                <w:tcPr>
                  <w:tcW w:w="306" w:type="pct"/>
                  <w:vAlign w:val="center"/>
                </w:tcPr>
                <w:p w14:paraId="40E1A5E6">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源强</w:t>
                  </w:r>
                </w:p>
              </w:tc>
              <w:tc>
                <w:tcPr>
                  <w:tcW w:w="409" w:type="pct"/>
                  <w:vAlign w:val="center"/>
                </w:tcPr>
                <w:p w14:paraId="2BA64DDC">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基础减振后</w:t>
                  </w:r>
                </w:p>
              </w:tc>
              <w:tc>
                <w:tcPr>
                  <w:tcW w:w="197" w:type="pct"/>
                  <w:vAlign w:val="center"/>
                </w:tcPr>
                <w:p w14:paraId="2605BA94">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w:t>
                  </w:r>
                </w:p>
              </w:tc>
              <w:tc>
                <w:tcPr>
                  <w:tcW w:w="195" w:type="pct"/>
                  <w:vAlign w:val="center"/>
                </w:tcPr>
                <w:p w14:paraId="44D38872">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10</w:t>
                  </w:r>
                </w:p>
              </w:tc>
              <w:tc>
                <w:tcPr>
                  <w:tcW w:w="244" w:type="pct"/>
                  <w:vAlign w:val="center"/>
                </w:tcPr>
                <w:p w14:paraId="02265E9A">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15</w:t>
                  </w:r>
                </w:p>
              </w:tc>
              <w:tc>
                <w:tcPr>
                  <w:tcW w:w="244" w:type="pct"/>
                  <w:vAlign w:val="center"/>
                </w:tcPr>
                <w:p w14:paraId="1507DD9D">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20</w:t>
                  </w:r>
                </w:p>
              </w:tc>
              <w:tc>
                <w:tcPr>
                  <w:tcW w:w="244" w:type="pct"/>
                  <w:vAlign w:val="center"/>
                </w:tcPr>
                <w:p w14:paraId="69CD9532">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25</w:t>
                  </w:r>
                </w:p>
              </w:tc>
              <w:tc>
                <w:tcPr>
                  <w:tcW w:w="244" w:type="pct"/>
                  <w:vAlign w:val="center"/>
                </w:tcPr>
                <w:p w14:paraId="0EE182BF">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30</w:t>
                  </w:r>
                </w:p>
              </w:tc>
              <w:tc>
                <w:tcPr>
                  <w:tcW w:w="244" w:type="pct"/>
                  <w:vAlign w:val="center"/>
                </w:tcPr>
                <w:p w14:paraId="7C619C38">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40</w:t>
                  </w:r>
                </w:p>
              </w:tc>
              <w:tc>
                <w:tcPr>
                  <w:tcW w:w="244" w:type="pct"/>
                  <w:vAlign w:val="center"/>
                </w:tcPr>
                <w:p w14:paraId="47B31172">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50</w:t>
                  </w:r>
                </w:p>
              </w:tc>
              <w:tc>
                <w:tcPr>
                  <w:tcW w:w="244" w:type="pct"/>
                  <w:vAlign w:val="center"/>
                </w:tcPr>
                <w:p w14:paraId="3BB11B0E">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60</w:t>
                  </w:r>
                </w:p>
              </w:tc>
              <w:tc>
                <w:tcPr>
                  <w:tcW w:w="244" w:type="pct"/>
                  <w:vAlign w:val="center"/>
                </w:tcPr>
                <w:p w14:paraId="1467BD5B">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80</w:t>
                  </w:r>
                </w:p>
              </w:tc>
              <w:tc>
                <w:tcPr>
                  <w:tcW w:w="304" w:type="pct"/>
                  <w:vAlign w:val="center"/>
                </w:tcPr>
                <w:p w14:paraId="6AD81AA8">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100</w:t>
                  </w:r>
                </w:p>
              </w:tc>
              <w:tc>
                <w:tcPr>
                  <w:tcW w:w="304" w:type="pct"/>
                  <w:vAlign w:val="center"/>
                </w:tcPr>
                <w:p w14:paraId="7F838D9F">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120</w:t>
                  </w:r>
                </w:p>
              </w:tc>
              <w:tc>
                <w:tcPr>
                  <w:tcW w:w="304" w:type="pct"/>
                  <w:vAlign w:val="center"/>
                </w:tcPr>
                <w:p w14:paraId="74DD10DB">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140</w:t>
                  </w:r>
                </w:p>
              </w:tc>
              <w:tc>
                <w:tcPr>
                  <w:tcW w:w="304" w:type="pct"/>
                  <w:vAlign w:val="center"/>
                </w:tcPr>
                <w:p w14:paraId="5FDCAAC0">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160</w:t>
                  </w:r>
                </w:p>
              </w:tc>
              <w:tc>
                <w:tcPr>
                  <w:tcW w:w="302" w:type="pct"/>
                  <w:vAlign w:val="center"/>
                </w:tcPr>
                <w:p w14:paraId="2F8F7812">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200</w:t>
                  </w:r>
                </w:p>
              </w:tc>
            </w:tr>
            <w:tr w14:paraId="0EA04A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26" w:type="pct"/>
                  <w:vAlign w:val="center"/>
                </w:tcPr>
                <w:p w14:paraId="05A1BEA3">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钻机</w:t>
                  </w:r>
                </w:p>
              </w:tc>
              <w:tc>
                <w:tcPr>
                  <w:tcW w:w="306" w:type="pct"/>
                  <w:vAlign w:val="center"/>
                </w:tcPr>
                <w:p w14:paraId="291B1862">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90</w:t>
                  </w:r>
                </w:p>
              </w:tc>
              <w:tc>
                <w:tcPr>
                  <w:tcW w:w="409" w:type="pct"/>
                  <w:vAlign w:val="center"/>
                </w:tcPr>
                <w:p w14:paraId="0F831EAD">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80</w:t>
                  </w:r>
                </w:p>
              </w:tc>
              <w:tc>
                <w:tcPr>
                  <w:tcW w:w="197" w:type="pct"/>
                  <w:vAlign w:val="center"/>
                </w:tcPr>
                <w:p w14:paraId="343C99BB">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66</w:t>
                  </w:r>
                </w:p>
              </w:tc>
              <w:tc>
                <w:tcPr>
                  <w:tcW w:w="195" w:type="pct"/>
                  <w:vAlign w:val="center"/>
                </w:tcPr>
                <w:p w14:paraId="13E26E55">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60</w:t>
                  </w:r>
                </w:p>
              </w:tc>
              <w:tc>
                <w:tcPr>
                  <w:tcW w:w="244" w:type="pct"/>
                  <w:vAlign w:val="center"/>
                </w:tcPr>
                <w:p w14:paraId="70AF6CB9">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56</w:t>
                  </w:r>
                </w:p>
              </w:tc>
              <w:tc>
                <w:tcPr>
                  <w:tcW w:w="244" w:type="pct"/>
                  <w:vAlign w:val="center"/>
                </w:tcPr>
                <w:p w14:paraId="14EAD7BE">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54</w:t>
                  </w:r>
                </w:p>
              </w:tc>
              <w:tc>
                <w:tcPr>
                  <w:tcW w:w="244" w:type="pct"/>
                  <w:vAlign w:val="center"/>
                </w:tcPr>
                <w:p w14:paraId="1063421C">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52</w:t>
                  </w:r>
                </w:p>
              </w:tc>
              <w:tc>
                <w:tcPr>
                  <w:tcW w:w="244" w:type="pct"/>
                  <w:vAlign w:val="center"/>
                </w:tcPr>
                <w:p w14:paraId="4AEBD47C">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50</w:t>
                  </w:r>
                </w:p>
              </w:tc>
              <w:tc>
                <w:tcPr>
                  <w:tcW w:w="244" w:type="pct"/>
                  <w:vAlign w:val="center"/>
                </w:tcPr>
                <w:p w14:paraId="5443683F">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48</w:t>
                  </w:r>
                </w:p>
              </w:tc>
              <w:tc>
                <w:tcPr>
                  <w:tcW w:w="244" w:type="pct"/>
                  <w:vAlign w:val="center"/>
                </w:tcPr>
                <w:p w14:paraId="39031280">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46</w:t>
                  </w:r>
                </w:p>
              </w:tc>
              <w:tc>
                <w:tcPr>
                  <w:tcW w:w="244" w:type="pct"/>
                  <w:vAlign w:val="center"/>
                </w:tcPr>
                <w:p w14:paraId="45E99BA1">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44</w:t>
                  </w:r>
                </w:p>
              </w:tc>
              <w:tc>
                <w:tcPr>
                  <w:tcW w:w="244" w:type="pct"/>
                  <w:vAlign w:val="center"/>
                </w:tcPr>
                <w:p w14:paraId="2E04553E">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42</w:t>
                  </w:r>
                </w:p>
              </w:tc>
              <w:tc>
                <w:tcPr>
                  <w:tcW w:w="304" w:type="pct"/>
                  <w:vAlign w:val="center"/>
                </w:tcPr>
                <w:p w14:paraId="7746F89F">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40</w:t>
                  </w:r>
                </w:p>
              </w:tc>
              <w:tc>
                <w:tcPr>
                  <w:tcW w:w="304" w:type="pct"/>
                  <w:vAlign w:val="center"/>
                </w:tcPr>
                <w:p w14:paraId="78BCE870">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38</w:t>
                  </w:r>
                </w:p>
              </w:tc>
              <w:tc>
                <w:tcPr>
                  <w:tcW w:w="304" w:type="pct"/>
                  <w:vAlign w:val="center"/>
                </w:tcPr>
                <w:p w14:paraId="022E1A7C">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37</w:t>
                  </w:r>
                </w:p>
              </w:tc>
              <w:tc>
                <w:tcPr>
                  <w:tcW w:w="304" w:type="pct"/>
                  <w:vAlign w:val="center"/>
                </w:tcPr>
                <w:p w14:paraId="3DBABC06">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36</w:t>
                  </w:r>
                </w:p>
              </w:tc>
              <w:tc>
                <w:tcPr>
                  <w:tcW w:w="302" w:type="pct"/>
                  <w:vAlign w:val="center"/>
                </w:tcPr>
                <w:p w14:paraId="3FCBF5C5">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34</w:t>
                  </w:r>
                </w:p>
              </w:tc>
            </w:tr>
            <w:tr w14:paraId="5145C5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26" w:type="pct"/>
                  <w:vAlign w:val="center"/>
                </w:tcPr>
                <w:p w14:paraId="36664C92">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泥浆泵</w:t>
                  </w:r>
                </w:p>
              </w:tc>
              <w:tc>
                <w:tcPr>
                  <w:tcW w:w="306" w:type="pct"/>
                  <w:vAlign w:val="center"/>
                </w:tcPr>
                <w:p w14:paraId="0D944FEA">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93</w:t>
                  </w:r>
                </w:p>
              </w:tc>
              <w:tc>
                <w:tcPr>
                  <w:tcW w:w="409" w:type="pct"/>
                  <w:vAlign w:val="center"/>
                </w:tcPr>
                <w:p w14:paraId="0DCA7371">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86</w:t>
                  </w:r>
                </w:p>
              </w:tc>
              <w:tc>
                <w:tcPr>
                  <w:tcW w:w="197" w:type="pct"/>
                  <w:vAlign w:val="center"/>
                </w:tcPr>
                <w:p w14:paraId="2ABB68B4">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72</w:t>
                  </w:r>
                </w:p>
              </w:tc>
              <w:tc>
                <w:tcPr>
                  <w:tcW w:w="195" w:type="pct"/>
                  <w:vAlign w:val="center"/>
                </w:tcPr>
                <w:p w14:paraId="72AC9322">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66</w:t>
                  </w:r>
                </w:p>
              </w:tc>
              <w:tc>
                <w:tcPr>
                  <w:tcW w:w="244" w:type="pct"/>
                  <w:vAlign w:val="center"/>
                </w:tcPr>
                <w:p w14:paraId="61958612">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62</w:t>
                  </w:r>
                </w:p>
              </w:tc>
              <w:tc>
                <w:tcPr>
                  <w:tcW w:w="244" w:type="pct"/>
                  <w:vAlign w:val="center"/>
                </w:tcPr>
                <w:p w14:paraId="40455128">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60</w:t>
                  </w:r>
                </w:p>
              </w:tc>
              <w:tc>
                <w:tcPr>
                  <w:tcW w:w="244" w:type="pct"/>
                  <w:vAlign w:val="center"/>
                </w:tcPr>
                <w:p w14:paraId="3E474598">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58</w:t>
                  </w:r>
                </w:p>
              </w:tc>
              <w:tc>
                <w:tcPr>
                  <w:tcW w:w="244" w:type="pct"/>
                  <w:vAlign w:val="center"/>
                </w:tcPr>
                <w:p w14:paraId="4F45BECC">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56</w:t>
                  </w:r>
                </w:p>
              </w:tc>
              <w:tc>
                <w:tcPr>
                  <w:tcW w:w="244" w:type="pct"/>
                  <w:vAlign w:val="center"/>
                </w:tcPr>
                <w:p w14:paraId="41B56523">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54</w:t>
                  </w:r>
                </w:p>
              </w:tc>
              <w:tc>
                <w:tcPr>
                  <w:tcW w:w="244" w:type="pct"/>
                  <w:vAlign w:val="center"/>
                </w:tcPr>
                <w:p w14:paraId="66F5BF10">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52</w:t>
                  </w:r>
                </w:p>
              </w:tc>
              <w:tc>
                <w:tcPr>
                  <w:tcW w:w="244" w:type="pct"/>
                  <w:vAlign w:val="center"/>
                </w:tcPr>
                <w:p w14:paraId="7CAFB05C">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50</w:t>
                  </w:r>
                </w:p>
              </w:tc>
              <w:tc>
                <w:tcPr>
                  <w:tcW w:w="244" w:type="pct"/>
                  <w:vAlign w:val="center"/>
                </w:tcPr>
                <w:p w14:paraId="7B0DBAAB">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48</w:t>
                  </w:r>
                </w:p>
              </w:tc>
              <w:tc>
                <w:tcPr>
                  <w:tcW w:w="304" w:type="pct"/>
                  <w:vAlign w:val="center"/>
                </w:tcPr>
                <w:p w14:paraId="58BF3F0F">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46</w:t>
                  </w:r>
                </w:p>
              </w:tc>
              <w:tc>
                <w:tcPr>
                  <w:tcW w:w="304" w:type="pct"/>
                  <w:vAlign w:val="center"/>
                </w:tcPr>
                <w:p w14:paraId="3BE315EA">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44</w:t>
                  </w:r>
                </w:p>
              </w:tc>
              <w:tc>
                <w:tcPr>
                  <w:tcW w:w="304" w:type="pct"/>
                  <w:vAlign w:val="center"/>
                </w:tcPr>
                <w:p w14:paraId="11CC8854">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43</w:t>
                  </w:r>
                </w:p>
              </w:tc>
              <w:tc>
                <w:tcPr>
                  <w:tcW w:w="304" w:type="pct"/>
                  <w:vAlign w:val="center"/>
                </w:tcPr>
                <w:p w14:paraId="6E96BB94">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42</w:t>
                  </w:r>
                </w:p>
              </w:tc>
              <w:tc>
                <w:tcPr>
                  <w:tcW w:w="302" w:type="pct"/>
                  <w:vAlign w:val="center"/>
                </w:tcPr>
                <w:p w14:paraId="27A71E65">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40</w:t>
                  </w:r>
                </w:p>
              </w:tc>
            </w:tr>
            <w:tr w14:paraId="275388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26" w:type="pct"/>
                  <w:vAlign w:val="center"/>
                </w:tcPr>
                <w:p w14:paraId="7CB4FF41">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振动筛</w:t>
                  </w:r>
                </w:p>
              </w:tc>
              <w:tc>
                <w:tcPr>
                  <w:tcW w:w="306" w:type="pct"/>
                  <w:vAlign w:val="center"/>
                </w:tcPr>
                <w:p w14:paraId="46B15414">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105</w:t>
                  </w:r>
                </w:p>
              </w:tc>
              <w:tc>
                <w:tcPr>
                  <w:tcW w:w="409" w:type="pct"/>
                  <w:vAlign w:val="center"/>
                </w:tcPr>
                <w:p w14:paraId="1BF359A9">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95</w:t>
                  </w:r>
                </w:p>
              </w:tc>
              <w:tc>
                <w:tcPr>
                  <w:tcW w:w="197" w:type="pct"/>
                  <w:vAlign w:val="center"/>
                </w:tcPr>
                <w:p w14:paraId="61C36C6D">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81</w:t>
                  </w:r>
                </w:p>
              </w:tc>
              <w:tc>
                <w:tcPr>
                  <w:tcW w:w="195" w:type="pct"/>
                  <w:vAlign w:val="center"/>
                </w:tcPr>
                <w:p w14:paraId="21238F1B">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75</w:t>
                  </w:r>
                </w:p>
              </w:tc>
              <w:tc>
                <w:tcPr>
                  <w:tcW w:w="244" w:type="pct"/>
                  <w:vAlign w:val="center"/>
                </w:tcPr>
                <w:p w14:paraId="6C35BBCC">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71</w:t>
                  </w:r>
                </w:p>
              </w:tc>
              <w:tc>
                <w:tcPr>
                  <w:tcW w:w="244" w:type="pct"/>
                  <w:vAlign w:val="center"/>
                </w:tcPr>
                <w:p w14:paraId="64727BC4">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69</w:t>
                  </w:r>
                </w:p>
              </w:tc>
              <w:tc>
                <w:tcPr>
                  <w:tcW w:w="244" w:type="pct"/>
                  <w:vAlign w:val="center"/>
                </w:tcPr>
                <w:p w14:paraId="1702F562">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67</w:t>
                  </w:r>
                </w:p>
              </w:tc>
              <w:tc>
                <w:tcPr>
                  <w:tcW w:w="244" w:type="pct"/>
                  <w:vAlign w:val="center"/>
                </w:tcPr>
                <w:p w14:paraId="678C68A5">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65</w:t>
                  </w:r>
                </w:p>
              </w:tc>
              <w:tc>
                <w:tcPr>
                  <w:tcW w:w="244" w:type="pct"/>
                  <w:vAlign w:val="center"/>
                </w:tcPr>
                <w:p w14:paraId="10977D0D">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63</w:t>
                  </w:r>
                </w:p>
              </w:tc>
              <w:tc>
                <w:tcPr>
                  <w:tcW w:w="244" w:type="pct"/>
                  <w:vAlign w:val="center"/>
                </w:tcPr>
                <w:p w14:paraId="1EA51FE9">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61</w:t>
                  </w:r>
                </w:p>
              </w:tc>
              <w:tc>
                <w:tcPr>
                  <w:tcW w:w="244" w:type="pct"/>
                  <w:vAlign w:val="center"/>
                </w:tcPr>
                <w:p w14:paraId="3FC5EC5C">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59</w:t>
                  </w:r>
                </w:p>
              </w:tc>
              <w:tc>
                <w:tcPr>
                  <w:tcW w:w="244" w:type="pct"/>
                  <w:vAlign w:val="center"/>
                </w:tcPr>
                <w:p w14:paraId="27096089">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57</w:t>
                  </w:r>
                </w:p>
              </w:tc>
              <w:tc>
                <w:tcPr>
                  <w:tcW w:w="304" w:type="pct"/>
                  <w:vAlign w:val="center"/>
                </w:tcPr>
                <w:p w14:paraId="2DC93CD1">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55</w:t>
                  </w:r>
                </w:p>
              </w:tc>
              <w:tc>
                <w:tcPr>
                  <w:tcW w:w="304" w:type="pct"/>
                  <w:vAlign w:val="center"/>
                </w:tcPr>
                <w:p w14:paraId="1C2ED7A0">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53</w:t>
                  </w:r>
                </w:p>
              </w:tc>
              <w:tc>
                <w:tcPr>
                  <w:tcW w:w="304" w:type="pct"/>
                  <w:vAlign w:val="center"/>
                </w:tcPr>
                <w:p w14:paraId="4C12C35B">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52</w:t>
                  </w:r>
                </w:p>
              </w:tc>
              <w:tc>
                <w:tcPr>
                  <w:tcW w:w="304" w:type="pct"/>
                  <w:vAlign w:val="center"/>
                </w:tcPr>
                <w:p w14:paraId="06DD56AC">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51</w:t>
                  </w:r>
                </w:p>
              </w:tc>
              <w:tc>
                <w:tcPr>
                  <w:tcW w:w="302" w:type="pct"/>
                  <w:vAlign w:val="center"/>
                </w:tcPr>
                <w:p w14:paraId="7452CB70">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49</w:t>
                  </w:r>
                </w:p>
              </w:tc>
            </w:tr>
            <w:tr w14:paraId="4F43F4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26" w:type="pct"/>
                  <w:vAlign w:val="center"/>
                </w:tcPr>
                <w:p w14:paraId="4AA526BF">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柴油发电机</w:t>
                  </w:r>
                </w:p>
              </w:tc>
              <w:tc>
                <w:tcPr>
                  <w:tcW w:w="306" w:type="pct"/>
                  <w:vAlign w:val="center"/>
                </w:tcPr>
                <w:p w14:paraId="3CCC37DE">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88</w:t>
                  </w:r>
                </w:p>
              </w:tc>
              <w:tc>
                <w:tcPr>
                  <w:tcW w:w="409" w:type="pct"/>
                  <w:vAlign w:val="center"/>
                </w:tcPr>
                <w:p w14:paraId="01880842">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68</w:t>
                  </w:r>
                </w:p>
              </w:tc>
              <w:tc>
                <w:tcPr>
                  <w:tcW w:w="197" w:type="pct"/>
                  <w:vAlign w:val="center"/>
                </w:tcPr>
                <w:p w14:paraId="5AB17FD3">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54</w:t>
                  </w:r>
                </w:p>
              </w:tc>
              <w:tc>
                <w:tcPr>
                  <w:tcW w:w="195" w:type="pct"/>
                  <w:vAlign w:val="center"/>
                </w:tcPr>
                <w:p w14:paraId="6681B62A">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48</w:t>
                  </w:r>
                </w:p>
              </w:tc>
              <w:tc>
                <w:tcPr>
                  <w:tcW w:w="244" w:type="pct"/>
                  <w:vAlign w:val="center"/>
                </w:tcPr>
                <w:p w14:paraId="19365FDF">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44</w:t>
                  </w:r>
                </w:p>
              </w:tc>
              <w:tc>
                <w:tcPr>
                  <w:tcW w:w="244" w:type="pct"/>
                  <w:vAlign w:val="center"/>
                </w:tcPr>
                <w:p w14:paraId="5608B617">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42</w:t>
                  </w:r>
                </w:p>
              </w:tc>
              <w:tc>
                <w:tcPr>
                  <w:tcW w:w="244" w:type="pct"/>
                  <w:vAlign w:val="center"/>
                </w:tcPr>
                <w:p w14:paraId="273E8685">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40</w:t>
                  </w:r>
                </w:p>
              </w:tc>
              <w:tc>
                <w:tcPr>
                  <w:tcW w:w="244" w:type="pct"/>
                  <w:vAlign w:val="center"/>
                </w:tcPr>
                <w:p w14:paraId="24BB60F4">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38</w:t>
                  </w:r>
                </w:p>
              </w:tc>
              <w:tc>
                <w:tcPr>
                  <w:tcW w:w="244" w:type="pct"/>
                  <w:vAlign w:val="center"/>
                </w:tcPr>
                <w:p w14:paraId="438332CD">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36</w:t>
                  </w:r>
                </w:p>
              </w:tc>
              <w:tc>
                <w:tcPr>
                  <w:tcW w:w="244" w:type="pct"/>
                  <w:vAlign w:val="center"/>
                </w:tcPr>
                <w:p w14:paraId="1B40CB3A">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34</w:t>
                  </w:r>
                </w:p>
              </w:tc>
              <w:tc>
                <w:tcPr>
                  <w:tcW w:w="244" w:type="pct"/>
                  <w:vAlign w:val="center"/>
                </w:tcPr>
                <w:p w14:paraId="1FC12100">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32</w:t>
                  </w:r>
                </w:p>
              </w:tc>
              <w:tc>
                <w:tcPr>
                  <w:tcW w:w="244" w:type="pct"/>
                  <w:vAlign w:val="center"/>
                </w:tcPr>
                <w:p w14:paraId="4F1BC7ED">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w:t>
                  </w:r>
                </w:p>
              </w:tc>
              <w:tc>
                <w:tcPr>
                  <w:tcW w:w="304" w:type="pct"/>
                  <w:vAlign w:val="center"/>
                </w:tcPr>
                <w:p w14:paraId="77D1C183">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w:t>
                  </w:r>
                </w:p>
              </w:tc>
              <w:tc>
                <w:tcPr>
                  <w:tcW w:w="304" w:type="pct"/>
                  <w:vAlign w:val="center"/>
                </w:tcPr>
                <w:p w14:paraId="44F9A671">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w:t>
                  </w:r>
                </w:p>
              </w:tc>
              <w:tc>
                <w:tcPr>
                  <w:tcW w:w="304" w:type="pct"/>
                  <w:vAlign w:val="center"/>
                </w:tcPr>
                <w:p w14:paraId="38730D99">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w:t>
                  </w:r>
                </w:p>
              </w:tc>
              <w:tc>
                <w:tcPr>
                  <w:tcW w:w="304" w:type="pct"/>
                  <w:vAlign w:val="center"/>
                </w:tcPr>
                <w:p w14:paraId="30DD8A8A">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w:t>
                  </w:r>
                </w:p>
              </w:tc>
              <w:tc>
                <w:tcPr>
                  <w:tcW w:w="302" w:type="pct"/>
                  <w:vAlign w:val="center"/>
                </w:tcPr>
                <w:p w14:paraId="3E188F73">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w:t>
                  </w:r>
                </w:p>
              </w:tc>
            </w:tr>
            <w:tr w14:paraId="76FF8E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26" w:type="pct"/>
                  <w:vAlign w:val="center"/>
                </w:tcPr>
                <w:p w14:paraId="7D176914">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柴油机</w:t>
                  </w:r>
                </w:p>
              </w:tc>
              <w:tc>
                <w:tcPr>
                  <w:tcW w:w="306" w:type="pct"/>
                  <w:vAlign w:val="center"/>
                </w:tcPr>
                <w:p w14:paraId="06272DB0">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101</w:t>
                  </w:r>
                </w:p>
              </w:tc>
              <w:tc>
                <w:tcPr>
                  <w:tcW w:w="409" w:type="pct"/>
                  <w:vAlign w:val="center"/>
                </w:tcPr>
                <w:p w14:paraId="28107183">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81</w:t>
                  </w:r>
                </w:p>
              </w:tc>
              <w:tc>
                <w:tcPr>
                  <w:tcW w:w="197" w:type="pct"/>
                  <w:vAlign w:val="center"/>
                </w:tcPr>
                <w:p w14:paraId="19DF6763">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67</w:t>
                  </w:r>
                </w:p>
              </w:tc>
              <w:tc>
                <w:tcPr>
                  <w:tcW w:w="195" w:type="pct"/>
                  <w:vAlign w:val="center"/>
                </w:tcPr>
                <w:p w14:paraId="2A8E0EAB">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61</w:t>
                  </w:r>
                </w:p>
              </w:tc>
              <w:tc>
                <w:tcPr>
                  <w:tcW w:w="244" w:type="pct"/>
                  <w:vAlign w:val="center"/>
                </w:tcPr>
                <w:p w14:paraId="26D57776">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57</w:t>
                  </w:r>
                </w:p>
              </w:tc>
              <w:tc>
                <w:tcPr>
                  <w:tcW w:w="244" w:type="pct"/>
                  <w:vAlign w:val="center"/>
                </w:tcPr>
                <w:p w14:paraId="6654AC54">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55</w:t>
                  </w:r>
                </w:p>
              </w:tc>
              <w:tc>
                <w:tcPr>
                  <w:tcW w:w="244" w:type="pct"/>
                  <w:vAlign w:val="center"/>
                </w:tcPr>
                <w:p w14:paraId="5963F0C6">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53</w:t>
                  </w:r>
                </w:p>
              </w:tc>
              <w:tc>
                <w:tcPr>
                  <w:tcW w:w="244" w:type="pct"/>
                  <w:vAlign w:val="center"/>
                </w:tcPr>
                <w:p w14:paraId="6A18C919">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51</w:t>
                  </w:r>
                </w:p>
              </w:tc>
              <w:tc>
                <w:tcPr>
                  <w:tcW w:w="244" w:type="pct"/>
                  <w:vAlign w:val="center"/>
                </w:tcPr>
                <w:p w14:paraId="53E7B6DF">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49</w:t>
                  </w:r>
                </w:p>
              </w:tc>
              <w:tc>
                <w:tcPr>
                  <w:tcW w:w="244" w:type="pct"/>
                  <w:vAlign w:val="center"/>
                </w:tcPr>
                <w:p w14:paraId="7B5F6D56">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47</w:t>
                  </w:r>
                </w:p>
              </w:tc>
              <w:tc>
                <w:tcPr>
                  <w:tcW w:w="244" w:type="pct"/>
                  <w:vAlign w:val="center"/>
                </w:tcPr>
                <w:p w14:paraId="16F284C4">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45</w:t>
                  </w:r>
                </w:p>
              </w:tc>
              <w:tc>
                <w:tcPr>
                  <w:tcW w:w="244" w:type="pct"/>
                  <w:vAlign w:val="center"/>
                </w:tcPr>
                <w:p w14:paraId="70DC04E1">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43</w:t>
                  </w:r>
                </w:p>
              </w:tc>
              <w:tc>
                <w:tcPr>
                  <w:tcW w:w="304" w:type="pct"/>
                  <w:vAlign w:val="center"/>
                </w:tcPr>
                <w:p w14:paraId="43B415FD">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41</w:t>
                  </w:r>
                </w:p>
              </w:tc>
              <w:tc>
                <w:tcPr>
                  <w:tcW w:w="304" w:type="pct"/>
                  <w:vAlign w:val="center"/>
                </w:tcPr>
                <w:p w14:paraId="6EBC5443">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39</w:t>
                  </w:r>
                </w:p>
              </w:tc>
              <w:tc>
                <w:tcPr>
                  <w:tcW w:w="304" w:type="pct"/>
                  <w:vAlign w:val="center"/>
                </w:tcPr>
                <w:p w14:paraId="49F987E0">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38</w:t>
                  </w:r>
                </w:p>
              </w:tc>
              <w:tc>
                <w:tcPr>
                  <w:tcW w:w="304" w:type="pct"/>
                  <w:vAlign w:val="center"/>
                </w:tcPr>
                <w:p w14:paraId="04DE67D5">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37</w:t>
                  </w:r>
                </w:p>
              </w:tc>
              <w:tc>
                <w:tcPr>
                  <w:tcW w:w="302" w:type="pct"/>
                  <w:vAlign w:val="center"/>
                </w:tcPr>
                <w:p w14:paraId="6342067B">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35</w:t>
                  </w:r>
                </w:p>
              </w:tc>
            </w:tr>
            <w:tr w14:paraId="6A0193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26" w:type="pct"/>
                  <w:vAlign w:val="center"/>
                </w:tcPr>
                <w:p w14:paraId="44F95BBE">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压裂车</w:t>
                  </w:r>
                </w:p>
              </w:tc>
              <w:tc>
                <w:tcPr>
                  <w:tcW w:w="306" w:type="pct"/>
                  <w:vAlign w:val="center"/>
                </w:tcPr>
                <w:p w14:paraId="2D416BC1">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109</w:t>
                  </w:r>
                </w:p>
              </w:tc>
              <w:tc>
                <w:tcPr>
                  <w:tcW w:w="409" w:type="pct"/>
                  <w:vAlign w:val="center"/>
                </w:tcPr>
                <w:p w14:paraId="41CF9BE3">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99</w:t>
                  </w:r>
                </w:p>
              </w:tc>
              <w:tc>
                <w:tcPr>
                  <w:tcW w:w="197" w:type="pct"/>
                  <w:vAlign w:val="center"/>
                </w:tcPr>
                <w:p w14:paraId="549C25F6">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85</w:t>
                  </w:r>
                </w:p>
              </w:tc>
              <w:tc>
                <w:tcPr>
                  <w:tcW w:w="195" w:type="pct"/>
                  <w:vAlign w:val="center"/>
                </w:tcPr>
                <w:p w14:paraId="056927B0">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79</w:t>
                  </w:r>
                </w:p>
              </w:tc>
              <w:tc>
                <w:tcPr>
                  <w:tcW w:w="244" w:type="pct"/>
                  <w:vAlign w:val="center"/>
                </w:tcPr>
                <w:p w14:paraId="2E242BD5">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75</w:t>
                  </w:r>
                </w:p>
              </w:tc>
              <w:tc>
                <w:tcPr>
                  <w:tcW w:w="244" w:type="pct"/>
                  <w:vAlign w:val="center"/>
                </w:tcPr>
                <w:p w14:paraId="3CB25A41">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73</w:t>
                  </w:r>
                </w:p>
              </w:tc>
              <w:tc>
                <w:tcPr>
                  <w:tcW w:w="244" w:type="pct"/>
                  <w:vAlign w:val="center"/>
                </w:tcPr>
                <w:p w14:paraId="213D3B38">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71</w:t>
                  </w:r>
                </w:p>
              </w:tc>
              <w:tc>
                <w:tcPr>
                  <w:tcW w:w="244" w:type="pct"/>
                  <w:vAlign w:val="center"/>
                </w:tcPr>
                <w:p w14:paraId="45159162">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69</w:t>
                  </w:r>
                </w:p>
              </w:tc>
              <w:tc>
                <w:tcPr>
                  <w:tcW w:w="244" w:type="pct"/>
                  <w:vAlign w:val="center"/>
                </w:tcPr>
                <w:p w14:paraId="677745B9">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67</w:t>
                  </w:r>
                </w:p>
              </w:tc>
              <w:tc>
                <w:tcPr>
                  <w:tcW w:w="244" w:type="pct"/>
                  <w:vAlign w:val="center"/>
                </w:tcPr>
                <w:p w14:paraId="65BAC457">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65</w:t>
                  </w:r>
                </w:p>
              </w:tc>
              <w:tc>
                <w:tcPr>
                  <w:tcW w:w="244" w:type="pct"/>
                  <w:vAlign w:val="center"/>
                </w:tcPr>
                <w:p w14:paraId="490B1A4B">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63</w:t>
                  </w:r>
                </w:p>
              </w:tc>
              <w:tc>
                <w:tcPr>
                  <w:tcW w:w="244" w:type="pct"/>
                  <w:vAlign w:val="center"/>
                </w:tcPr>
                <w:p w14:paraId="49FC7D2C">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61</w:t>
                  </w:r>
                </w:p>
              </w:tc>
              <w:tc>
                <w:tcPr>
                  <w:tcW w:w="304" w:type="pct"/>
                  <w:vAlign w:val="center"/>
                </w:tcPr>
                <w:p w14:paraId="765AD739">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59</w:t>
                  </w:r>
                </w:p>
              </w:tc>
              <w:tc>
                <w:tcPr>
                  <w:tcW w:w="304" w:type="pct"/>
                  <w:vAlign w:val="center"/>
                </w:tcPr>
                <w:p w14:paraId="15FFA889">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57</w:t>
                  </w:r>
                </w:p>
              </w:tc>
              <w:tc>
                <w:tcPr>
                  <w:tcW w:w="304" w:type="pct"/>
                  <w:vAlign w:val="center"/>
                </w:tcPr>
                <w:p w14:paraId="0BF148F1">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56</w:t>
                  </w:r>
                </w:p>
              </w:tc>
              <w:tc>
                <w:tcPr>
                  <w:tcW w:w="304" w:type="pct"/>
                  <w:vAlign w:val="center"/>
                </w:tcPr>
                <w:p w14:paraId="42880FBB">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55</w:t>
                  </w:r>
                </w:p>
              </w:tc>
              <w:tc>
                <w:tcPr>
                  <w:tcW w:w="302" w:type="pct"/>
                  <w:vAlign w:val="center"/>
                </w:tcPr>
                <w:p w14:paraId="78D04C07">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53</w:t>
                  </w:r>
                </w:p>
              </w:tc>
            </w:tr>
            <w:tr w14:paraId="63B4E3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26" w:type="pct"/>
                  <w:vAlign w:val="center"/>
                </w:tcPr>
                <w:p w14:paraId="597A7E2D">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射孔车</w:t>
                  </w:r>
                </w:p>
              </w:tc>
              <w:tc>
                <w:tcPr>
                  <w:tcW w:w="306" w:type="pct"/>
                  <w:vAlign w:val="center"/>
                </w:tcPr>
                <w:p w14:paraId="4B475738">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100</w:t>
                  </w:r>
                </w:p>
              </w:tc>
              <w:tc>
                <w:tcPr>
                  <w:tcW w:w="409" w:type="pct"/>
                  <w:vAlign w:val="center"/>
                </w:tcPr>
                <w:p w14:paraId="0AE9D524">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90</w:t>
                  </w:r>
                </w:p>
              </w:tc>
              <w:tc>
                <w:tcPr>
                  <w:tcW w:w="197" w:type="pct"/>
                  <w:vAlign w:val="center"/>
                </w:tcPr>
                <w:p w14:paraId="47A278BB">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76</w:t>
                  </w:r>
                </w:p>
              </w:tc>
              <w:tc>
                <w:tcPr>
                  <w:tcW w:w="195" w:type="pct"/>
                  <w:vAlign w:val="center"/>
                </w:tcPr>
                <w:p w14:paraId="3EFE6FAE">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70</w:t>
                  </w:r>
                </w:p>
              </w:tc>
              <w:tc>
                <w:tcPr>
                  <w:tcW w:w="244" w:type="pct"/>
                  <w:vAlign w:val="center"/>
                </w:tcPr>
                <w:p w14:paraId="420F4692">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66</w:t>
                  </w:r>
                </w:p>
              </w:tc>
              <w:tc>
                <w:tcPr>
                  <w:tcW w:w="244" w:type="pct"/>
                  <w:vAlign w:val="center"/>
                </w:tcPr>
                <w:p w14:paraId="5F131924">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64</w:t>
                  </w:r>
                </w:p>
              </w:tc>
              <w:tc>
                <w:tcPr>
                  <w:tcW w:w="244" w:type="pct"/>
                  <w:vAlign w:val="center"/>
                </w:tcPr>
                <w:p w14:paraId="7AB86C91">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62</w:t>
                  </w:r>
                </w:p>
              </w:tc>
              <w:tc>
                <w:tcPr>
                  <w:tcW w:w="244" w:type="pct"/>
                  <w:vAlign w:val="center"/>
                </w:tcPr>
                <w:p w14:paraId="1029E57F">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60</w:t>
                  </w:r>
                </w:p>
              </w:tc>
              <w:tc>
                <w:tcPr>
                  <w:tcW w:w="244" w:type="pct"/>
                  <w:vAlign w:val="center"/>
                </w:tcPr>
                <w:p w14:paraId="3256057D">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58</w:t>
                  </w:r>
                </w:p>
              </w:tc>
              <w:tc>
                <w:tcPr>
                  <w:tcW w:w="244" w:type="pct"/>
                  <w:vAlign w:val="center"/>
                </w:tcPr>
                <w:p w14:paraId="291D69C6">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56</w:t>
                  </w:r>
                </w:p>
              </w:tc>
              <w:tc>
                <w:tcPr>
                  <w:tcW w:w="244" w:type="pct"/>
                  <w:vAlign w:val="center"/>
                </w:tcPr>
                <w:p w14:paraId="686F90D7">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54</w:t>
                  </w:r>
                </w:p>
              </w:tc>
              <w:tc>
                <w:tcPr>
                  <w:tcW w:w="244" w:type="pct"/>
                  <w:vAlign w:val="center"/>
                </w:tcPr>
                <w:p w14:paraId="1B1485FD">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52</w:t>
                  </w:r>
                </w:p>
              </w:tc>
              <w:tc>
                <w:tcPr>
                  <w:tcW w:w="304" w:type="pct"/>
                  <w:vAlign w:val="center"/>
                </w:tcPr>
                <w:p w14:paraId="7D64F460">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50</w:t>
                  </w:r>
                </w:p>
              </w:tc>
              <w:tc>
                <w:tcPr>
                  <w:tcW w:w="304" w:type="pct"/>
                  <w:vAlign w:val="center"/>
                </w:tcPr>
                <w:p w14:paraId="2500134B">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48</w:t>
                  </w:r>
                </w:p>
              </w:tc>
              <w:tc>
                <w:tcPr>
                  <w:tcW w:w="304" w:type="pct"/>
                  <w:vAlign w:val="center"/>
                </w:tcPr>
                <w:p w14:paraId="0EF0E703">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47</w:t>
                  </w:r>
                </w:p>
              </w:tc>
              <w:tc>
                <w:tcPr>
                  <w:tcW w:w="304" w:type="pct"/>
                  <w:vAlign w:val="center"/>
                </w:tcPr>
                <w:p w14:paraId="4ADB0B7F">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46</w:t>
                  </w:r>
                </w:p>
              </w:tc>
              <w:tc>
                <w:tcPr>
                  <w:tcW w:w="302" w:type="pct"/>
                  <w:vAlign w:val="center"/>
                </w:tcPr>
                <w:p w14:paraId="5054E3D3">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44</w:t>
                  </w:r>
                </w:p>
              </w:tc>
            </w:tr>
          </w:tbl>
          <w:p w14:paraId="2D8B7B02">
            <w:pPr>
              <w:pStyle w:val="112"/>
              <w:rPr>
                <w:rFonts w:hint="eastAsia"/>
                <w:b/>
                <w:bCs/>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根据预测结果，施工期间，各类施工机械的噪声在距离声源160</w:t>
            </w:r>
            <w:r>
              <w:rPr>
                <w:color w:val="0D0D0D" w:themeColor="text1" w:themeTint="F2"/>
                <w14:textFill>
                  <w14:solidFill>
                    <w14:schemeClr w14:val="tx1">
                      <w14:lumMod w14:val="95000"/>
                      <w14:lumOff w14:val="5000"/>
                    </w14:schemeClr>
                  </w14:solidFill>
                </w14:textFill>
              </w:rPr>
              <w:t>m</w:t>
            </w:r>
            <w:r>
              <w:rPr>
                <w:rFonts w:hint="eastAsia"/>
                <w:color w:val="0D0D0D" w:themeColor="text1" w:themeTint="F2"/>
                <w14:textFill>
                  <w14:solidFill>
                    <w14:schemeClr w14:val="tx1">
                      <w14:lumMod w14:val="95000"/>
                      <w14:lumOff w14:val="5000"/>
                    </w14:schemeClr>
                  </w14:solidFill>
                </w14:textFill>
              </w:rPr>
              <w:t>处时噪声均可满足《建筑施工噪声排放标准》（</w:t>
            </w:r>
            <w:r>
              <w:rPr>
                <w:color w:val="0D0D0D" w:themeColor="text1" w:themeTint="F2"/>
                <w14:textFill>
                  <w14:solidFill>
                    <w14:schemeClr w14:val="tx1">
                      <w14:lumMod w14:val="95000"/>
                      <w14:lumOff w14:val="5000"/>
                    </w14:schemeClr>
                  </w14:solidFill>
                </w14:textFill>
              </w:rPr>
              <w:t>GB12523-20</w:t>
            </w:r>
            <w:r>
              <w:rPr>
                <w:rFonts w:hint="eastAsia"/>
                <w:color w:val="0D0D0D" w:themeColor="text1" w:themeTint="F2"/>
                <w14:textFill>
                  <w14:solidFill>
                    <w14:schemeClr w14:val="tx1">
                      <w14:lumMod w14:val="95000"/>
                      <w14:lumOff w14:val="5000"/>
                    </w14:schemeClr>
                  </w14:solidFill>
                </w14:textFill>
              </w:rPr>
              <w:t>25）标准要求（昼间</w:t>
            </w:r>
            <w:r>
              <w:rPr>
                <w:color w:val="0D0D0D" w:themeColor="text1" w:themeTint="F2"/>
                <w14:textFill>
                  <w14:solidFill>
                    <w14:schemeClr w14:val="tx1">
                      <w14:lumMod w14:val="95000"/>
                      <w14:lumOff w14:val="5000"/>
                    </w14:schemeClr>
                  </w14:solidFill>
                </w14:textFill>
              </w:rPr>
              <w:t>70dB</w:t>
            </w: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A</w:t>
            </w:r>
            <w:r>
              <w:rPr>
                <w:rFonts w:hint="eastAsia"/>
                <w:color w:val="0D0D0D" w:themeColor="text1" w:themeTint="F2"/>
                <w14:textFill>
                  <w14:solidFill>
                    <w14:schemeClr w14:val="tx1">
                      <w14:lumMod w14:val="95000"/>
                      <w14:lumOff w14:val="5000"/>
                    </w14:schemeClr>
                  </w14:solidFill>
                </w14:textFill>
              </w:rPr>
              <w:t>），夜间</w:t>
            </w:r>
            <w:r>
              <w:rPr>
                <w:color w:val="0D0D0D" w:themeColor="text1" w:themeTint="F2"/>
                <w14:textFill>
                  <w14:solidFill>
                    <w14:schemeClr w14:val="tx1">
                      <w14:lumMod w14:val="95000"/>
                      <w14:lumOff w14:val="5000"/>
                    </w14:schemeClr>
                  </w14:solidFill>
                </w14:textFill>
              </w:rPr>
              <w:t>55dB</w:t>
            </w: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A</w:t>
            </w:r>
            <w:r>
              <w:rPr>
                <w:rFonts w:hint="eastAsia"/>
                <w:color w:val="0D0D0D" w:themeColor="text1" w:themeTint="F2"/>
                <w14:textFill>
                  <w14:solidFill>
                    <w14:schemeClr w14:val="tx1">
                      <w14:lumMod w14:val="95000"/>
                      <w14:lumOff w14:val="5000"/>
                    </w14:schemeClr>
                  </w14:solidFill>
                </w14:textFill>
              </w:rPr>
              <w:t>））。同时，对高噪声设备采取隔声措施，并加强机械设备的保养，保证机械设备的正常运转，以降低设备正常运转的噪声。项目区周边200m范围内无声环境敏感目标，在严格落实隔声降噪措施后，施工期噪声对周边环境及施工人员的影响不大。</w:t>
            </w:r>
            <w:bookmarkEnd w:id="93"/>
          </w:p>
          <w:p w14:paraId="5AFAD830">
            <w:pPr>
              <w:pStyle w:val="11"/>
              <w:rPr>
                <w:rFonts w:hint="eastAsia"/>
                <w:color w:val="0D0D0D" w:themeColor="text1" w:themeTint="F2"/>
                <w14:textFill>
                  <w14:solidFill>
                    <w14:schemeClr w14:val="tx1">
                      <w14:lumMod w14:val="95000"/>
                      <w14:lumOff w14:val="5000"/>
                    </w14:schemeClr>
                  </w14:solidFill>
                </w14:textFill>
              </w:rPr>
            </w:pPr>
            <w:bookmarkStart w:id="97" w:name="_Hlk208323588"/>
            <w:r>
              <w:rPr>
                <w:rFonts w:hint="eastAsia"/>
                <w:color w:val="0D0D0D" w:themeColor="text1" w:themeTint="F2"/>
                <w14:textFill>
                  <w14:solidFill>
                    <w14:schemeClr w14:val="tx1">
                      <w14:lumMod w14:val="95000"/>
                      <w14:lumOff w14:val="5000"/>
                    </w14:schemeClr>
                  </w14:solidFill>
                </w14:textFill>
              </w:rPr>
              <w:t>8、固体废物影响分析</w:t>
            </w:r>
          </w:p>
          <w:bookmarkEnd w:id="97"/>
          <w:p w14:paraId="3441C2E5">
            <w:pPr>
              <w:pStyle w:val="11"/>
              <w:ind w:firstLine="480"/>
              <w:rPr>
                <w:rFonts w:hint="eastAsia"/>
                <w:b w:val="0"/>
                <w:bCs w:val="0"/>
                <w:color w:val="0D0D0D" w:themeColor="text1" w:themeTint="F2"/>
                <w14:textFill>
                  <w14:solidFill>
                    <w14:schemeClr w14:val="tx1">
                      <w14:lumMod w14:val="95000"/>
                      <w14:lumOff w14:val="5000"/>
                    </w14:schemeClr>
                  </w14:solidFill>
                </w14:textFill>
              </w:rPr>
            </w:pPr>
            <w:bookmarkStart w:id="98" w:name="_Hlk136795783"/>
            <w:r>
              <w:rPr>
                <w:rFonts w:hint="eastAsia"/>
                <w:b w:val="0"/>
                <w:bCs w:val="0"/>
                <w:color w:val="0D0D0D" w:themeColor="text1" w:themeTint="F2"/>
                <w14:textFill>
                  <w14:solidFill>
                    <w14:schemeClr w14:val="tx1">
                      <w14:lumMod w14:val="95000"/>
                      <w14:lumOff w14:val="5000"/>
                    </w14:schemeClr>
                  </w14:solidFill>
                </w14:textFill>
              </w:rPr>
              <w:t>固体废物主要为钻井岩屑、沾油废防渗材料、废润滑油、废润滑油桶、生活垃圾和建筑垃圾。</w:t>
            </w:r>
          </w:p>
          <w:p w14:paraId="59DEA687">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w:t>
            </w:r>
            <w:r>
              <w:rPr>
                <w:b w:val="0"/>
                <w:bCs w:val="0"/>
                <w:color w:val="0D0D0D" w:themeColor="text1" w:themeTint="F2"/>
                <w14:textFill>
                  <w14:solidFill>
                    <w14:schemeClr w14:val="tx1">
                      <w14:lumMod w14:val="95000"/>
                      <w14:lumOff w14:val="5000"/>
                    </w14:schemeClr>
                  </w14:solidFill>
                </w14:textFill>
              </w:rPr>
              <w:t>1</w:t>
            </w:r>
            <w:r>
              <w:rPr>
                <w:rFonts w:hint="eastAsia"/>
                <w:b w:val="0"/>
                <w:bCs w:val="0"/>
                <w:color w:val="0D0D0D" w:themeColor="text1" w:themeTint="F2"/>
                <w14:textFill>
                  <w14:solidFill>
                    <w14:schemeClr w14:val="tx1">
                      <w14:lumMod w14:val="95000"/>
                      <w14:lumOff w14:val="5000"/>
                    </w14:schemeClr>
                  </w14:solidFill>
                </w14:textFill>
              </w:rPr>
              <w:t>）钻井岩屑</w:t>
            </w:r>
          </w:p>
          <w:p w14:paraId="4DA772FE">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钻井过程中，岩石经钻头和钻井液的研磨而破碎成岩屑，随钻井液排出井口，进入固控设备处理后岩屑与钻井液分离，液体循环使用，钻井结束后由钻井液公司回收，用于下一口井钻井液的配制。固体（钻井岩屑）经钻井液不落地系统处理后在岩屑储罐暂存，最终运离井场。岩屑产生量与井身结构有关，可按下式计算：</w:t>
            </w:r>
          </w:p>
          <w:p w14:paraId="2BF34DF8">
            <w:pPr>
              <w:pStyle w:val="11"/>
              <w:ind w:firstLine="480"/>
              <w:jc w:val="center"/>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W=1/4×π×D</w:t>
            </w:r>
            <w:r>
              <w:rPr>
                <w:rFonts w:hint="eastAsia"/>
                <w:b w:val="0"/>
                <w:bCs w:val="0"/>
                <w:color w:val="0D0D0D" w:themeColor="text1" w:themeTint="F2"/>
                <w:vertAlign w:val="superscript"/>
                <w14:textFill>
                  <w14:solidFill>
                    <w14:schemeClr w14:val="tx1">
                      <w14:lumMod w14:val="95000"/>
                      <w14:lumOff w14:val="5000"/>
                    </w14:schemeClr>
                  </w14:solidFill>
                </w14:textFill>
              </w:rPr>
              <w:t>2</w:t>
            </w:r>
            <w:r>
              <w:rPr>
                <w:rFonts w:hint="eastAsia"/>
                <w:b w:val="0"/>
                <w:bCs w:val="0"/>
                <w:color w:val="0D0D0D" w:themeColor="text1" w:themeTint="F2"/>
                <w14:textFill>
                  <w14:solidFill>
                    <w14:schemeClr w14:val="tx1">
                      <w14:lumMod w14:val="95000"/>
                      <w14:lumOff w14:val="5000"/>
                    </w14:schemeClr>
                  </w14:solidFill>
                </w14:textFill>
              </w:rPr>
              <w:t>×h×P</w:t>
            </w:r>
          </w:p>
          <w:p w14:paraId="3002F8D0">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式中：W——产生的岩屑量，m</w:t>
            </w:r>
            <w:r>
              <w:rPr>
                <w:rFonts w:hint="eastAsia"/>
                <w:b w:val="0"/>
                <w:bCs w:val="0"/>
                <w:color w:val="0D0D0D" w:themeColor="text1" w:themeTint="F2"/>
                <w:vertAlign w:val="superscript"/>
                <w14:textFill>
                  <w14:solidFill>
                    <w14:schemeClr w14:val="tx1">
                      <w14:lumMod w14:val="95000"/>
                      <w14:lumOff w14:val="5000"/>
                    </w14:schemeClr>
                  </w14:solidFill>
                </w14:textFill>
              </w:rPr>
              <w:t>3</w:t>
            </w:r>
            <w:r>
              <w:rPr>
                <w:rFonts w:hint="eastAsia"/>
                <w:b w:val="0"/>
                <w:bCs w:val="0"/>
                <w:color w:val="0D0D0D" w:themeColor="text1" w:themeTint="F2"/>
                <w14:textFill>
                  <w14:solidFill>
                    <w14:schemeClr w14:val="tx1">
                      <w14:lumMod w14:val="95000"/>
                      <w14:lumOff w14:val="5000"/>
                    </w14:schemeClr>
                  </w14:solidFill>
                </w14:textFill>
              </w:rPr>
              <w:t>；</w:t>
            </w:r>
          </w:p>
          <w:p w14:paraId="7D10159B">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 xml:space="preserve">      D——井眼平均井径，m；</w:t>
            </w:r>
          </w:p>
          <w:p w14:paraId="6D19D78A">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 xml:space="preserve">      h——裸眼长度，m；</w:t>
            </w:r>
          </w:p>
          <w:p w14:paraId="136EA945">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 xml:space="preserve">      P——膨胀系数，使用水基钻井液体系时取P=</w:t>
            </w:r>
            <w:r>
              <w:rPr>
                <w:b w:val="0"/>
                <w:bCs w:val="0"/>
                <w:color w:val="0D0D0D" w:themeColor="text1" w:themeTint="F2"/>
                <w14:textFill>
                  <w14:solidFill>
                    <w14:schemeClr w14:val="tx1">
                      <w14:lumMod w14:val="95000"/>
                      <w14:lumOff w14:val="5000"/>
                    </w14:schemeClr>
                  </w14:solidFill>
                </w14:textFill>
              </w:rPr>
              <w:t>2.2</w:t>
            </w:r>
            <w:r>
              <w:rPr>
                <w:rFonts w:hint="eastAsia"/>
                <w:b w:val="0"/>
                <w:bCs w:val="0"/>
                <w:color w:val="0D0D0D" w:themeColor="text1" w:themeTint="F2"/>
                <w14:textFill>
                  <w14:solidFill>
                    <w14:schemeClr w14:val="tx1">
                      <w14:lumMod w14:val="95000"/>
                      <w14:lumOff w14:val="5000"/>
                    </w14:schemeClr>
                  </w14:solidFill>
                </w14:textFill>
              </w:rPr>
              <w:t>，</w:t>
            </w:r>
            <w:r>
              <w:rPr>
                <w:b w:val="0"/>
                <w:bCs w:val="0"/>
                <w:color w:val="0D0D0D" w:themeColor="text1" w:themeTint="F2"/>
                <w14:textFill>
                  <w14:solidFill>
                    <w14:schemeClr w14:val="tx1">
                      <w14:lumMod w14:val="95000"/>
                      <w14:lumOff w14:val="5000"/>
                    </w14:schemeClr>
                  </w14:solidFill>
                </w14:textFill>
              </w:rPr>
              <w:t>油基钻井液体系取P=</w:t>
            </w:r>
            <w:r>
              <w:rPr>
                <w:rFonts w:hint="eastAsia"/>
                <w:b w:val="0"/>
                <w:bCs w:val="0"/>
                <w:color w:val="0D0D0D" w:themeColor="text1" w:themeTint="F2"/>
                <w14:textFill>
                  <w14:solidFill>
                    <w14:schemeClr w14:val="tx1">
                      <w14:lumMod w14:val="95000"/>
                      <w14:lumOff w14:val="5000"/>
                    </w14:schemeClr>
                  </w14:solidFill>
                </w14:textFill>
              </w:rPr>
              <w:t>5</w:t>
            </w:r>
            <w:r>
              <w:rPr>
                <w:b w:val="0"/>
                <w:bCs w:val="0"/>
                <w:color w:val="0D0D0D" w:themeColor="text1" w:themeTint="F2"/>
                <w14:textFill>
                  <w14:solidFill>
                    <w14:schemeClr w14:val="tx1">
                      <w14:lumMod w14:val="95000"/>
                      <w14:lumOff w14:val="5000"/>
                    </w14:schemeClr>
                  </w14:solidFill>
                </w14:textFill>
              </w:rPr>
              <w:t>，</w:t>
            </w:r>
            <w:r>
              <w:rPr>
                <w:rFonts w:hint="eastAsia"/>
                <w:b w:val="0"/>
                <w:bCs w:val="0"/>
                <w:color w:val="0D0D0D" w:themeColor="text1" w:themeTint="F2"/>
                <w14:textFill>
                  <w14:solidFill>
                    <w14:schemeClr w14:val="tx1">
                      <w14:lumMod w14:val="95000"/>
                      <w14:lumOff w14:val="5000"/>
                    </w14:schemeClr>
                  </w14:solidFill>
                </w14:textFill>
              </w:rPr>
              <w:t>岩屑密度2.5g/cm</w:t>
            </w:r>
            <w:r>
              <w:rPr>
                <w:rFonts w:hint="eastAsia"/>
                <w:b w:val="0"/>
                <w:bCs w:val="0"/>
                <w:color w:val="0D0D0D" w:themeColor="text1" w:themeTint="F2"/>
                <w:vertAlign w:val="superscript"/>
                <w14:textFill>
                  <w14:solidFill>
                    <w14:schemeClr w14:val="tx1">
                      <w14:lumMod w14:val="95000"/>
                      <w14:lumOff w14:val="5000"/>
                    </w14:schemeClr>
                  </w14:solidFill>
                </w14:textFill>
              </w:rPr>
              <w:t>3</w:t>
            </w:r>
            <w:r>
              <w:rPr>
                <w:rFonts w:hint="eastAsia"/>
                <w:b w:val="0"/>
                <w:bCs w:val="0"/>
                <w:color w:val="0D0D0D" w:themeColor="text1" w:themeTint="F2"/>
                <w14:textFill>
                  <w14:solidFill>
                    <w14:schemeClr w14:val="tx1">
                      <w14:lumMod w14:val="95000"/>
                      <w14:lumOff w14:val="5000"/>
                    </w14:schemeClr>
                  </w14:solidFill>
                </w14:textFill>
              </w:rPr>
              <w:t>。</w:t>
            </w:r>
          </w:p>
          <w:p w14:paraId="17607158">
            <w:pPr>
              <w:pStyle w:val="38"/>
              <w:ind w:firstLine="480"/>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根据井身结构计算钻井期岩屑产生量见</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REF _Ref206180431 \h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表19</w:t>
            </w:r>
            <w:r>
              <w:rPr>
                <w:rFonts w:hint="eastAsia"/>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w:t>
            </w:r>
            <w:bookmarkStart w:id="99" w:name="_Ref19642107"/>
          </w:p>
          <w:bookmarkEnd w:id="99"/>
          <w:p w14:paraId="3955CB65">
            <w:pPr>
              <w:pStyle w:val="8"/>
              <w:rPr>
                <w:rFonts w:hint="eastAsia"/>
                <w:color w:val="0D0D0D" w:themeColor="text1" w:themeTint="F2"/>
                <w14:textFill>
                  <w14:solidFill>
                    <w14:schemeClr w14:val="tx1">
                      <w14:lumMod w14:val="95000"/>
                      <w14:lumOff w14:val="5000"/>
                    </w14:schemeClr>
                  </w14:solidFill>
                </w14:textFill>
              </w:rPr>
            </w:pPr>
            <w:bookmarkStart w:id="100" w:name="_Ref206180431"/>
            <w:r>
              <w:rPr>
                <w:rFonts w:hint="eastAsia"/>
                <w:color w:val="0D0D0D" w:themeColor="text1" w:themeTint="F2"/>
                <w14:textFill>
                  <w14:solidFill>
                    <w14:schemeClr w14:val="tx1">
                      <w14:lumMod w14:val="95000"/>
                      <w14:lumOff w14:val="5000"/>
                    </w14:schemeClr>
                  </w14:solidFill>
                </w14:textFill>
              </w:rPr>
              <w:t>表</w:t>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w:instrText>
            </w:r>
            <w:r>
              <w:rPr>
                <w:rFonts w:hint="eastAsia"/>
                <w:color w:val="0D0D0D" w:themeColor="text1" w:themeTint="F2"/>
                <w14:textFill>
                  <w14:solidFill>
                    <w14:schemeClr w14:val="tx1">
                      <w14:lumMod w14:val="95000"/>
                      <w14:lumOff w14:val="5000"/>
                    </w14:schemeClr>
                  </w14:solidFill>
                </w14:textFill>
              </w:rPr>
              <w:instrText xml:space="preserve">SEQ 表 \* ARABIC</w:instrText>
            </w:r>
            <w:r>
              <w:rPr>
                <w:color w:val="0D0D0D" w:themeColor="text1" w:themeTint="F2"/>
                <w14:textFill>
                  <w14:solidFill>
                    <w14:schemeClr w14:val="tx1">
                      <w14:lumMod w14:val="95000"/>
                      <w14:lumOff w14:val="5000"/>
                    </w14:schemeClr>
                  </w14:solidFill>
                </w14:textFill>
              </w:rPr>
              <w:instrText xml:space="preserve"> </w:instrText>
            </w:r>
            <w:r>
              <w:rPr>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19</w:t>
            </w:r>
            <w:r>
              <w:rPr>
                <w:color w:val="0D0D0D" w:themeColor="text1" w:themeTint="F2"/>
                <w14:textFill>
                  <w14:solidFill>
                    <w14:schemeClr w14:val="tx1">
                      <w14:lumMod w14:val="95000"/>
                      <w14:lumOff w14:val="5000"/>
                    </w14:schemeClr>
                  </w14:solidFill>
                </w14:textFill>
              </w:rPr>
              <w:fldChar w:fldCharType="end"/>
            </w:r>
            <w:bookmarkEnd w:id="100"/>
            <w:r>
              <w:rPr>
                <w:rFonts w:hint="eastAsia"/>
                <w:color w:val="0D0D0D" w:themeColor="text1" w:themeTint="F2"/>
                <w14:textFill>
                  <w14:solidFill>
                    <w14:schemeClr w14:val="tx1">
                      <w14:lumMod w14:val="95000"/>
                      <w14:lumOff w14:val="5000"/>
                    </w14:schemeClr>
                  </w14:solidFill>
                </w14:textFill>
              </w:rPr>
              <w:t xml:space="preserve">    钻井岩屑产生情况表</w:t>
            </w:r>
          </w:p>
          <w:tbl>
            <w:tblPr>
              <w:tblStyle w:val="29"/>
              <w:tblW w:w="496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515"/>
              <w:gridCol w:w="985"/>
              <w:gridCol w:w="830"/>
              <w:gridCol w:w="1993"/>
              <w:gridCol w:w="1263"/>
              <w:gridCol w:w="1394"/>
              <w:gridCol w:w="986"/>
            </w:tblGrid>
            <w:tr w14:paraId="64D6BD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23" w:type="pct"/>
                  <w:vAlign w:val="center"/>
                </w:tcPr>
                <w:p w14:paraId="2934AD63">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bookmarkStart w:id="101" w:name="_Hlk186376309"/>
                  <w:r>
                    <w:rPr>
                      <w:rFonts w:hint="eastAsia"/>
                      <w:b w:val="0"/>
                      <w:bCs w:val="0"/>
                      <w:color w:val="0D0D0D" w:themeColor="text1" w:themeTint="F2"/>
                      <w:sz w:val="21"/>
                      <w:szCs w:val="21"/>
                      <w14:textFill>
                        <w14:solidFill>
                          <w14:schemeClr w14:val="tx1">
                            <w14:lumMod w14:val="95000"/>
                            <w14:lumOff w14:val="5000"/>
                          </w14:schemeClr>
                        </w14:solidFill>
                      </w14:textFill>
                    </w:rPr>
                    <w:t>井号</w:t>
                  </w:r>
                </w:p>
              </w:tc>
              <w:tc>
                <w:tcPr>
                  <w:tcW w:w="1139" w:type="pct"/>
                  <w:gridSpan w:val="2"/>
                  <w:vAlign w:val="center"/>
                </w:tcPr>
                <w:p w14:paraId="64EC862E">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r>
                    <w:rPr>
                      <w:rFonts w:hint="eastAsia"/>
                      <w:b w:val="0"/>
                      <w:bCs w:val="0"/>
                      <w:color w:val="0D0D0D" w:themeColor="text1" w:themeTint="F2"/>
                      <w:sz w:val="21"/>
                      <w:szCs w:val="21"/>
                      <w14:textFill>
                        <w14:solidFill>
                          <w14:schemeClr w14:val="tx1">
                            <w14:lumMod w14:val="95000"/>
                            <w14:lumOff w14:val="5000"/>
                          </w14:schemeClr>
                        </w14:solidFill>
                      </w14:textFill>
                    </w:rPr>
                    <w:t>井段</w:t>
                  </w:r>
                </w:p>
              </w:tc>
              <w:tc>
                <w:tcPr>
                  <w:tcW w:w="1251" w:type="pct"/>
                  <w:vAlign w:val="center"/>
                </w:tcPr>
                <w:p w14:paraId="60E47D08">
                  <w:pPr>
                    <w:widowControl/>
                    <w:snapToGrid w:val="0"/>
                    <w:spacing w:line="300" w:lineRule="exact"/>
                    <w:jc w:val="cente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钻头尺寸(mm)</w:t>
                  </w:r>
                </w:p>
              </w:tc>
              <w:tc>
                <w:tcPr>
                  <w:tcW w:w="793" w:type="pct"/>
                  <w:vAlign w:val="center"/>
                </w:tcPr>
                <w:p w14:paraId="389D9272">
                  <w:pPr>
                    <w:widowControl/>
                    <w:snapToGrid w:val="0"/>
                    <w:spacing w:line="300" w:lineRule="exact"/>
                    <w:jc w:val="cente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井段(m)</w:t>
                  </w:r>
                </w:p>
              </w:tc>
              <w:tc>
                <w:tcPr>
                  <w:tcW w:w="875" w:type="pct"/>
                  <w:tcBorders>
                    <w:bottom w:val="single" w:color="auto" w:sz="4" w:space="0"/>
                  </w:tcBorders>
                  <w:vAlign w:val="center"/>
                </w:tcPr>
                <w:p w14:paraId="1007E088">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r>
                    <w:rPr>
                      <w:rFonts w:hint="eastAsia"/>
                      <w:b w:val="0"/>
                      <w:bCs w:val="0"/>
                      <w:color w:val="0D0D0D" w:themeColor="text1" w:themeTint="F2"/>
                      <w:sz w:val="21"/>
                      <w:szCs w:val="21"/>
                      <w14:textFill>
                        <w14:solidFill>
                          <w14:schemeClr w14:val="tx1">
                            <w14:lumMod w14:val="95000"/>
                            <w14:lumOff w14:val="5000"/>
                          </w14:schemeClr>
                        </w14:solidFill>
                      </w14:textFill>
                    </w:rPr>
                    <w:t>岩屑产生量</w:t>
                  </w:r>
                </w:p>
              </w:tc>
              <w:tc>
                <w:tcPr>
                  <w:tcW w:w="619" w:type="pct"/>
                  <w:tcBorders>
                    <w:bottom w:val="single" w:color="auto" w:sz="4" w:space="0"/>
                  </w:tcBorders>
                  <w:vAlign w:val="center"/>
                </w:tcPr>
                <w:p w14:paraId="193D6EF7">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r>
                    <w:rPr>
                      <w:rFonts w:hint="eastAsia"/>
                      <w:b w:val="0"/>
                      <w:bCs w:val="0"/>
                      <w:color w:val="0D0D0D" w:themeColor="text1" w:themeTint="F2"/>
                      <w:sz w:val="21"/>
                      <w:szCs w:val="21"/>
                      <w14:textFill>
                        <w14:solidFill>
                          <w14:schemeClr w14:val="tx1">
                            <w14:lumMod w14:val="95000"/>
                            <w14:lumOff w14:val="5000"/>
                          </w14:schemeClr>
                        </w14:solidFill>
                      </w14:textFill>
                    </w:rPr>
                    <w:t>合计</w:t>
                  </w:r>
                </w:p>
              </w:tc>
            </w:tr>
            <w:tr w14:paraId="6EE87D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23" w:type="pct"/>
                  <w:vMerge w:val="restart"/>
                  <w:vAlign w:val="center"/>
                </w:tcPr>
                <w:p w14:paraId="1D437EF6">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r>
                    <w:rPr>
                      <w:rFonts w:hint="eastAsia"/>
                      <w:b w:val="0"/>
                      <w:bCs w:val="0"/>
                      <w:color w:val="0D0D0D" w:themeColor="text1" w:themeTint="F2"/>
                      <w:sz w:val="21"/>
                      <w:szCs w:val="21"/>
                      <w14:textFill>
                        <w14:solidFill>
                          <w14:schemeClr w14:val="tx1">
                            <w14:lumMod w14:val="95000"/>
                            <w14:lumOff w14:val="5000"/>
                          </w14:schemeClr>
                        </w14:solidFill>
                      </w14:textFill>
                    </w:rPr>
                    <w:t>曙探1井</w:t>
                  </w:r>
                </w:p>
              </w:tc>
              <w:tc>
                <w:tcPr>
                  <w:tcW w:w="618" w:type="pct"/>
                  <w:vAlign w:val="center"/>
                </w:tcPr>
                <w:p w14:paraId="416A53FF">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r>
                    <w:rPr>
                      <w:rFonts w:hint="eastAsia"/>
                      <w:b w:val="0"/>
                      <w:bCs w:val="0"/>
                      <w:color w:val="0D0D0D" w:themeColor="text1" w:themeTint="F2"/>
                      <w:sz w:val="21"/>
                      <w:szCs w:val="21"/>
                      <w14:textFill>
                        <w14:solidFill>
                          <w14:schemeClr w14:val="tx1">
                            <w14:lumMod w14:val="95000"/>
                            <w14:lumOff w14:val="5000"/>
                          </w14:schemeClr>
                        </w14:solidFill>
                      </w14:textFill>
                    </w:rPr>
                    <w:t>一开</w:t>
                  </w:r>
                </w:p>
              </w:tc>
              <w:tc>
                <w:tcPr>
                  <w:tcW w:w="521" w:type="pct"/>
                  <w:vAlign w:val="center"/>
                </w:tcPr>
                <w:p w14:paraId="2725330F">
                  <w:pPr>
                    <w:pStyle w:val="51"/>
                    <w:rPr>
                      <w:rFonts w:hint="eastAsia"/>
                      <w:b/>
                      <w:bCs/>
                    </w:rPr>
                  </w:pPr>
                  <w:r>
                    <w:rPr>
                      <w:rFonts w:hint="eastAsia"/>
                    </w:rPr>
                    <w:t>水基钻井液</w:t>
                  </w:r>
                </w:p>
              </w:tc>
              <w:tc>
                <w:tcPr>
                  <w:tcW w:w="1251" w:type="pct"/>
                  <w:vAlign w:val="center"/>
                </w:tcPr>
                <w:p w14:paraId="59247C9F">
                  <w:pPr>
                    <w:pStyle w:val="51"/>
                    <w:rPr>
                      <w:rFonts w:hint="eastAsia"/>
                    </w:rPr>
                  </w:pPr>
                  <w:r>
                    <w:t>660.4</w:t>
                  </w:r>
                </w:p>
              </w:tc>
              <w:tc>
                <w:tcPr>
                  <w:tcW w:w="793" w:type="pct"/>
                  <w:vAlign w:val="center"/>
                </w:tcPr>
                <w:p w14:paraId="67CDC61D">
                  <w:pPr>
                    <w:pStyle w:val="51"/>
                    <w:rPr>
                      <w:rFonts w:hint="eastAsia"/>
                    </w:rPr>
                  </w:pPr>
                  <w:r>
                    <w:t>1400</w:t>
                  </w:r>
                </w:p>
              </w:tc>
              <w:tc>
                <w:tcPr>
                  <w:tcW w:w="875" w:type="pct"/>
                  <w:vAlign w:val="center"/>
                </w:tcPr>
                <w:p w14:paraId="5C362505">
                  <w:pPr>
                    <w:widowControl/>
                    <w:snapToGrid w:val="0"/>
                    <w:spacing w:line="300" w:lineRule="exact"/>
                    <w:jc w:val="cente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1054m</w:t>
                  </w:r>
                  <w:r>
                    <w:rPr>
                      <w:rFonts w:hint="eastAsia"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p>
              </w:tc>
              <w:tc>
                <w:tcPr>
                  <w:tcW w:w="619" w:type="pct"/>
                  <w:vAlign w:val="center"/>
                </w:tcPr>
                <w:p w14:paraId="24370C88">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r>
                    <w:rPr>
                      <w:rFonts w:hint="eastAsia"/>
                      <w:b w:val="0"/>
                      <w:bCs w:val="0"/>
                      <w:color w:val="0D0D0D" w:themeColor="text1" w:themeTint="F2"/>
                      <w:sz w:val="21"/>
                      <w:szCs w:val="21"/>
                      <w14:textFill>
                        <w14:solidFill>
                          <w14:schemeClr w14:val="tx1">
                            <w14:lumMod w14:val="95000"/>
                            <w14:lumOff w14:val="5000"/>
                          </w14:schemeClr>
                        </w14:solidFill>
                      </w14:textFill>
                    </w:rPr>
                    <w:t>1054m</w:t>
                  </w:r>
                  <w:r>
                    <w:rPr>
                      <w:rFonts w:hint="eastAsia"/>
                      <w:b w:val="0"/>
                      <w:bCs w:val="0"/>
                      <w:color w:val="0D0D0D" w:themeColor="text1" w:themeTint="F2"/>
                      <w:sz w:val="21"/>
                      <w:szCs w:val="21"/>
                      <w:vertAlign w:val="superscript"/>
                      <w14:textFill>
                        <w14:solidFill>
                          <w14:schemeClr w14:val="tx1">
                            <w14:lumMod w14:val="95000"/>
                            <w14:lumOff w14:val="5000"/>
                          </w14:schemeClr>
                        </w14:solidFill>
                      </w14:textFill>
                    </w:rPr>
                    <w:t>3</w:t>
                  </w:r>
                </w:p>
              </w:tc>
            </w:tr>
            <w:tr w14:paraId="5D2AC1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23" w:type="pct"/>
                  <w:vMerge w:val="continue"/>
                  <w:vAlign w:val="center"/>
                </w:tcPr>
                <w:p w14:paraId="68224A0B">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p>
              </w:tc>
              <w:tc>
                <w:tcPr>
                  <w:tcW w:w="618" w:type="pct"/>
                  <w:vAlign w:val="center"/>
                </w:tcPr>
                <w:p w14:paraId="067F861B">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r>
                    <w:rPr>
                      <w:rFonts w:hint="eastAsia"/>
                      <w:b w:val="0"/>
                      <w:bCs w:val="0"/>
                      <w:color w:val="0D0D0D" w:themeColor="text1" w:themeTint="F2"/>
                      <w:sz w:val="21"/>
                      <w:szCs w:val="21"/>
                      <w14:textFill>
                        <w14:solidFill>
                          <w14:schemeClr w14:val="tx1">
                            <w14:lumMod w14:val="95000"/>
                            <w14:lumOff w14:val="5000"/>
                          </w14:schemeClr>
                        </w14:solidFill>
                      </w14:textFill>
                    </w:rPr>
                    <w:t>二开</w:t>
                  </w:r>
                </w:p>
              </w:tc>
              <w:tc>
                <w:tcPr>
                  <w:tcW w:w="521" w:type="pct"/>
                  <w:vMerge w:val="restart"/>
                  <w:vAlign w:val="center"/>
                </w:tcPr>
                <w:p w14:paraId="654861D1">
                  <w:pPr>
                    <w:pStyle w:val="51"/>
                    <w:rPr>
                      <w:rFonts w:hint="eastAsia"/>
                      <w:b/>
                      <w:bCs/>
                    </w:rPr>
                  </w:pPr>
                  <w:r>
                    <w:rPr>
                      <w:rFonts w:hint="eastAsia"/>
                    </w:rPr>
                    <w:t>油基钻井液</w:t>
                  </w:r>
                </w:p>
              </w:tc>
              <w:tc>
                <w:tcPr>
                  <w:tcW w:w="1251" w:type="pct"/>
                  <w:vAlign w:val="center"/>
                </w:tcPr>
                <w:p w14:paraId="24DD8EFB">
                  <w:pPr>
                    <w:pStyle w:val="51"/>
                    <w:rPr>
                      <w:rFonts w:hint="eastAsia"/>
                    </w:rPr>
                  </w:pPr>
                  <w:r>
                    <w:t>444.5</w:t>
                  </w:r>
                </w:p>
              </w:tc>
              <w:tc>
                <w:tcPr>
                  <w:tcW w:w="793" w:type="pct"/>
                  <w:vAlign w:val="center"/>
                </w:tcPr>
                <w:p w14:paraId="62C2F6EB">
                  <w:pPr>
                    <w:pStyle w:val="51"/>
                    <w:rPr>
                      <w:rFonts w:hint="eastAsia"/>
                    </w:rPr>
                  </w:pPr>
                  <w:r>
                    <w:rPr>
                      <w:rFonts w:hint="eastAsia"/>
                    </w:rPr>
                    <w:t>3900</w:t>
                  </w:r>
                </w:p>
              </w:tc>
              <w:tc>
                <w:tcPr>
                  <w:tcW w:w="875" w:type="pct"/>
                  <w:vAlign w:val="center"/>
                </w:tcPr>
                <w:p w14:paraId="6C877700">
                  <w:pPr>
                    <w:widowControl/>
                    <w:snapToGrid w:val="0"/>
                    <w:spacing w:line="300" w:lineRule="exact"/>
                    <w:jc w:val="cente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pPr>
                  <w:r>
                    <w:rPr>
                      <w:rFonts w:hint="eastAsia" w:ascii="宋体" w:hAnsi="宋体" w:cs="宋体"/>
                      <w:color w:val="0D0D0D" w:themeColor="text1" w:themeTint="F2"/>
                      <w:kern w:val="0"/>
                      <w:sz w:val="21"/>
                      <w:szCs w:val="21"/>
                      <w14:textFill>
                        <w14:solidFill>
                          <w14:schemeClr w14:val="tx1">
                            <w14:lumMod w14:val="95000"/>
                            <w14:lumOff w14:val="5000"/>
                          </w14:schemeClr>
                        </w14:solidFill>
                      </w14:textFill>
                    </w:rPr>
                    <w:t>4847t</w:t>
                  </w:r>
                </w:p>
              </w:tc>
              <w:tc>
                <w:tcPr>
                  <w:tcW w:w="619" w:type="pct"/>
                  <w:vMerge w:val="restart"/>
                  <w:vAlign w:val="center"/>
                </w:tcPr>
                <w:p w14:paraId="23ED2ED7">
                  <w:pPr>
                    <w:pStyle w:val="51"/>
                    <w:rPr>
                      <w:rFonts w:hint="eastAsia"/>
                      <w:b/>
                      <w:bCs/>
                    </w:rPr>
                  </w:pPr>
                  <w:r>
                    <w:rPr>
                      <w:rFonts w:hint="eastAsia"/>
                    </w:rPr>
                    <w:t>8262t</w:t>
                  </w:r>
                </w:p>
              </w:tc>
            </w:tr>
            <w:tr w14:paraId="0779AE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23" w:type="pct"/>
                  <w:vMerge w:val="continue"/>
                  <w:vAlign w:val="center"/>
                </w:tcPr>
                <w:p w14:paraId="78C73A5F">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p>
              </w:tc>
              <w:tc>
                <w:tcPr>
                  <w:tcW w:w="618" w:type="pct"/>
                  <w:vAlign w:val="center"/>
                </w:tcPr>
                <w:p w14:paraId="0E175084">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r>
                    <w:rPr>
                      <w:rFonts w:hint="eastAsia"/>
                      <w:b w:val="0"/>
                      <w:bCs w:val="0"/>
                      <w:color w:val="0D0D0D" w:themeColor="text1" w:themeTint="F2"/>
                      <w:sz w:val="21"/>
                      <w:szCs w:val="21"/>
                      <w14:textFill>
                        <w14:solidFill>
                          <w14:schemeClr w14:val="tx1">
                            <w14:lumMod w14:val="95000"/>
                            <w14:lumOff w14:val="5000"/>
                          </w14:schemeClr>
                        </w14:solidFill>
                      </w14:textFill>
                    </w:rPr>
                    <w:t>三开</w:t>
                  </w:r>
                </w:p>
              </w:tc>
              <w:tc>
                <w:tcPr>
                  <w:tcW w:w="521" w:type="pct"/>
                  <w:vMerge w:val="continue"/>
                  <w:vAlign w:val="center"/>
                </w:tcPr>
                <w:p w14:paraId="2F789120">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p>
              </w:tc>
              <w:tc>
                <w:tcPr>
                  <w:tcW w:w="1251" w:type="pct"/>
                  <w:vAlign w:val="center"/>
                </w:tcPr>
                <w:p w14:paraId="3F6442CE">
                  <w:pPr>
                    <w:pStyle w:val="51"/>
                    <w:rPr>
                      <w:rFonts w:hint="eastAsia"/>
                    </w:rPr>
                  </w:pPr>
                  <w:r>
                    <w:t>333.4</w:t>
                  </w:r>
                </w:p>
              </w:tc>
              <w:tc>
                <w:tcPr>
                  <w:tcW w:w="793" w:type="pct"/>
                  <w:vAlign w:val="center"/>
                </w:tcPr>
                <w:p w14:paraId="0463ABEF">
                  <w:pPr>
                    <w:pStyle w:val="51"/>
                    <w:rPr>
                      <w:rFonts w:hint="eastAsia"/>
                    </w:rPr>
                  </w:pPr>
                  <w:r>
                    <w:t>5700</w:t>
                  </w:r>
                </w:p>
              </w:tc>
              <w:tc>
                <w:tcPr>
                  <w:tcW w:w="875" w:type="pct"/>
                  <w:vAlign w:val="center"/>
                </w:tcPr>
                <w:p w14:paraId="7EC7B428">
                  <w:pPr>
                    <w:widowControl/>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1963t</w:t>
                  </w:r>
                </w:p>
              </w:tc>
              <w:tc>
                <w:tcPr>
                  <w:tcW w:w="619" w:type="pct"/>
                  <w:vMerge w:val="continue"/>
                  <w:vAlign w:val="center"/>
                </w:tcPr>
                <w:p w14:paraId="4E57558C">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p>
              </w:tc>
            </w:tr>
            <w:tr w14:paraId="3A606F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23" w:type="pct"/>
                  <w:vMerge w:val="continue"/>
                  <w:vAlign w:val="center"/>
                </w:tcPr>
                <w:p w14:paraId="6556094B">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p>
              </w:tc>
              <w:tc>
                <w:tcPr>
                  <w:tcW w:w="618" w:type="pct"/>
                  <w:vAlign w:val="center"/>
                </w:tcPr>
                <w:p w14:paraId="30AF7F61">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r>
                    <w:rPr>
                      <w:rFonts w:hint="eastAsia"/>
                      <w:b w:val="0"/>
                      <w:bCs w:val="0"/>
                      <w:color w:val="0D0D0D" w:themeColor="text1" w:themeTint="F2"/>
                      <w:sz w:val="21"/>
                      <w:szCs w:val="21"/>
                      <w14:textFill>
                        <w14:solidFill>
                          <w14:schemeClr w14:val="tx1">
                            <w14:lumMod w14:val="95000"/>
                            <w14:lumOff w14:val="5000"/>
                          </w14:schemeClr>
                        </w14:solidFill>
                      </w14:textFill>
                    </w:rPr>
                    <w:t>四开</w:t>
                  </w:r>
                </w:p>
              </w:tc>
              <w:tc>
                <w:tcPr>
                  <w:tcW w:w="521" w:type="pct"/>
                  <w:vMerge w:val="continue"/>
                  <w:vAlign w:val="center"/>
                </w:tcPr>
                <w:p w14:paraId="57B66CC0">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p>
              </w:tc>
              <w:tc>
                <w:tcPr>
                  <w:tcW w:w="1251" w:type="pct"/>
                  <w:vAlign w:val="center"/>
                </w:tcPr>
                <w:p w14:paraId="0C76EAA7">
                  <w:pPr>
                    <w:pStyle w:val="51"/>
                    <w:rPr>
                      <w:rFonts w:hint="eastAsia"/>
                    </w:rPr>
                  </w:pPr>
                  <w:r>
                    <w:t>241.3</w:t>
                  </w:r>
                </w:p>
              </w:tc>
              <w:tc>
                <w:tcPr>
                  <w:tcW w:w="793" w:type="pct"/>
                  <w:vAlign w:val="center"/>
                </w:tcPr>
                <w:p w14:paraId="4914C788">
                  <w:pPr>
                    <w:pStyle w:val="51"/>
                    <w:rPr>
                      <w:rFonts w:hint="eastAsia"/>
                    </w:rPr>
                  </w:pPr>
                  <w:r>
                    <w:t>7</w:t>
                  </w:r>
                  <w:r>
                    <w:rPr>
                      <w:rFonts w:hint="eastAsia"/>
                    </w:rPr>
                    <w:t>70</w:t>
                  </w:r>
                  <w:r>
                    <w:t>0</w:t>
                  </w:r>
                </w:p>
              </w:tc>
              <w:tc>
                <w:tcPr>
                  <w:tcW w:w="875" w:type="pct"/>
                  <w:vAlign w:val="center"/>
                </w:tcPr>
                <w:p w14:paraId="3D379575">
                  <w:pPr>
                    <w:widowControl/>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1327t</w:t>
                  </w:r>
                </w:p>
              </w:tc>
              <w:tc>
                <w:tcPr>
                  <w:tcW w:w="619" w:type="pct"/>
                  <w:vMerge w:val="continue"/>
                  <w:vAlign w:val="center"/>
                </w:tcPr>
                <w:p w14:paraId="186D764F">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p>
              </w:tc>
            </w:tr>
            <w:tr w14:paraId="656C9A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23" w:type="pct"/>
                  <w:vMerge w:val="continue"/>
                  <w:vAlign w:val="center"/>
                </w:tcPr>
                <w:p w14:paraId="35568DFC">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p>
              </w:tc>
              <w:tc>
                <w:tcPr>
                  <w:tcW w:w="618" w:type="pct"/>
                  <w:vAlign w:val="center"/>
                </w:tcPr>
                <w:p w14:paraId="5491C800">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r>
                    <w:rPr>
                      <w:rFonts w:hint="eastAsia"/>
                      <w:b w:val="0"/>
                      <w:bCs w:val="0"/>
                      <w:color w:val="0D0D0D" w:themeColor="text1" w:themeTint="F2"/>
                      <w:sz w:val="21"/>
                      <w:szCs w:val="21"/>
                      <w14:textFill>
                        <w14:solidFill>
                          <w14:schemeClr w14:val="tx1">
                            <w14:lumMod w14:val="95000"/>
                            <w14:lumOff w14:val="5000"/>
                          </w14:schemeClr>
                        </w14:solidFill>
                      </w14:textFill>
                    </w:rPr>
                    <w:t>五开</w:t>
                  </w:r>
                </w:p>
              </w:tc>
              <w:tc>
                <w:tcPr>
                  <w:tcW w:w="521" w:type="pct"/>
                  <w:vMerge w:val="continue"/>
                  <w:vAlign w:val="center"/>
                </w:tcPr>
                <w:p w14:paraId="77B27E77">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p>
              </w:tc>
              <w:tc>
                <w:tcPr>
                  <w:tcW w:w="1251" w:type="pct"/>
                  <w:vAlign w:val="center"/>
                </w:tcPr>
                <w:p w14:paraId="15AA8C9A">
                  <w:pPr>
                    <w:pStyle w:val="51"/>
                    <w:rPr>
                      <w:rFonts w:hint="eastAsia"/>
                    </w:rPr>
                  </w:pPr>
                  <w:r>
                    <w:rPr>
                      <w:rFonts w:hint="eastAsia"/>
                    </w:rPr>
                    <w:t>171</w:t>
                  </w:r>
                  <w:r>
                    <w:t>.5</w:t>
                  </w:r>
                </w:p>
              </w:tc>
              <w:tc>
                <w:tcPr>
                  <w:tcW w:w="793" w:type="pct"/>
                  <w:vAlign w:val="center"/>
                </w:tcPr>
                <w:p w14:paraId="4AE09CAD">
                  <w:pPr>
                    <w:pStyle w:val="51"/>
                    <w:rPr>
                      <w:rFonts w:hint="eastAsia"/>
                    </w:rPr>
                  </w:pPr>
                  <w:r>
                    <w:t>8050</w:t>
                  </w:r>
                </w:p>
              </w:tc>
              <w:tc>
                <w:tcPr>
                  <w:tcW w:w="875" w:type="pct"/>
                  <w:vAlign w:val="center"/>
                </w:tcPr>
                <w:p w14:paraId="25E7838C">
                  <w:pPr>
                    <w:widowControl/>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125t</w:t>
                  </w:r>
                </w:p>
              </w:tc>
              <w:tc>
                <w:tcPr>
                  <w:tcW w:w="619" w:type="pct"/>
                  <w:vMerge w:val="continue"/>
                  <w:vAlign w:val="center"/>
                </w:tcPr>
                <w:p w14:paraId="3DAE5E83">
                  <w:pPr>
                    <w:pStyle w:val="11"/>
                    <w:spacing w:line="300" w:lineRule="exact"/>
                    <w:ind w:firstLine="0" w:firstLineChars="0"/>
                    <w:jc w:val="center"/>
                    <w:rPr>
                      <w:rFonts w:hint="eastAsia"/>
                      <w:b w:val="0"/>
                      <w:bCs w:val="0"/>
                      <w:color w:val="0D0D0D" w:themeColor="text1" w:themeTint="F2"/>
                      <w:sz w:val="21"/>
                      <w:szCs w:val="21"/>
                      <w14:textFill>
                        <w14:solidFill>
                          <w14:schemeClr w14:val="tx1">
                            <w14:lumMod w14:val="95000"/>
                            <w14:lumOff w14:val="5000"/>
                          </w14:schemeClr>
                        </w14:solidFill>
                      </w14:textFill>
                    </w:rPr>
                  </w:pPr>
                </w:p>
              </w:tc>
            </w:tr>
          </w:tbl>
          <w:p w14:paraId="534AD5E8">
            <w:pPr>
              <w:pStyle w:val="38"/>
              <w:ind w:firstLine="480"/>
              <w:rPr>
                <w:rFonts w:hint="eastAsia"/>
              </w:rPr>
            </w:pPr>
            <w:r>
              <w:rPr>
                <w:rFonts w:hint="eastAsia"/>
              </w:rPr>
              <w:t>由表18可知，</w:t>
            </w:r>
            <w:bookmarkEnd w:id="98"/>
            <w:bookmarkEnd w:id="101"/>
            <w:r>
              <w:t>钻井岩屑产生量为</w:t>
            </w:r>
            <w:r>
              <w:rPr>
                <w:rFonts w:hint="eastAsia"/>
              </w:rPr>
              <w:t>1054</w:t>
            </w:r>
            <w:r>
              <w:t>m</w:t>
            </w:r>
            <w:r>
              <w:rPr>
                <w:vertAlign w:val="superscript"/>
              </w:rPr>
              <w:t>3</w:t>
            </w:r>
            <w:r>
              <w:t>，油基钻井岩屑产生量为</w:t>
            </w:r>
            <w:r>
              <w:rPr>
                <w:rFonts w:hint="eastAsia"/>
              </w:rPr>
              <w:t>8262</w:t>
            </w:r>
            <w:r>
              <w:t>t。</w:t>
            </w:r>
          </w:p>
          <w:p w14:paraId="3A99D81B">
            <w:pPr>
              <w:pStyle w:val="11"/>
              <w:ind w:firstLine="480"/>
              <w:rPr>
                <w:rFonts w:hint="eastAsia"/>
                <w:b w:val="0"/>
                <w:bCs w:val="0"/>
                <w:color w:val="0D0D0D" w:themeColor="text1" w:themeTint="F2"/>
                <w14:textFill>
                  <w14:solidFill>
                    <w14:schemeClr w14:val="tx1">
                      <w14:lumMod w14:val="95000"/>
                      <w14:lumOff w14:val="5000"/>
                    </w14:schemeClr>
                  </w14:solidFill>
                </w14:textFill>
              </w:rPr>
            </w:pPr>
            <w:bookmarkStart w:id="102" w:name="_Hlk208324455"/>
            <w:bookmarkStart w:id="103" w:name="_Hlk213895588"/>
            <w:bookmarkStart w:id="104" w:name="_Hlk213896013"/>
            <w:r>
              <w:rPr>
                <w:rFonts w:hint="eastAsia"/>
                <w:b w:val="0"/>
                <w:bCs w:val="0"/>
                <w:color w:val="0D0D0D" w:themeColor="text1" w:themeTint="F2"/>
                <w14:textFill>
                  <w14:solidFill>
                    <w14:schemeClr w14:val="tx1">
                      <w14:lumMod w14:val="95000"/>
                      <w14:lumOff w14:val="5000"/>
                    </w14:schemeClr>
                  </w14:solidFill>
                </w14:textFill>
              </w:rPr>
              <w:t>钻井井场设1套钻井液不落地设备，</w:t>
            </w:r>
            <w:bookmarkEnd w:id="102"/>
            <w:r>
              <w:rPr>
                <w:rFonts w:hint="eastAsia"/>
                <w:b w:val="0"/>
                <w:bCs w:val="0"/>
                <w:color w:val="0D0D0D" w:themeColor="text1" w:themeTint="F2"/>
                <w14:textFill>
                  <w14:solidFill>
                    <w14:schemeClr w14:val="tx1">
                      <w14:lumMod w14:val="95000"/>
                      <w14:lumOff w14:val="5000"/>
                    </w14:schemeClr>
                  </w14:solidFill>
                </w14:textFill>
              </w:rPr>
              <w:t>分离出的液相回用于钻井，分离出的水基钻井岩屑暂存于水基钻井岩屑方罐中，由岩屑处置单位负责拉运和处理，满足《油气田钻井固体废弃物综合利用污染物控制要求》（DB65/T3997-2017）相关要求后可进行综合利用</w:t>
            </w:r>
            <w:bookmarkStart w:id="105" w:name="_Hlk208324466"/>
            <w:r>
              <w:rPr>
                <w:b w:val="0"/>
                <w:bCs w:val="0"/>
                <w:color w:val="0D0D0D" w:themeColor="text1" w:themeTint="F2"/>
                <w14:textFill>
                  <w14:solidFill>
                    <w14:schemeClr w14:val="tx1">
                      <w14:lumMod w14:val="95000"/>
                      <w14:lumOff w14:val="5000"/>
                    </w14:schemeClr>
                  </w14:solidFill>
                </w14:textFill>
              </w:rPr>
              <w:t>；分离出的油基钻井岩屑属于《国家危险废物名录》（2025年版）HW08类危险废物（废物代码：071-002-08，危险特性：毒性），进油基钻井岩屑专用方罐暂存，最终交由有相应危险废物处置资质的单位处置</w:t>
            </w:r>
            <w:r>
              <w:rPr>
                <w:rFonts w:hint="eastAsia"/>
                <w:b w:val="0"/>
                <w:bCs w:val="0"/>
                <w:color w:val="0D0D0D" w:themeColor="text1" w:themeTint="F2"/>
                <w14:textFill>
                  <w14:solidFill>
                    <w14:schemeClr w14:val="tx1">
                      <w14:lumMod w14:val="95000"/>
                      <w14:lumOff w14:val="5000"/>
                    </w14:schemeClr>
                  </w14:solidFill>
                </w14:textFill>
              </w:rPr>
              <w:t>。</w:t>
            </w:r>
          </w:p>
          <w:bookmarkEnd w:id="103"/>
          <w:bookmarkEnd w:id="105"/>
          <w:p w14:paraId="3B044E4A">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2</w:t>
            </w:r>
            <w:r>
              <w:rPr>
                <w:rFonts w:hint="eastAsia"/>
                <w:color w:val="0D0D0D" w:themeColor="text1" w:themeTint="F2"/>
                <w14:textFill>
                  <w14:solidFill>
                    <w14:schemeClr w14:val="tx1">
                      <w14:lumMod w14:val="95000"/>
                      <w14:lumOff w14:val="5000"/>
                    </w14:schemeClr>
                  </w14:solidFill>
                </w14:textFill>
              </w:rPr>
              <w:t>）沾油废防渗材料</w:t>
            </w:r>
          </w:p>
          <w:p w14:paraId="2F3C357D">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结束对场地进行清理时，会产生一定的废防渗材料，未沾油防渗材料由施工单位集中回收利用，沾油废防渗材料属于《国家危险废物名录》（2025年版）中的HW08废矿物油与含矿物油类危险废物（废物代码为900-249-08，危险特性为毒性和易燃性），分区暂存在井场设置的危险废物贮存点，定期由具有相应危险废物处置资质的单位进行接收、转运和处置。</w:t>
            </w:r>
          </w:p>
          <w:p w14:paraId="33DCD6A0">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3</w:t>
            </w:r>
            <w:r>
              <w:rPr>
                <w:rFonts w:hint="eastAsia"/>
                <w:color w:val="0D0D0D" w:themeColor="text1" w:themeTint="F2"/>
                <w14:textFill>
                  <w14:solidFill>
                    <w14:schemeClr w14:val="tx1">
                      <w14:lumMod w14:val="95000"/>
                      <w14:lumOff w14:val="5000"/>
                    </w14:schemeClr>
                  </w14:solidFill>
                </w14:textFill>
              </w:rPr>
              <w:t>）废润滑油及废润滑油桶</w:t>
            </w:r>
          </w:p>
          <w:p w14:paraId="3A228647">
            <w:pPr>
              <w:pStyle w:val="38"/>
              <w:ind w:firstLine="480"/>
              <w:rPr>
                <w:rFonts w:hint="eastAsia"/>
                <w:color w:val="0D0D0D" w:themeColor="text1" w:themeTint="F2"/>
                <w14:textFill>
                  <w14:solidFill>
                    <w14:schemeClr w14:val="tx1">
                      <w14:lumMod w14:val="95000"/>
                      <w14:lumOff w14:val="5000"/>
                    </w14:schemeClr>
                  </w14:solidFill>
                </w14:textFill>
              </w:rPr>
            </w:pPr>
            <w:bookmarkStart w:id="106" w:name="_Hlk143012744"/>
            <w:r>
              <w:rPr>
                <w:rFonts w:hint="eastAsia"/>
                <w:color w:val="0D0D0D" w:themeColor="text1" w:themeTint="F2"/>
                <w14:textFill>
                  <w14:solidFill>
                    <w14:schemeClr w14:val="tx1">
                      <w14:lumMod w14:val="95000"/>
                      <w14:lumOff w14:val="5000"/>
                    </w14:schemeClr>
                  </w14:solidFill>
                </w14:textFill>
              </w:rPr>
              <w:t>施工过程中，若遇到机械、设备需要检修与维护的情况会产生一定量的废润滑油及废润滑油桶，属于间歇产生。废润滑油、废润滑油桶均属于《国家危险废物名录》（2025年版）中的HW08废矿物油与含矿物油类危险废物，废物代码分别为900-214-08（危险特性：毒性、易燃性）、900-249-08（危险特性：毒性、易燃性），分区暂存在井场设置的危险废物贮存点，定期由具有相应危险废物处置资质的单位进行接收、转运和处置。</w:t>
            </w:r>
          </w:p>
          <w:bookmarkEnd w:id="106"/>
          <w:p w14:paraId="59861693">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（4）生活垃圾</w:t>
            </w:r>
          </w:p>
          <w:p w14:paraId="081CFBDE">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施工期生活垃圾产生量按0.</w:t>
            </w:r>
            <w:r>
              <w:rPr>
                <w:color w:val="0D0D0D" w:themeColor="text1" w:themeTint="F2"/>
                <w14:textFill>
                  <w14:solidFill>
                    <w14:schemeClr w14:val="tx1">
                      <w14:lumMod w14:val="95000"/>
                      <w14:lumOff w14:val="5000"/>
                    </w14:schemeClr>
                  </w14:solidFill>
                </w14:textFill>
              </w:rPr>
              <w:t>8</w:t>
            </w:r>
            <w:r>
              <w:rPr>
                <w:rFonts w:hint="eastAsia"/>
                <w:color w:val="0D0D0D" w:themeColor="text1" w:themeTint="F2"/>
                <w14:textFill>
                  <w14:solidFill>
                    <w14:schemeClr w14:val="tx1">
                      <w14:lumMod w14:val="95000"/>
                      <w14:lumOff w14:val="5000"/>
                    </w14:schemeClr>
                  </w14:solidFill>
                </w14:textFill>
              </w:rPr>
              <w:t>kg/人·d计算，则施工期间生活垃圾产生量约7t，生活垃圾由垃圾箱收集，定期委托清运至呼图壁县生活垃圾填埋场进行处理。</w:t>
            </w:r>
          </w:p>
          <w:p w14:paraId="5AF72DCB">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（5）建筑垃圾</w:t>
            </w:r>
          </w:p>
          <w:p w14:paraId="57A49CC9">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bCs/>
                <w:color w:val="0D0D0D" w:themeColor="text1" w:themeTint="F2"/>
                <w14:textFill>
                  <w14:solidFill>
                    <w14:schemeClr w14:val="tx1">
                      <w14:lumMod w14:val="95000"/>
                      <w14:lumOff w14:val="5000"/>
                    </w14:schemeClr>
                  </w14:solidFill>
                </w14:textFill>
              </w:rPr>
              <w:t>建筑垃圾主要为</w:t>
            </w:r>
            <w:r>
              <w:rPr>
                <w:rFonts w:hint="eastAsia"/>
                <w:color w:val="0D0D0D" w:themeColor="text1" w:themeTint="F2"/>
                <w14:textFill>
                  <w14:solidFill>
                    <w14:schemeClr w14:val="tx1">
                      <w14:lumMod w14:val="95000"/>
                      <w14:lumOff w14:val="5000"/>
                    </w14:schemeClr>
                  </w14:solidFill>
                </w14:textFill>
              </w:rPr>
              <w:t>废边角料、</w:t>
            </w:r>
            <w:bookmarkStart w:id="107" w:name="_Hlk208323716"/>
            <w:r>
              <w:rPr>
                <w:rFonts w:hint="eastAsia"/>
                <w:color w:val="0D0D0D" w:themeColor="text1" w:themeTint="F2"/>
                <w14:textFill>
                  <w14:solidFill>
                    <w14:schemeClr w14:val="tx1">
                      <w14:lumMod w14:val="95000"/>
                      <w14:lumOff w14:val="5000"/>
                    </w14:schemeClr>
                  </w14:solidFill>
                </w14:textFill>
              </w:rPr>
              <w:t>废包装物等</w:t>
            </w:r>
            <w:r>
              <w:rPr>
                <w:rFonts w:hint="eastAsia"/>
                <w:bCs/>
                <w:color w:val="0D0D0D" w:themeColor="text1" w:themeTint="F2"/>
                <w14:textFill>
                  <w14:solidFill>
                    <w14:schemeClr w14:val="tx1">
                      <w14:lumMod w14:val="95000"/>
                      <w14:lumOff w14:val="5000"/>
                    </w14:schemeClr>
                  </w14:solidFill>
                </w14:textFill>
              </w:rPr>
              <w:t>，</w:t>
            </w:r>
            <w:r>
              <w:rPr>
                <w:rFonts w:hint="eastAsia"/>
                <w:color w:val="0D0D0D" w:themeColor="text1" w:themeTint="F2"/>
                <w14:textFill>
                  <w14:solidFill>
                    <w14:schemeClr w14:val="tx1">
                      <w14:lumMod w14:val="95000"/>
                      <w14:lumOff w14:val="5000"/>
                    </w14:schemeClr>
                  </w14:solidFill>
                </w14:textFill>
              </w:rPr>
              <w:t>产生量较少，施工结束后集中收集，可以回收利用的优先回收利用，不能回收利用由钻井队负责清运。</w:t>
            </w:r>
          </w:p>
          <w:bookmarkEnd w:id="107"/>
          <w:p w14:paraId="611FB544">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综上所述，施工期产生的固体废物可得到妥善处置，不会对周围环境造成不良影响。</w:t>
            </w:r>
          </w:p>
          <w:bookmarkEnd w:id="104"/>
          <w:p w14:paraId="1879E146">
            <w:pPr>
              <w:pStyle w:val="11"/>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8、环境风险影响分析</w:t>
            </w:r>
          </w:p>
          <w:p w14:paraId="16C3FFAB">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（1）评价依据</w:t>
            </w:r>
          </w:p>
          <w:p w14:paraId="7833F04D">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施工期涉及的危险物质主要为柴油、白油、原油、伴生气（主要成分为天然气）、伴生气中可能存在的少量硫化氢和危险废物（废润滑油、废润滑油桶、沾油废防渗材料）。</w:t>
            </w:r>
          </w:p>
          <w:p w14:paraId="7B96A81D">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根据《建设项目环境风险评价技术导则》（HJ 169-2018）附录B可知，柴油、白油、废润滑油属于“油类物质”，废润滑油桶、沾油废防渗材料为含油废物（各危险物质在线量分别以沾油废防渗材料和废润滑油桶中石油类含量计），临界量均为2500t。</w:t>
            </w:r>
          </w:p>
          <w:p w14:paraId="5DBC6156">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根据相关资料可知，钻井井场柴油的储存量约20t；危险废物贮存点废润滑油、废润滑油桶及沾油废防渗材料中石油类最大暂存量约为1t。</w:t>
            </w:r>
          </w:p>
          <w:p w14:paraId="1EEF0360">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试油期产生的伴生气气量不稳定，伴生气和伴生气中的硫化氢最大存在总量远低于其临界量（伴生气临界量10t，硫化氢临界量2.5t）；试油期柴油在井场的日常储量为20t；试油期井场设置方罐4个，每个方罐容积为20m</w:t>
            </w:r>
            <w:r>
              <w:rPr>
                <w:rFonts w:hint="eastAsia"/>
                <w:b w:val="0"/>
                <w:bCs w:val="0"/>
                <w:color w:val="0D0D0D" w:themeColor="text1" w:themeTint="F2"/>
                <w:vertAlign w:val="superscript"/>
                <w14:textFill>
                  <w14:solidFill>
                    <w14:schemeClr w14:val="tx1">
                      <w14:lumMod w14:val="95000"/>
                      <w14:lumOff w14:val="5000"/>
                    </w14:schemeClr>
                  </w14:solidFill>
                </w14:textFill>
              </w:rPr>
              <w:t>3</w:t>
            </w:r>
            <w:r>
              <w:rPr>
                <w:rFonts w:hint="eastAsia"/>
                <w:b w:val="0"/>
                <w:bCs w:val="0"/>
                <w:color w:val="0D0D0D" w:themeColor="text1" w:themeTint="F2"/>
                <w14:textFill>
                  <w14:solidFill>
                    <w14:schemeClr w14:val="tx1">
                      <w14:lumMod w14:val="95000"/>
                      <w14:lumOff w14:val="5000"/>
                    </w14:schemeClr>
                  </w14:solidFill>
                </w14:textFill>
              </w:rPr>
              <w:t>，原油平均密度为0.87g/cm</w:t>
            </w:r>
            <w:r>
              <w:rPr>
                <w:rFonts w:hint="eastAsia"/>
                <w:b w:val="0"/>
                <w:bCs w:val="0"/>
                <w:color w:val="0D0D0D" w:themeColor="text1" w:themeTint="F2"/>
                <w:vertAlign w:val="superscript"/>
                <w14:textFill>
                  <w14:solidFill>
                    <w14:schemeClr w14:val="tx1">
                      <w14:lumMod w14:val="95000"/>
                      <w14:lumOff w14:val="5000"/>
                    </w14:schemeClr>
                  </w14:solidFill>
                </w14:textFill>
              </w:rPr>
              <w:t>3</w:t>
            </w:r>
            <w:r>
              <w:rPr>
                <w:rFonts w:hint="eastAsia"/>
                <w:b w:val="0"/>
                <w:bCs w:val="0"/>
                <w:color w:val="0D0D0D" w:themeColor="text1" w:themeTint="F2"/>
                <w14:textFill>
                  <w14:solidFill>
                    <w14:schemeClr w14:val="tx1">
                      <w14:lumMod w14:val="95000"/>
                      <w14:lumOff w14:val="5000"/>
                    </w14:schemeClr>
                  </w14:solidFill>
                </w14:textFill>
              </w:rPr>
              <w:t>，则采出液中原油最大储存量约69.6t。</w:t>
            </w:r>
          </w:p>
          <w:p w14:paraId="52613943">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钻井井场和试油井场各危险物质与临界量的比值计算情况具体如下：</w:t>
            </w:r>
          </w:p>
          <w:p w14:paraId="7ED5B5EA">
            <w:pPr>
              <w:pStyle w:val="8"/>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表</w:t>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w:instrText>
            </w:r>
            <w:r>
              <w:rPr>
                <w:rFonts w:hint="eastAsia"/>
                <w:color w:val="0D0D0D" w:themeColor="text1" w:themeTint="F2"/>
                <w14:textFill>
                  <w14:solidFill>
                    <w14:schemeClr w14:val="tx1">
                      <w14:lumMod w14:val="95000"/>
                      <w14:lumOff w14:val="5000"/>
                    </w14:schemeClr>
                  </w14:solidFill>
                </w14:textFill>
              </w:rPr>
              <w:instrText xml:space="preserve">SEQ 表 \* ARABIC</w:instrText>
            </w:r>
            <w:r>
              <w:rPr>
                <w:color w:val="0D0D0D" w:themeColor="text1" w:themeTint="F2"/>
                <w14:textFill>
                  <w14:solidFill>
                    <w14:schemeClr w14:val="tx1">
                      <w14:lumMod w14:val="95000"/>
                      <w14:lumOff w14:val="5000"/>
                    </w14:schemeClr>
                  </w14:solidFill>
                </w14:textFill>
              </w:rPr>
              <w:instrText xml:space="preserve"> </w:instrText>
            </w:r>
            <w:r>
              <w:rPr>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20</w:t>
            </w:r>
            <w:r>
              <w:rPr>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 xml:space="preserve">    </w:t>
            </w:r>
            <w:bookmarkStart w:id="108" w:name="_Hlk213898834"/>
            <w:r>
              <w:rPr>
                <w:rFonts w:hint="eastAsia"/>
                <w:color w:val="0D0D0D" w:themeColor="text1" w:themeTint="F2"/>
                <w14:textFill>
                  <w14:solidFill>
                    <w14:schemeClr w14:val="tx1">
                      <w14:lumMod w14:val="95000"/>
                      <w14:lumOff w14:val="5000"/>
                    </w14:schemeClr>
                  </w14:solidFill>
                </w14:textFill>
              </w:rPr>
              <w:t>井场各风险单元Q值一览表</w:t>
            </w:r>
          </w:p>
          <w:tbl>
            <w:tblPr>
              <w:tblStyle w:val="9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91"/>
              <w:gridCol w:w="2539"/>
              <w:gridCol w:w="1573"/>
              <w:gridCol w:w="1282"/>
              <w:gridCol w:w="961"/>
              <w:gridCol w:w="1078"/>
            </w:tblGrid>
            <w:tr w14:paraId="54E517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68" w:type="pct"/>
                  <w:vAlign w:val="center"/>
                </w:tcPr>
                <w:p w14:paraId="587E5F2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风险单位</w:t>
                  </w:r>
                </w:p>
              </w:tc>
              <w:tc>
                <w:tcPr>
                  <w:tcW w:w="1582" w:type="pct"/>
                  <w:vAlign w:val="center"/>
                </w:tcPr>
                <w:p w14:paraId="03153E9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危险物质名称</w:t>
                  </w:r>
                </w:p>
              </w:tc>
              <w:tc>
                <w:tcPr>
                  <w:tcW w:w="980" w:type="pct"/>
                  <w:vAlign w:val="center"/>
                </w:tcPr>
                <w:p w14:paraId="610F4ED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危险物质最大在线量（t）</w:t>
                  </w:r>
                </w:p>
              </w:tc>
              <w:tc>
                <w:tcPr>
                  <w:tcW w:w="799" w:type="pct"/>
                  <w:vAlign w:val="center"/>
                </w:tcPr>
                <w:p w14:paraId="23509774">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危险物质临界量（t）</w:t>
                  </w:r>
                </w:p>
              </w:tc>
              <w:tc>
                <w:tcPr>
                  <w:tcW w:w="599" w:type="pct"/>
                  <w:vAlign w:val="center"/>
                </w:tcPr>
                <w:p w14:paraId="65CF059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Q值</w:t>
                  </w:r>
                </w:p>
              </w:tc>
              <w:tc>
                <w:tcPr>
                  <w:tcW w:w="672" w:type="pct"/>
                  <w:vAlign w:val="center"/>
                </w:tcPr>
                <w:p w14:paraId="52168ADC">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风险潜势</w:t>
                  </w:r>
                </w:p>
                <w:p w14:paraId="45D9F050">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等级</w:t>
                  </w:r>
                </w:p>
              </w:tc>
            </w:tr>
            <w:tr w14:paraId="4D714E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68" w:type="pct"/>
                  <w:vMerge w:val="restart"/>
                  <w:vAlign w:val="center"/>
                </w:tcPr>
                <w:p w14:paraId="73C1E102">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钻井井场</w:t>
                  </w:r>
                </w:p>
              </w:tc>
              <w:tc>
                <w:tcPr>
                  <w:tcW w:w="1582" w:type="pct"/>
                  <w:vAlign w:val="center"/>
                </w:tcPr>
                <w:p w14:paraId="6FE1ED14">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柴油</w:t>
                  </w:r>
                </w:p>
              </w:tc>
              <w:tc>
                <w:tcPr>
                  <w:tcW w:w="980" w:type="pct"/>
                  <w:vAlign w:val="center"/>
                </w:tcPr>
                <w:p w14:paraId="49511313">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20</w:t>
                  </w:r>
                </w:p>
              </w:tc>
              <w:tc>
                <w:tcPr>
                  <w:tcW w:w="799" w:type="pct"/>
                  <w:vAlign w:val="center"/>
                </w:tcPr>
                <w:p w14:paraId="46558EA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2500</w:t>
                  </w:r>
                </w:p>
              </w:tc>
              <w:tc>
                <w:tcPr>
                  <w:tcW w:w="599" w:type="pct"/>
                  <w:vAlign w:val="center"/>
                </w:tcPr>
                <w:p w14:paraId="5B4E72D6">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0.008</w:t>
                  </w:r>
                </w:p>
              </w:tc>
              <w:tc>
                <w:tcPr>
                  <w:tcW w:w="672" w:type="pct"/>
                  <w:vMerge w:val="restart"/>
                  <w:vAlign w:val="center"/>
                </w:tcPr>
                <w:p w14:paraId="6B98513C">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Ⅰ</w:t>
                  </w:r>
                </w:p>
              </w:tc>
            </w:tr>
            <w:tr w14:paraId="34D4AB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68" w:type="pct"/>
                  <w:vMerge w:val="continue"/>
                  <w:vAlign w:val="center"/>
                </w:tcPr>
                <w:p w14:paraId="77F4CEA9">
                  <w:pPr>
                    <w:pStyle w:val="42"/>
                    <w:rPr>
                      <w:rFonts w:hint="eastAsia"/>
                      <w:color w:val="0D0D0D" w:themeColor="text1" w:themeTint="F2"/>
                      <w14:textFill>
                        <w14:solidFill>
                          <w14:schemeClr w14:val="tx1">
                            <w14:lumMod w14:val="95000"/>
                            <w14:lumOff w14:val="5000"/>
                          </w14:schemeClr>
                        </w14:solidFill>
                      </w14:textFill>
                    </w:rPr>
                  </w:pPr>
                </w:p>
              </w:tc>
              <w:tc>
                <w:tcPr>
                  <w:tcW w:w="1582" w:type="pct"/>
                  <w:vAlign w:val="center"/>
                </w:tcPr>
                <w:p w14:paraId="05A91C6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废润滑油、废润滑油桶及沾油废防渗材料</w:t>
                  </w:r>
                </w:p>
              </w:tc>
              <w:tc>
                <w:tcPr>
                  <w:tcW w:w="980" w:type="pct"/>
                  <w:vAlign w:val="center"/>
                </w:tcPr>
                <w:p w14:paraId="43B3BB1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w:t>
                  </w:r>
                </w:p>
              </w:tc>
              <w:tc>
                <w:tcPr>
                  <w:tcW w:w="799" w:type="pct"/>
                  <w:vAlign w:val="center"/>
                </w:tcPr>
                <w:p w14:paraId="611D3E1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2500</w:t>
                  </w:r>
                </w:p>
              </w:tc>
              <w:tc>
                <w:tcPr>
                  <w:tcW w:w="599" w:type="pct"/>
                  <w:vAlign w:val="center"/>
                </w:tcPr>
                <w:p w14:paraId="39E4D9CB">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0.0004</w:t>
                  </w:r>
                </w:p>
              </w:tc>
              <w:tc>
                <w:tcPr>
                  <w:tcW w:w="672" w:type="pct"/>
                  <w:vMerge w:val="continue"/>
                  <w:vAlign w:val="center"/>
                </w:tcPr>
                <w:p w14:paraId="1B8412DF">
                  <w:pPr>
                    <w:pStyle w:val="42"/>
                    <w:rPr>
                      <w:rFonts w:hint="eastAsia"/>
                      <w:color w:val="0D0D0D" w:themeColor="text1" w:themeTint="F2"/>
                      <w14:textFill>
                        <w14:solidFill>
                          <w14:schemeClr w14:val="tx1">
                            <w14:lumMod w14:val="95000"/>
                            <w14:lumOff w14:val="5000"/>
                          </w14:schemeClr>
                        </w14:solidFill>
                      </w14:textFill>
                    </w:rPr>
                  </w:pPr>
                </w:p>
              </w:tc>
            </w:tr>
            <w:tr w14:paraId="4D5397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68" w:type="pct"/>
                  <w:vAlign w:val="center"/>
                </w:tcPr>
                <w:p w14:paraId="5DC38FE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小计</w:t>
                  </w:r>
                </w:p>
              </w:tc>
              <w:tc>
                <w:tcPr>
                  <w:tcW w:w="1582" w:type="pct"/>
                  <w:vAlign w:val="center"/>
                </w:tcPr>
                <w:p w14:paraId="3274ABA5">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p>
              </w:tc>
              <w:tc>
                <w:tcPr>
                  <w:tcW w:w="980" w:type="pct"/>
                  <w:vAlign w:val="center"/>
                </w:tcPr>
                <w:p w14:paraId="40E9B62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p>
              </w:tc>
              <w:tc>
                <w:tcPr>
                  <w:tcW w:w="799" w:type="pct"/>
                  <w:vAlign w:val="center"/>
                </w:tcPr>
                <w:p w14:paraId="60FDCE82">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p>
              </w:tc>
              <w:tc>
                <w:tcPr>
                  <w:tcW w:w="599" w:type="pct"/>
                  <w:vAlign w:val="center"/>
                </w:tcPr>
                <w:p w14:paraId="03E830F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0.0084</w:t>
                  </w:r>
                </w:p>
              </w:tc>
              <w:tc>
                <w:tcPr>
                  <w:tcW w:w="672" w:type="pct"/>
                  <w:vMerge w:val="continue"/>
                  <w:vAlign w:val="center"/>
                </w:tcPr>
                <w:p w14:paraId="7DAC12A1">
                  <w:pPr>
                    <w:pStyle w:val="42"/>
                    <w:rPr>
                      <w:rFonts w:hint="eastAsia"/>
                      <w:color w:val="0D0D0D" w:themeColor="text1" w:themeTint="F2"/>
                      <w14:textFill>
                        <w14:solidFill>
                          <w14:schemeClr w14:val="tx1">
                            <w14:lumMod w14:val="95000"/>
                            <w14:lumOff w14:val="5000"/>
                          </w14:schemeClr>
                        </w14:solidFill>
                      </w14:textFill>
                    </w:rPr>
                  </w:pPr>
                </w:p>
              </w:tc>
            </w:tr>
            <w:tr w14:paraId="705C8D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68" w:type="pct"/>
                  <w:vMerge w:val="restart"/>
                  <w:vAlign w:val="center"/>
                </w:tcPr>
                <w:p w14:paraId="1AEB1AF4">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试油井场</w:t>
                  </w:r>
                </w:p>
              </w:tc>
              <w:tc>
                <w:tcPr>
                  <w:tcW w:w="1582" w:type="pct"/>
                  <w:vAlign w:val="center"/>
                </w:tcPr>
                <w:p w14:paraId="4875C4B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柴油</w:t>
                  </w:r>
                </w:p>
              </w:tc>
              <w:tc>
                <w:tcPr>
                  <w:tcW w:w="980" w:type="pct"/>
                  <w:vAlign w:val="center"/>
                </w:tcPr>
                <w:p w14:paraId="6908F559">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20</w:t>
                  </w:r>
                </w:p>
              </w:tc>
              <w:tc>
                <w:tcPr>
                  <w:tcW w:w="799" w:type="pct"/>
                  <w:vAlign w:val="center"/>
                </w:tcPr>
                <w:p w14:paraId="17B9591C">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2500</w:t>
                  </w:r>
                </w:p>
              </w:tc>
              <w:tc>
                <w:tcPr>
                  <w:tcW w:w="599" w:type="pct"/>
                  <w:vAlign w:val="center"/>
                </w:tcPr>
                <w:p w14:paraId="3C9C51B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0.008</w:t>
                  </w:r>
                </w:p>
              </w:tc>
              <w:tc>
                <w:tcPr>
                  <w:tcW w:w="672" w:type="pct"/>
                  <w:vMerge w:val="restart"/>
                  <w:vAlign w:val="center"/>
                </w:tcPr>
                <w:p w14:paraId="53F81C25">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Ⅰ</w:t>
                  </w:r>
                </w:p>
              </w:tc>
            </w:tr>
            <w:tr w14:paraId="254D8A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68" w:type="pct"/>
                  <w:vMerge w:val="continue"/>
                  <w:vAlign w:val="center"/>
                </w:tcPr>
                <w:p w14:paraId="29AE8F4C">
                  <w:pPr>
                    <w:pStyle w:val="42"/>
                    <w:rPr>
                      <w:rFonts w:hint="eastAsia"/>
                      <w:color w:val="0D0D0D" w:themeColor="text1" w:themeTint="F2"/>
                      <w14:textFill>
                        <w14:solidFill>
                          <w14:schemeClr w14:val="tx1">
                            <w14:lumMod w14:val="95000"/>
                            <w14:lumOff w14:val="5000"/>
                          </w14:schemeClr>
                        </w14:solidFill>
                      </w14:textFill>
                    </w:rPr>
                  </w:pPr>
                </w:p>
              </w:tc>
              <w:tc>
                <w:tcPr>
                  <w:tcW w:w="1582" w:type="pct"/>
                  <w:vAlign w:val="center"/>
                </w:tcPr>
                <w:p w14:paraId="28BC17E0">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采出液</w:t>
                  </w:r>
                </w:p>
              </w:tc>
              <w:tc>
                <w:tcPr>
                  <w:tcW w:w="980" w:type="pct"/>
                  <w:vAlign w:val="center"/>
                </w:tcPr>
                <w:p w14:paraId="52ECA7DE">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69.6</w:t>
                  </w:r>
                </w:p>
              </w:tc>
              <w:tc>
                <w:tcPr>
                  <w:tcW w:w="799" w:type="pct"/>
                  <w:vAlign w:val="center"/>
                </w:tcPr>
                <w:p w14:paraId="5BF0D20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2500</w:t>
                  </w:r>
                </w:p>
              </w:tc>
              <w:tc>
                <w:tcPr>
                  <w:tcW w:w="599" w:type="pct"/>
                  <w:vAlign w:val="center"/>
                </w:tcPr>
                <w:p w14:paraId="40B6435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0.0278</w:t>
                  </w:r>
                </w:p>
              </w:tc>
              <w:tc>
                <w:tcPr>
                  <w:tcW w:w="672" w:type="pct"/>
                  <w:vMerge w:val="continue"/>
                  <w:vAlign w:val="center"/>
                </w:tcPr>
                <w:p w14:paraId="2B42308E">
                  <w:pPr>
                    <w:pStyle w:val="42"/>
                    <w:rPr>
                      <w:rFonts w:hint="eastAsia"/>
                      <w:color w:val="0D0D0D" w:themeColor="text1" w:themeTint="F2"/>
                      <w14:textFill>
                        <w14:solidFill>
                          <w14:schemeClr w14:val="tx1">
                            <w14:lumMod w14:val="95000"/>
                            <w14:lumOff w14:val="5000"/>
                          </w14:schemeClr>
                        </w14:solidFill>
                      </w14:textFill>
                    </w:rPr>
                  </w:pPr>
                </w:p>
              </w:tc>
            </w:tr>
            <w:tr w14:paraId="13BD38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368" w:type="pct"/>
                  <w:vAlign w:val="center"/>
                </w:tcPr>
                <w:p w14:paraId="2ABA00D1">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小计</w:t>
                  </w:r>
                </w:p>
              </w:tc>
              <w:tc>
                <w:tcPr>
                  <w:tcW w:w="1582" w:type="pct"/>
                  <w:vAlign w:val="center"/>
                </w:tcPr>
                <w:p w14:paraId="3CBE1510">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p>
              </w:tc>
              <w:tc>
                <w:tcPr>
                  <w:tcW w:w="980" w:type="pct"/>
                  <w:vAlign w:val="center"/>
                </w:tcPr>
                <w:p w14:paraId="633AD70F">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p>
              </w:tc>
              <w:tc>
                <w:tcPr>
                  <w:tcW w:w="799" w:type="pct"/>
                  <w:vAlign w:val="center"/>
                </w:tcPr>
                <w:p w14:paraId="635948E4">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p>
              </w:tc>
              <w:tc>
                <w:tcPr>
                  <w:tcW w:w="599" w:type="pct"/>
                  <w:vAlign w:val="center"/>
                </w:tcPr>
                <w:p w14:paraId="734E48F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0.0358</w:t>
                  </w:r>
                </w:p>
              </w:tc>
              <w:tc>
                <w:tcPr>
                  <w:tcW w:w="672" w:type="pct"/>
                  <w:vMerge w:val="continue"/>
                  <w:vAlign w:val="center"/>
                </w:tcPr>
                <w:p w14:paraId="1D52FCE9">
                  <w:pPr>
                    <w:pStyle w:val="42"/>
                    <w:rPr>
                      <w:rFonts w:hint="eastAsia"/>
                      <w:color w:val="0D0D0D" w:themeColor="text1" w:themeTint="F2"/>
                      <w14:textFill>
                        <w14:solidFill>
                          <w14:schemeClr w14:val="tx1">
                            <w14:lumMod w14:val="95000"/>
                            <w14:lumOff w14:val="5000"/>
                          </w14:schemeClr>
                        </w14:solidFill>
                      </w14:textFill>
                    </w:rPr>
                  </w:pPr>
                </w:p>
              </w:tc>
            </w:tr>
            <w:bookmarkEnd w:id="108"/>
          </w:tbl>
          <w:p w14:paraId="5D391F96">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综上所述，井场钻井期、试油期Q值均小于1，评价工作等级为简单分析。</w:t>
            </w:r>
          </w:p>
          <w:p w14:paraId="737D94C8">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w:t>
            </w:r>
            <w:r>
              <w:rPr>
                <w:b w:val="0"/>
                <w:bCs w:val="0"/>
                <w:color w:val="0D0D0D" w:themeColor="text1" w:themeTint="F2"/>
                <w14:textFill>
                  <w14:solidFill>
                    <w14:schemeClr w14:val="tx1">
                      <w14:lumMod w14:val="95000"/>
                      <w14:lumOff w14:val="5000"/>
                    </w14:schemeClr>
                  </w14:solidFill>
                </w14:textFill>
              </w:rPr>
              <w:t>2</w:t>
            </w:r>
            <w:r>
              <w:rPr>
                <w:rFonts w:hint="eastAsia"/>
                <w:b w:val="0"/>
                <w:bCs w:val="0"/>
                <w:color w:val="0D0D0D" w:themeColor="text1" w:themeTint="F2"/>
                <w14:textFill>
                  <w14:solidFill>
                    <w14:schemeClr w14:val="tx1">
                      <w14:lumMod w14:val="95000"/>
                      <w14:lumOff w14:val="5000"/>
                    </w14:schemeClr>
                  </w14:solidFill>
                </w14:textFill>
              </w:rPr>
              <w:t>）环境敏感目标概况</w:t>
            </w:r>
          </w:p>
          <w:p w14:paraId="33C1ADF3">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本次不设风险评价范围，占地范围内无环境风险敏感目标。</w:t>
            </w:r>
          </w:p>
          <w:p w14:paraId="283B0F55">
            <w:pPr>
              <w:pStyle w:val="11"/>
              <w:ind w:firstLine="480"/>
              <w:rPr>
                <w:rFonts w:hint="eastAsia"/>
                <w:b w:val="0"/>
                <w:bCs w:val="0"/>
                <w:color w:val="0D0D0D" w:themeColor="text1" w:themeTint="F2"/>
                <w14:textFill>
                  <w14:solidFill>
                    <w14:schemeClr w14:val="tx1">
                      <w14:lumMod w14:val="95000"/>
                      <w14:lumOff w14:val="5000"/>
                    </w14:schemeClr>
                  </w14:solidFill>
                </w14:textFill>
              </w:rPr>
            </w:pPr>
            <w:r>
              <w:rPr>
                <w:rFonts w:hint="eastAsia"/>
                <w:b w:val="0"/>
                <w:bCs w:val="0"/>
                <w:color w:val="0D0D0D" w:themeColor="text1" w:themeTint="F2"/>
                <w14:textFill>
                  <w14:solidFill>
                    <w14:schemeClr w14:val="tx1">
                      <w14:lumMod w14:val="95000"/>
                      <w14:lumOff w14:val="5000"/>
                    </w14:schemeClr>
                  </w14:solidFill>
                </w14:textFill>
              </w:rPr>
              <w:t>（</w:t>
            </w:r>
            <w:r>
              <w:rPr>
                <w:b w:val="0"/>
                <w:bCs w:val="0"/>
                <w:color w:val="0D0D0D" w:themeColor="text1" w:themeTint="F2"/>
                <w14:textFill>
                  <w14:solidFill>
                    <w14:schemeClr w14:val="tx1">
                      <w14:lumMod w14:val="95000"/>
                      <w14:lumOff w14:val="5000"/>
                    </w14:schemeClr>
                  </w14:solidFill>
                </w14:textFill>
              </w:rPr>
              <w:t>3</w:t>
            </w:r>
            <w:r>
              <w:rPr>
                <w:rFonts w:hint="eastAsia"/>
                <w:b w:val="0"/>
                <w:bCs w:val="0"/>
                <w:color w:val="0D0D0D" w:themeColor="text1" w:themeTint="F2"/>
                <w14:textFill>
                  <w14:solidFill>
                    <w14:schemeClr w14:val="tx1">
                      <w14:lumMod w14:val="95000"/>
                      <w14:lumOff w14:val="5000"/>
                    </w14:schemeClr>
                  </w14:solidFill>
                </w14:textFill>
              </w:rPr>
              <w:t>）环境风险识别</w:t>
            </w:r>
          </w:p>
          <w:p w14:paraId="7CC7F15D">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①危险物质识别</w:t>
            </w:r>
          </w:p>
          <w:p w14:paraId="1D83738D">
            <w:pPr>
              <w:snapToGrid w:val="0"/>
              <w:spacing w:line="500" w:lineRule="exact"/>
              <w:ind w:firstLine="480" w:firstLineChars="200"/>
              <w:rPr>
                <w:rStyle w:val="60"/>
                <w:rFonts w:hint="eastAsia"/>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施工期间涉及的环境危险物质主要为柴油、原油、伴生气（主要成分为天然气），以及伴生气中可能含有的硫化氢，其主要物化、毒理性质、危险等级划分及影响途</w:t>
            </w:r>
            <w:r>
              <w:rPr>
                <w:rStyle w:val="60"/>
                <w:rFonts w:hint="eastAsia"/>
                <w:color w:val="0D0D0D" w:themeColor="text1" w:themeTint="F2"/>
                <w14:textFill>
                  <w14:solidFill>
                    <w14:schemeClr w14:val="tx1">
                      <w14:lumMod w14:val="95000"/>
                      <w14:lumOff w14:val="5000"/>
                    </w14:schemeClr>
                  </w14:solidFill>
                </w14:textFill>
              </w:rPr>
              <w:t>径见</w:t>
            </w:r>
            <w:r>
              <w:rPr>
                <w:rStyle w:val="60"/>
                <w:rFonts w:hint="eastAsia"/>
                <w:color w:val="0D0D0D" w:themeColor="text1" w:themeTint="F2"/>
                <w14:textFill>
                  <w14:solidFill>
                    <w14:schemeClr w14:val="tx1">
                      <w14:lumMod w14:val="95000"/>
                      <w14:lumOff w14:val="5000"/>
                    </w14:schemeClr>
                  </w14:solidFill>
                </w14:textFill>
              </w:rPr>
              <w:fldChar w:fldCharType="begin"/>
            </w:r>
            <w:r>
              <w:rPr>
                <w:rStyle w:val="60"/>
                <w:rFonts w:hint="eastAsia"/>
                <w:color w:val="0D0D0D" w:themeColor="text1" w:themeTint="F2"/>
                <w14:textFill>
                  <w14:solidFill>
                    <w14:schemeClr w14:val="tx1">
                      <w14:lumMod w14:val="95000"/>
                      <w14:lumOff w14:val="5000"/>
                    </w14:schemeClr>
                  </w14:solidFill>
                </w14:textFill>
              </w:rPr>
              <w:instrText xml:space="preserve"> REF _Ref206181401 \h  \* MERGEFORMAT </w:instrText>
            </w:r>
            <w:r>
              <w:rPr>
                <w:rStyle w:val="60"/>
                <w:rFonts w:hint="eastAsia"/>
                <w:color w:val="0D0D0D" w:themeColor="text1" w:themeTint="F2"/>
                <w14:textFill>
                  <w14:solidFill>
                    <w14:schemeClr w14:val="tx1">
                      <w14:lumMod w14:val="95000"/>
                      <w14:lumOff w14:val="5000"/>
                    </w14:schemeClr>
                  </w14:solidFill>
                </w14:textFill>
              </w:rPr>
              <w:fldChar w:fldCharType="separate"/>
            </w:r>
            <w:r>
              <w:rPr>
                <w:rStyle w:val="60"/>
              </w:rPr>
              <w:t>表21</w:t>
            </w:r>
            <w:r>
              <w:rPr>
                <w:rStyle w:val="60"/>
                <w:rFonts w:hint="eastAsia"/>
                <w:color w:val="0D0D0D" w:themeColor="text1" w:themeTint="F2"/>
                <w14:textFill>
                  <w14:solidFill>
                    <w14:schemeClr w14:val="tx1">
                      <w14:lumMod w14:val="95000"/>
                      <w14:lumOff w14:val="5000"/>
                    </w14:schemeClr>
                  </w14:solidFill>
                </w14:textFill>
              </w:rPr>
              <w:fldChar w:fldCharType="end"/>
            </w:r>
            <w:r>
              <w:rPr>
                <w:rStyle w:val="60"/>
                <w:rFonts w:hint="eastAsia"/>
                <w:color w:val="0D0D0D" w:themeColor="text1" w:themeTint="F2"/>
                <w14:textFill>
                  <w14:solidFill>
                    <w14:schemeClr w14:val="tx1">
                      <w14:lumMod w14:val="95000"/>
                      <w14:lumOff w14:val="5000"/>
                    </w14:schemeClr>
                  </w14:solidFill>
                </w14:textFill>
              </w:rPr>
              <w:t>。</w:t>
            </w:r>
          </w:p>
          <w:p w14:paraId="56F497F3">
            <w:pPr>
              <w:snapToGrid w:val="0"/>
              <w:spacing w:line="500" w:lineRule="exact"/>
              <w:jc w:val="cente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pPr>
            <w:bookmarkStart w:id="109" w:name="_Ref206181401"/>
            <w: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t>表</w:t>
            </w:r>
            <w:r>
              <w:rPr>
                <w:rFonts w:ascii="黑体" w:hAnsi="黑体" w:eastAsia="黑体" w:cs="黑体"/>
                <w:color w:val="0D0D0D" w:themeColor="text1" w:themeTint="F2"/>
                <w:sz w:val="21"/>
                <w:szCs w:val="21"/>
                <w14:textFill>
                  <w14:solidFill>
                    <w14:schemeClr w14:val="tx1">
                      <w14:lumMod w14:val="95000"/>
                      <w14:lumOff w14:val="5000"/>
                    </w14:schemeClr>
                  </w14:solidFill>
                </w14:textFill>
              </w:rPr>
              <w:fldChar w:fldCharType="begin"/>
            </w:r>
            <w:r>
              <w:rPr>
                <w:rFonts w:ascii="黑体" w:hAnsi="黑体" w:eastAsia="黑体" w:cs="黑体"/>
                <w:color w:val="0D0D0D" w:themeColor="text1" w:themeTint="F2"/>
                <w:sz w:val="21"/>
                <w:szCs w:val="21"/>
                <w14:textFill>
                  <w14:solidFill>
                    <w14:schemeClr w14:val="tx1">
                      <w14:lumMod w14:val="95000"/>
                      <w14:lumOff w14:val="5000"/>
                    </w14:schemeClr>
                  </w14:solidFill>
                </w14:textFill>
              </w:rPr>
              <w:instrText xml:space="preserve"> </w:instrText>
            </w:r>
            <w: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instrText xml:space="preserve">SEQ 表 \* ARABIC</w:instrText>
            </w:r>
            <w:r>
              <w:rPr>
                <w:rFonts w:ascii="黑体" w:hAnsi="黑体" w:eastAsia="黑体" w:cs="黑体"/>
                <w:color w:val="0D0D0D" w:themeColor="text1" w:themeTint="F2"/>
                <w:sz w:val="21"/>
                <w:szCs w:val="21"/>
                <w14:textFill>
                  <w14:solidFill>
                    <w14:schemeClr w14:val="tx1">
                      <w14:lumMod w14:val="95000"/>
                      <w14:lumOff w14:val="5000"/>
                    </w14:schemeClr>
                  </w14:solidFill>
                </w14:textFill>
              </w:rPr>
              <w:instrText xml:space="preserve"> </w:instrText>
            </w:r>
            <w:r>
              <w:rPr>
                <w:rFonts w:ascii="黑体" w:hAnsi="黑体" w:eastAsia="黑体" w:cs="黑体"/>
                <w:color w:val="0D0D0D" w:themeColor="text1" w:themeTint="F2"/>
                <w:sz w:val="21"/>
                <w:szCs w:val="21"/>
                <w14:textFill>
                  <w14:solidFill>
                    <w14:schemeClr w14:val="tx1">
                      <w14:lumMod w14:val="95000"/>
                      <w14:lumOff w14:val="5000"/>
                    </w14:schemeClr>
                  </w14:solidFill>
                </w14:textFill>
              </w:rPr>
              <w:fldChar w:fldCharType="separate"/>
            </w:r>
            <w: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t>21</w:t>
            </w:r>
            <w:r>
              <w:rPr>
                <w:rFonts w:ascii="黑体" w:hAnsi="黑体" w:eastAsia="黑体" w:cs="黑体"/>
                <w:color w:val="0D0D0D" w:themeColor="text1" w:themeTint="F2"/>
                <w:sz w:val="21"/>
                <w:szCs w:val="21"/>
                <w14:textFill>
                  <w14:solidFill>
                    <w14:schemeClr w14:val="tx1">
                      <w14:lumMod w14:val="95000"/>
                      <w14:lumOff w14:val="5000"/>
                    </w14:schemeClr>
                  </w14:solidFill>
                </w14:textFill>
              </w:rPr>
              <w:fldChar w:fldCharType="end"/>
            </w:r>
            <w:bookmarkEnd w:id="109"/>
            <w: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t xml:space="preserve">    </w:t>
            </w:r>
            <w:r>
              <w:rPr>
                <w:rFonts w:hint="eastAsia" w:ascii="黑体" w:hAnsi="黑体" w:eastAsia="黑体" w:cs="黑体"/>
                <w:color w:val="0D0D0D" w:themeColor="text1" w:themeTint="F2"/>
                <w:sz w:val="21"/>
                <w:szCs w:val="21"/>
                <w:lang w:val="zh-CN"/>
                <w14:textFill>
                  <w14:solidFill>
                    <w14:schemeClr w14:val="tx1">
                      <w14:lumMod w14:val="95000"/>
                      <w14:lumOff w14:val="5000"/>
                    </w14:schemeClr>
                  </w14:solidFill>
                </w14:textFill>
              </w:rPr>
              <w:t>原油、柴油、伴生气和硫化氢理化性质及危险级别分类</w:t>
            </w:r>
            <w:r>
              <w:rPr>
                <w:rFonts w:hint="eastAsia" w:ascii="黑体" w:hAnsi="黑体" w:eastAsia="黑体" w:cs="黑体"/>
                <w:color w:val="0D0D0D" w:themeColor="text1" w:themeTint="F2"/>
                <w:sz w:val="21"/>
                <w:szCs w:val="21"/>
                <w14:textFill>
                  <w14:solidFill>
                    <w14:schemeClr w14:val="tx1">
                      <w14:lumMod w14:val="95000"/>
                      <w14:lumOff w14:val="5000"/>
                    </w14:schemeClr>
                  </w14:solidFill>
                </w14:textFill>
              </w:rPr>
              <w:t>表</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86"/>
              <w:gridCol w:w="671"/>
              <w:gridCol w:w="851"/>
              <w:gridCol w:w="3046"/>
              <w:gridCol w:w="1648"/>
              <w:gridCol w:w="636"/>
              <w:gridCol w:w="886"/>
            </w:tblGrid>
            <w:tr w14:paraId="03768D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9" w:type="pct"/>
                  <w:vAlign w:val="center"/>
                </w:tcPr>
                <w:p w14:paraId="00763A2B">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序号</w:t>
                  </w:r>
                </w:p>
              </w:tc>
              <w:tc>
                <w:tcPr>
                  <w:tcW w:w="418" w:type="pct"/>
                  <w:vAlign w:val="center"/>
                </w:tcPr>
                <w:p w14:paraId="52A244E2">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名称</w:t>
                  </w:r>
                </w:p>
              </w:tc>
              <w:tc>
                <w:tcPr>
                  <w:tcW w:w="530" w:type="pct"/>
                  <w:vAlign w:val="center"/>
                </w:tcPr>
                <w:p w14:paraId="363973F6">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组分</w:t>
                  </w:r>
                </w:p>
              </w:tc>
              <w:tc>
                <w:tcPr>
                  <w:tcW w:w="1898" w:type="pct"/>
                  <w:vAlign w:val="center"/>
                </w:tcPr>
                <w:p w14:paraId="55226BD9">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危险性</w:t>
                  </w:r>
                </w:p>
              </w:tc>
              <w:tc>
                <w:tcPr>
                  <w:tcW w:w="1027" w:type="pct"/>
                  <w:vAlign w:val="center"/>
                </w:tcPr>
                <w:p w14:paraId="0A15B4F1">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燃烧爆炸特性</w:t>
                  </w:r>
                </w:p>
                <w:p w14:paraId="2490489D">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参数</w:t>
                  </w:r>
                </w:p>
              </w:tc>
              <w:tc>
                <w:tcPr>
                  <w:tcW w:w="396" w:type="pct"/>
                  <w:vAlign w:val="center"/>
                </w:tcPr>
                <w:p w14:paraId="4E3E6E46">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危险级别</w:t>
                  </w:r>
                </w:p>
              </w:tc>
              <w:tc>
                <w:tcPr>
                  <w:tcW w:w="552" w:type="pct"/>
                  <w:vAlign w:val="center"/>
                </w:tcPr>
                <w:p w14:paraId="799B49BE">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影响</w:t>
                  </w:r>
                </w:p>
                <w:p w14:paraId="4C1958F5">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途径</w:t>
                  </w:r>
                </w:p>
              </w:tc>
            </w:tr>
            <w:tr w14:paraId="5901A1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9" w:type="pct"/>
                  <w:vAlign w:val="center"/>
                </w:tcPr>
                <w:p w14:paraId="7621AFFD">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w:t>
                  </w:r>
                </w:p>
              </w:tc>
              <w:tc>
                <w:tcPr>
                  <w:tcW w:w="418" w:type="pct"/>
                  <w:vAlign w:val="center"/>
                </w:tcPr>
                <w:p w14:paraId="05698595">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原油</w:t>
                  </w:r>
                </w:p>
              </w:tc>
              <w:tc>
                <w:tcPr>
                  <w:tcW w:w="530" w:type="pct"/>
                  <w:vAlign w:val="center"/>
                </w:tcPr>
                <w:p w14:paraId="3C366498">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各种烃类和非烃类化合物所组成的复杂混合物</w:t>
                  </w:r>
                </w:p>
              </w:tc>
              <w:tc>
                <w:tcPr>
                  <w:tcW w:w="1898" w:type="pct"/>
                  <w:vAlign w:val="center"/>
                </w:tcPr>
                <w:p w14:paraId="0DBDEF4B">
                  <w:pPr>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原油本身无明显毒性。遇热分解出有毒烟雾，人体大量吸入可引起危害：有刺激和麻痹作用，急性中毒者有上呼吸道刺激症状。</w:t>
                  </w:r>
                </w:p>
              </w:tc>
              <w:tc>
                <w:tcPr>
                  <w:tcW w:w="1027" w:type="pct"/>
                  <w:vAlign w:val="center"/>
                </w:tcPr>
                <w:p w14:paraId="4A91BC14">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热值：41870kJ/kg；沸点：300～325℃；闪点：23.5℃；爆炸极限：1.1%～6.4%（V）；自燃点：380～530℃</w:t>
                  </w:r>
                </w:p>
              </w:tc>
              <w:tc>
                <w:tcPr>
                  <w:tcW w:w="396" w:type="pct"/>
                  <w:vAlign w:val="center"/>
                </w:tcPr>
                <w:p w14:paraId="53E92F12">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高闪点液体</w:t>
                  </w:r>
                </w:p>
              </w:tc>
              <w:tc>
                <w:tcPr>
                  <w:tcW w:w="552" w:type="pct"/>
                  <w:vAlign w:val="center"/>
                </w:tcPr>
                <w:p w14:paraId="33BF9D48">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大气、地下水、土壤</w:t>
                  </w:r>
                </w:p>
              </w:tc>
            </w:tr>
            <w:tr w14:paraId="4ECA02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9" w:type="pct"/>
                  <w:vAlign w:val="center"/>
                </w:tcPr>
                <w:p w14:paraId="2E9EB819">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2</w:t>
                  </w:r>
                </w:p>
              </w:tc>
              <w:tc>
                <w:tcPr>
                  <w:tcW w:w="418" w:type="pct"/>
                  <w:vAlign w:val="center"/>
                </w:tcPr>
                <w:p w14:paraId="1A095AD2">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伴生气</w:t>
                  </w:r>
                </w:p>
              </w:tc>
              <w:tc>
                <w:tcPr>
                  <w:tcW w:w="530" w:type="pct"/>
                  <w:vAlign w:val="center"/>
                </w:tcPr>
                <w:p w14:paraId="73EDE58E">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主要成分包括甲烷、乙烷等</w:t>
                  </w:r>
                </w:p>
              </w:tc>
              <w:tc>
                <w:tcPr>
                  <w:tcW w:w="1898" w:type="pct"/>
                  <w:vAlign w:val="center"/>
                </w:tcPr>
                <w:p w14:paraId="088C6C6E">
                  <w:pPr>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伴生气主要成分为天然气。天然气中含有的甲烷，是一种无毒气体，当空气中大量弥漫这种气体时会使人因氧气不足而呼吸困难，进而失去知觉、昏迷甚至残废。</w:t>
                  </w:r>
                </w:p>
              </w:tc>
              <w:tc>
                <w:tcPr>
                  <w:tcW w:w="1027" w:type="pct"/>
                  <w:vAlign w:val="center"/>
                </w:tcPr>
                <w:p w14:paraId="0E28648C">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热值：50009kJ/kg；爆炸极限：5%～14%（V）；自燃点：482～632℃</w:t>
                  </w:r>
                </w:p>
              </w:tc>
              <w:tc>
                <w:tcPr>
                  <w:tcW w:w="396" w:type="pct"/>
                  <w:vAlign w:val="center"/>
                </w:tcPr>
                <w:p w14:paraId="3EA60542">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易燃气体</w:t>
                  </w:r>
                </w:p>
              </w:tc>
              <w:tc>
                <w:tcPr>
                  <w:tcW w:w="552" w:type="pct"/>
                  <w:vAlign w:val="center"/>
                </w:tcPr>
                <w:p w14:paraId="022489E0">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大气</w:t>
                  </w:r>
                </w:p>
              </w:tc>
            </w:tr>
            <w:tr w14:paraId="12B6E0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9" w:type="pct"/>
                  <w:vAlign w:val="center"/>
                </w:tcPr>
                <w:p w14:paraId="36C0AF31">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3</w:t>
                  </w:r>
                </w:p>
              </w:tc>
              <w:tc>
                <w:tcPr>
                  <w:tcW w:w="418" w:type="pct"/>
                  <w:vAlign w:val="center"/>
                </w:tcPr>
                <w:p w14:paraId="190DB74E">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柴油</w:t>
                  </w:r>
                </w:p>
              </w:tc>
              <w:tc>
                <w:tcPr>
                  <w:tcW w:w="530" w:type="pct"/>
                  <w:vAlign w:val="center"/>
                </w:tcPr>
                <w:p w14:paraId="3E3DF045">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复杂烃类(碳原子数约10～22)混合物</w:t>
                  </w:r>
                </w:p>
              </w:tc>
              <w:tc>
                <w:tcPr>
                  <w:tcW w:w="1898" w:type="pct"/>
                  <w:vAlign w:val="center"/>
                </w:tcPr>
                <w:p w14:paraId="69376519">
                  <w:pPr>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柴油的毒性类似于煤油，但由于添加剂(如硫化酯类)的影响，毒性比煤油略大，主要有麻醉和刺激作用。柴油的雾滴吸入后可致吸入性肺炎，皮肤接触柴油可致接触性皮炎。</w:t>
                  </w:r>
                </w:p>
              </w:tc>
              <w:tc>
                <w:tcPr>
                  <w:tcW w:w="1027" w:type="pct"/>
                  <w:vAlign w:val="center"/>
                </w:tcPr>
                <w:p w14:paraId="0D2E6EB7">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热值：3.3×10</w:t>
                  </w:r>
                  <w:r>
                    <w:rPr>
                      <w:rFonts w:hint="eastAsia" w:ascii="宋体" w:hAnsi="宋体" w:cs="宋体"/>
                      <w:color w:val="0D0D0D" w:themeColor="text1" w:themeTint="F2"/>
                      <w:sz w:val="21"/>
                      <w:szCs w:val="21"/>
                      <w:vertAlign w:val="superscript"/>
                      <w14:textFill>
                        <w14:solidFill>
                          <w14:schemeClr w14:val="tx1">
                            <w14:lumMod w14:val="95000"/>
                            <w14:lumOff w14:val="5000"/>
                          </w14:schemeClr>
                        </w14:solidFill>
                      </w14:textFill>
                    </w:rPr>
                    <w:t>4</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kJ/L；沸点范围：180～370℃和350～410℃；两类闪点：38℃</w:t>
                  </w:r>
                </w:p>
              </w:tc>
              <w:tc>
                <w:tcPr>
                  <w:tcW w:w="396" w:type="pct"/>
                  <w:vAlign w:val="center"/>
                </w:tcPr>
                <w:p w14:paraId="495A14E8">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高闪点液体</w:t>
                  </w:r>
                </w:p>
              </w:tc>
              <w:tc>
                <w:tcPr>
                  <w:tcW w:w="552" w:type="pct"/>
                  <w:vAlign w:val="center"/>
                </w:tcPr>
                <w:p w14:paraId="1FE0EB7D">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大气、地下水、土壤</w:t>
                  </w:r>
                </w:p>
              </w:tc>
            </w:tr>
            <w:tr w14:paraId="7C968C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9" w:type="pct"/>
                  <w:vAlign w:val="center"/>
                </w:tcPr>
                <w:p w14:paraId="0CD9AE8D">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4</w:t>
                  </w:r>
                </w:p>
              </w:tc>
              <w:tc>
                <w:tcPr>
                  <w:tcW w:w="418" w:type="pct"/>
                  <w:vAlign w:val="center"/>
                </w:tcPr>
                <w:p w14:paraId="160A078E">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硫化氢</w:t>
                  </w:r>
                </w:p>
              </w:tc>
              <w:tc>
                <w:tcPr>
                  <w:tcW w:w="530" w:type="pct"/>
                  <w:vAlign w:val="center"/>
                </w:tcPr>
                <w:p w14:paraId="19D08C22">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硫化氢气体</w:t>
                  </w:r>
                </w:p>
              </w:tc>
              <w:tc>
                <w:tcPr>
                  <w:tcW w:w="1898" w:type="pct"/>
                  <w:vAlign w:val="center"/>
                </w:tcPr>
                <w:p w14:paraId="47BF2094">
                  <w:pPr>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本品是强烈的神经毒物，对黏膜有强烈刺激作用。急性中毒：短期内吸入高浓度硫化氢后出现流泪、眼痛、眼内异物感、畏光、视物模糊、流涕、喉部灼热感、咳、胸闷、头痛、头晕、乏力、意识模糊等。部分患者可有心肌损害。重者可出现脑水肿、肺水肿。极高浓度(1000mg/m</w:t>
                  </w:r>
                  <w:r>
                    <w:rPr>
                      <w:rFonts w:hint="eastAsia" w:ascii="宋体" w:hAnsi="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olor w:val="0D0D0D" w:themeColor="text1" w:themeTint="F2"/>
                      <w:sz w:val="21"/>
                      <w:szCs w:val="21"/>
                      <w14:textFill>
                        <w14:solidFill>
                          <w14:schemeClr w14:val="tx1">
                            <w14:lumMod w14:val="95000"/>
                            <w14:lumOff w14:val="5000"/>
                          </w14:schemeClr>
                        </w14:solidFill>
                      </w14:textFill>
                    </w:rPr>
                    <w:t>以上)时可在数秒钟内突然昏迷，呼吸和心跳骤停，发生闪电型死亡。高浓度接触眼结膜发生水肿和角膜溃疡。长期低浓度接触，引起神经衰弱综合征和植物神经功能紊乱。</w:t>
                  </w:r>
                </w:p>
              </w:tc>
              <w:tc>
                <w:tcPr>
                  <w:tcW w:w="1027" w:type="pct"/>
                  <w:vAlign w:val="center"/>
                </w:tcPr>
                <w:p w14:paraId="0A51BA7D">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olor w:val="0D0D0D" w:themeColor="text1" w:themeTint="F2"/>
                      <w:sz w:val="21"/>
                      <w:szCs w:val="21"/>
                      <w14:textFill>
                        <w14:solidFill>
                          <w14:schemeClr w14:val="tx1">
                            <w14:lumMod w14:val="95000"/>
                            <w14:lumOff w14:val="5000"/>
                          </w14:schemeClr>
                        </w14:solidFill>
                      </w14:textFill>
                    </w:rPr>
                    <w:t>易燃，与空气混合能形成爆炸性混合物，遇明火、高热能引起燃烧爆炸。与浓硝酸、发烟硝酸或其他强氧化剂剧烈反应，发生爆炸。气体比空气重，能在较低处扩散到相当远的地方，遇火源会着火回燃。</w:t>
                  </w:r>
                </w:p>
              </w:tc>
              <w:tc>
                <w:tcPr>
                  <w:tcW w:w="396" w:type="pct"/>
                  <w:vAlign w:val="center"/>
                </w:tcPr>
                <w:p w14:paraId="7C6C1663">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易燃，具强刺激性</w:t>
                  </w:r>
                </w:p>
              </w:tc>
              <w:tc>
                <w:tcPr>
                  <w:tcW w:w="552" w:type="pct"/>
                  <w:vAlign w:val="center"/>
                </w:tcPr>
                <w:p w14:paraId="59A3D105">
                  <w:pPr>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大气</w:t>
                  </w:r>
                </w:p>
              </w:tc>
            </w:tr>
          </w:tbl>
          <w:p w14:paraId="36A46219">
            <w:pPr>
              <w:snapToGrid w:val="0"/>
              <w:spacing w:line="49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②生产设施风险识别</w:t>
            </w:r>
          </w:p>
          <w:p w14:paraId="5B5439D0">
            <w:pPr>
              <w:snapToGrid w:val="0"/>
              <w:spacing w:line="49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a.井喷事故风险</w:t>
            </w:r>
          </w:p>
          <w:p w14:paraId="493ACD82">
            <w:pPr>
              <w:snapToGrid w:val="0"/>
              <w:spacing w:line="49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lang w:bidi="ar"/>
                <w14:textFill>
                  <w14:solidFill>
                    <w14:schemeClr w14:val="tx1">
                      <w14:lumMod w14:val="95000"/>
                      <w14:lumOff w14:val="5000"/>
                    </w14:schemeClr>
                  </w14:solidFill>
                </w14:textFill>
              </w:rPr>
              <w:t>若井底压力小于地层压力，地层流体将进入井筒并推动钻井液外溢。此时如果对地下油、气压力平衡控制不当，不能及时控制溢流，会造成油、气、水或其他混合物迅速喷到地面，即发生井喷。井喷会引发油气泄漏及火灾爆炸，对大气环境、地下水环境、土壤环境及生态环境造成危害，致使人员伤亡、财产损失。</w:t>
            </w:r>
          </w:p>
          <w:p w14:paraId="6FEAD21C">
            <w:pPr>
              <w:snapToGrid w:val="0"/>
              <w:spacing w:line="49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b.储罐泄漏风险</w:t>
            </w:r>
          </w:p>
          <w:p w14:paraId="1E8B6CDE">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钻试期井场设有柴油储罐、废水储罐、采出液储罐、水基钻井岩屑储罐等，若储罐因质量、操作运行和管理等方面存在缺陷和失误，可能会发生泄漏，对周围地下水、土壤、大气等环境造成污染。</w:t>
            </w:r>
          </w:p>
          <w:p w14:paraId="65DC3B51">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c.井漏事故风险</w:t>
            </w:r>
          </w:p>
          <w:p w14:paraId="4CDC74E2">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钻井施工时，</w:t>
            </w:r>
            <w:r>
              <w:rPr>
                <w:rFonts w:ascii="宋体" w:hAnsi="宋体" w:cs="宋体"/>
                <w:color w:val="0D0D0D" w:themeColor="text1" w:themeTint="F2"/>
                <w14:textFill>
                  <w14:solidFill>
                    <w14:schemeClr w14:val="tx1">
                      <w14:lumMod w14:val="95000"/>
                      <w14:lumOff w14:val="5000"/>
                    </w14:schemeClr>
                  </w14:solidFill>
                </w14:textFill>
              </w:rPr>
              <w:t>钻遇疏松或裂缝发育地层</w:t>
            </w:r>
            <w:r>
              <w:rPr>
                <w:rFonts w:hint="eastAsia" w:ascii="宋体" w:hAnsi="宋体" w:cs="宋体"/>
                <w:color w:val="0D0D0D" w:themeColor="text1" w:themeTint="F2"/>
                <w14:textFill>
                  <w14:solidFill>
                    <w14:schemeClr w14:val="tx1">
                      <w14:lumMod w14:val="95000"/>
                      <w14:lumOff w14:val="5000"/>
                    </w14:schemeClr>
                  </w14:solidFill>
                </w14:textFill>
              </w:rPr>
              <w:t>可能引发井漏事故。</w:t>
            </w:r>
          </w:p>
          <w:p w14:paraId="407CCF81">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ascii="宋体" w:hAnsi="宋体" w:cs="宋体"/>
                <w:color w:val="0D0D0D" w:themeColor="text1" w:themeTint="F2"/>
                <w14:textFill>
                  <w14:solidFill>
                    <w14:schemeClr w14:val="tx1">
                      <w14:lumMod w14:val="95000"/>
                      <w14:lumOff w14:val="5000"/>
                    </w14:schemeClr>
                  </w14:solidFill>
                </w14:textFill>
              </w:rPr>
              <w:t>d</w:t>
            </w:r>
            <w:r>
              <w:rPr>
                <w:rFonts w:hint="eastAsia" w:ascii="宋体" w:hAnsi="宋体" w:cs="宋体"/>
                <w:color w:val="0D0D0D" w:themeColor="text1" w:themeTint="F2"/>
                <w14:textFill>
                  <w14:solidFill>
                    <w14:schemeClr w14:val="tx1">
                      <w14:lumMod w14:val="95000"/>
                      <w14:lumOff w14:val="5000"/>
                    </w14:schemeClr>
                  </w14:solidFill>
                </w14:textFill>
              </w:rPr>
              <w:t>.采出液、废水及柴油拉运过程中的环境风险</w:t>
            </w:r>
          </w:p>
          <w:p w14:paraId="0F3153B2">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试油期废水及其他采出液由罐车拉运至采油一厂红山嘴原油处理站处理，运输过程中若因车辆本身的设计、制造、操作、管理等各环节存在缺陷，则可能发生泄漏事故的风险。事故发生时罐车内液体溢出，对周围环境造成直接污染，泄漏的油气如遇到明火还可能发生火灾、爆炸事故。</w:t>
            </w:r>
          </w:p>
          <w:p w14:paraId="48058CEC">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③环境风险类型</w:t>
            </w:r>
          </w:p>
          <w:p w14:paraId="17FC166C">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环境风险类型主要为泄漏、</w:t>
            </w:r>
            <w:r>
              <w:rPr>
                <w:color w:val="0D0D0D" w:themeColor="text1" w:themeTint="F2"/>
                <w14:textFill>
                  <w14:solidFill>
                    <w14:schemeClr w14:val="tx1">
                      <w14:lumMod w14:val="95000"/>
                      <w14:lumOff w14:val="5000"/>
                    </w14:schemeClr>
                  </w14:solidFill>
                </w14:textFill>
              </w:rPr>
              <w:t>火灾</w:t>
            </w: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爆炸</w:t>
            </w:r>
            <w:r>
              <w:rPr>
                <w:rFonts w:hint="eastAsia"/>
                <w:color w:val="0D0D0D" w:themeColor="text1" w:themeTint="F2"/>
                <w14:textFill>
                  <w14:solidFill>
                    <w14:schemeClr w14:val="tx1">
                      <w14:lumMod w14:val="95000"/>
                      <w14:lumOff w14:val="5000"/>
                    </w14:schemeClr>
                  </w14:solidFill>
                </w14:textFill>
              </w:rPr>
              <w:t>等引发的伴生/次生污染物排放。</w:t>
            </w:r>
          </w:p>
          <w:p w14:paraId="3CF4FB29">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④危险物质向环境转移的可能途径和影响方式</w:t>
            </w:r>
          </w:p>
          <w:p w14:paraId="1D542A24">
            <w:pPr>
              <w:pStyle w:val="27"/>
              <w:widowControl w:val="0"/>
              <w:adjustRightInd w:val="0"/>
              <w:snapToGrid w:val="0"/>
              <w:spacing w:before="0" w:beforeAutospacing="0" w:after="0" w:afterAutospacing="0" w:line="500" w:lineRule="exact"/>
              <w:ind w:firstLine="480" w:firstLineChars="200"/>
              <w:jc w:val="both"/>
              <w:rPr>
                <w:rFonts w:hint="eastAsia"/>
                <w:bCs/>
                <w:color w:val="0D0D0D" w:themeColor="text1" w:themeTint="F2"/>
                <w14:textFill>
                  <w14:solidFill>
                    <w14:schemeClr w14:val="tx1">
                      <w14:lumMod w14:val="95000"/>
                      <w14:lumOff w14:val="5000"/>
                    </w14:schemeClr>
                  </w14:solidFill>
                </w14:textFill>
              </w:rPr>
            </w:pPr>
            <w:r>
              <w:rPr>
                <w:rFonts w:hint="eastAsia"/>
                <w:bCs/>
                <w:color w:val="0D0D0D" w:themeColor="text1" w:themeTint="F2"/>
                <w14:textFill>
                  <w14:solidFill>
                    <w14:schemeClr w14:val="tx1">
                      <w14:lumMod w14:val="95000"/>
                      <w14:lumOff w14:val="5000"/>
                    </w14:schemeClr>
                  </w14:solidFill>
                </w14:textFill>
              </w:rPr>
              <w:t>柴油储罐、采出液储罐、废水储罐、水基钻井液储罐、</w:t>
            </w:r>
            <w:r>
              <w:rPr>
                <w:bCs/>
                <w:color w:val="0D0D0D" w:themeColor="text1" w:themeTint="F2"/>
                <w14:textFill>
                  <w14:solidFill>
                    <w14:schemeClr w14:val="tx1">
                      <w14:lumMod w14:val="95000"/>
                      <w14:lumOff w14:val="5000"/>
                    </w14:schemeClr>
                  </w14:solidFill>
                </w14:textFill>
              </w:rPr>
              <w:t>油基钻井液储罐、油基钻井岩屑储罐、废润滑油桶等发生破损造成柴油/采出液/试油废水/废润滑油/水基钻井液/油基钻井液/油基钻井岩屑泄漏以及井喷事故造成采出液泄漏，柴油/采出液/废水/废润滑油/水基钻井液/油基钻井液/油基钻井岩屑等泄漏后污染土壤，污染物有可能通过包气带渗漏进入地下含水层，污染土壤和地下水；泄漏的柴油/采出液/废润滑油/油基钻井液若遇明火，发生火灾、爆炸，污染大气环境</w:t>
            </w:r>
            <w:r>
              <w:rPr>
                <w:rFonts w:hint="eastAsia"/>
                <w:bCs/>
                <w:color w:val="0D0D0D" w:themeColor="text1" w:themeTint="F2"/>
                <w14:textFill>
                  <w14:solidFill>
                    <w14:schemeClr w14:val="tx1">
                      <w14:lumMod w14:val="95000"/>
                      <w14:lumOff w14:val="5000"/>
                    </w14:schemeClr>
                  </w14:solidFill>
                </w14:textFill>
              </w:rPr>
              <w:t>。</w:t>
            </w:r>
          </w:p>
          <w:p w14:paraId="40E15D2D">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（3）环境风险分析</w:t>
            </w:r>
          </w:p>
          <w:p w14:paraId="20C066BC">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①井喷事故环境影响分析</w:t>
            </w:r>
          </w:p>
          <w:p w14:paraId="20379942">
            <w:pPr>
              <w:pStyle w:val="38"/>
              <w:ind w:firstLine="480"/>
              <w:rPr>
                <w:rFonts w:hint="eastAsia"/>
                <w:color w:val="0D0D0D" w:themeColor="text1" w:themeTint="F2"/>
                <w14:textFill>
                  <w14:solidFill>
                    <w14:schemeClr w14:val="tx1">
                      <w14:lumMod w14:val="95000"/>
                      <w14:lumOff w14:val="5000"/>
                    </w14:schemeClr>
                  </w14:solidFill>
                </w14:textFill>
              </w:rPr>
            </w:pPr>
            <w:bookmarkStart w:id="110" w:name="_Hlk143201703"/>
            <w:r>
              <w:rPr>
                <w:color w:val="0D0D0D" w:themeColor="text1" w:themeTint="F2"/>
                <w14:textFill>
                  <w14:solidFill>
                    <w14:schemeClr w14:val="tx1">
                      <w14:lumMod w14:val="95000"/>
                      <w14:lumOff w14:val="5000"/>
                    </w14:schemeClr>
                  </w14:solidFill>
                </w14:textFill>
              </w:rPr>
              <w:t>a.井场主要发生的风险事故为钻井时发生井喷事故。井场左右两侧各设置1条放喷管线。钻井过程中钻遇油气层，少量的油气排出，在井口液气分离器分离后，伴生气随着排气管线充分燃烧后放空，分离出的液相，排至应急放喷池。</w:t>
            </w:r>
          </w:p>
          <w:p w14:paraId="0FFF3B84">
            <w:pPr>
              <w:pStyle w:val="38"/>
              <w:ind w:firstLine="480"/>
              <w:rPr>
                <w:rFonts w:hint="eastAsia"/>
                <w:color w:val="0D0D0D" w:themeColor="text1" w:themeTint="F2"/>
                <w14:textFill>
                  <w14:solidFill>
                    <w14:schemeClr w14:val="tx1">
                      <w14:lumMod w14:val="95000"/>
                      <w14:lumOff w14:val="5000"/>
                    </w14:schemeClr>
                  </w14:solidFill>
                </w14:textFill>
              </w:rPr>
            </w:pPr>
            <w:r>
              <w:rPr>
                <w:bCs/>
                <w:color w:val="0D0D0D" w:themeColor="text1" w:themeTint="F2"/>
                <w14:textFill>
                  <w14:solidFill>
                    <w14:schemeClr w14:val="tx1">
                      <w14:lumMod w14:val="95000"/>
                      <w14:lumOff w14:val="5000"/>
                    </w14:schemeClr>
                  </w14:solidFill>
                </w14:textFill>
              </w:rPr>
              <w:t>一旦发生井喷突发事件，立即启动相应的突发事件专项应急预案。在套压超过最大允许关井压力应考虑井口装置额定工作压力、套管抗内压强度的80%和薄弱地层破裂压力所允许的关井压力的情况下才进行放喷。通过放喷管线排放至应急放喷池内，</w:t>
            </w:r>
            <w:r>
              <w:rPr>
                <w:color w:val="0D0D0D" w:themeColor="text1" w:themeTint="F2"/>
                <w14:textFill>
                  <w14:solidFill>
                    <w14:schemeClr w14:val="tx1">
                      <w14:lumMod w14:val="95000"/>
                      <w14:lumOff w14:val="5000"/>
                    </w14:schemeClr>
                  </w14:solidFill>
                </w14:textFill>
              </w:rPr>
              <w:t>待事故结束后，对放喷液进行集中收集处理，将泄漏的采出液最大限度地回收，对少量确实无法回收的油以及受污染的土壤形成的落地油，采用铲除油泥层等有效方法，落地油集中收集后不在井场贮存，直接交由具有相应危废处置资质的单位进行接收、转运和处置，以降低残油对生态环境的污染程度；由于钻井井口设置有井控系统，在放喷管线一侧预留1座200m</w:t>
            </w:r>
            <w:r>
              <w:rPr>
                <w:color w:val="0D0D0D" w:themeColor="text1" w:themeTint="F2"/>
                <w:vertAlign w:val="superscript"/>
                <w14:textFill>
                  <w14:solidFill>
                    <w14:schemeClr w14:val="tx1">
                      <w14:lumMod w14:val="95000"/>
                      <w14:lumOff w14:val="5000"/>
                    </w14:schemeClr>
                  </w14:solidFill>
                </w14:textFill>
              </w:rPr>
              <w:t>3</w:t>
            </w:r>
            <w:r>
              <w:rPr>
                <w:color w:val="0D0D0D" w:themeColor="text1" w:themeTint="F2"/>
                <w14:textFill>
                  <w14:solidFill>
                    <w14:schemeClr w14:val="tx1">
                      <w14:lumMod w14:val="95000"/>
                      <w14:lumOff w14:val="5000"/>
                    </w14:schemeClr>
                  </w14:solidFill>
                </w14:textFill>
              </w:rPr>
              <w:t>的应急放喷池可满足需求。应急放喷池仅在事故状态下开挖，井场旁有一辆挖机随时待命，一旦发生井喷，挖机可立即开挖放喷池，快速开挖至规定尺寸后，立刻采用人工防渗层进行防渗，防渗材料为HDPE防渗膜，防渗材料存放在井场内，渗透系数≤10</w:t>
            </w:r>
            <w:r>
              <w:rPr>
                <w:color w:val="0D0D0D" w:themeColor="text1" w:themeTint="F2"/>
                <w:vertAlign w:val="superscript"/>
                <w14:textFill>
                  <w14:solidFill>
                    <w14:schemeClr w14:val="tx1">
                      <w14:lumMod w14:val="95000"/>
                      <w14:lumOff w14:val="5000"/>
                    </w14:schemeClr>
                  </w14:solidFill>
                </w14:textFill>
              </w:rPr>
              <w:t>-10</w:t>
            </w:r>
            <w:r>
              <w:rPr>
                <w:color w:val="0D0D0D" w:themeColor="text1" w:themeTint="F2"/>
                <w14:textFill>
                  <w14:solidFill>
                    <w14:schemeClr w14:val="tx1">
                      <w14:lumMod w14:val="95000"/>
                      <w14:lumOff w14:val="5000"/>
                    </w14:schemeClr>
                  </w14:solidFill>
                </w14:textFill>
              </w:rPr>
              <w:t>cm/s。</w:t>
            </w:r>
          </w:p>
          <w:p w14:paraId="4D9AF5D1">
            <w:pPr>
              <w:pStyle w:val="38"/>
              <w:ind w:firstLine="480"/>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试油期若发生井喷事故，在井喷可控的情况下，放喷的伴生气排至排气管线燃烧后放空，采出液除了排入应急放喷池外还可以进入井场布设的1座20m</w:t>
            </w:r>
            <w:r>
              <w:rPr>
                <w:color w:val="0D0D0D" w:themeColor="text1" w:themeTint="F2"/>
                <w:vertAlign w:val="superscript"/>
                <w14:textFill>
                  <w14:solidFill>
                    <w14:schemeClr w14:val="tx1">
                      <w14:lumMod w14:val="95000"/>
                      <w14:lumOff w14:val="5000"/>
                    </w14:schemeClr>
                  </w14:solidFill>
                </w14:textFill>
              </w:rPr>
              <w:t>3</w:t>
            </w:r>
            <w:r>
              <w:rPr>
                <w:color w:val="0D0D0D" w:themeColor="text1" w:themeTint="F2"/>
                <w14:textFill>
                  <w14:solidFill>
                    <w14:schemeClr w14:val="tx1">
                      <w14:lumMod w14:val="95000"/>
                      <w14:lumOff w14:val="5000"/>
                    </w14:schemeClr>
                  </w14:solidFill>
                </w14:textFill>
              </w:rPr>
              <w:t>试油废水储罐及4座20m</w:t>
            </w:r>
            <w:r>
              <w:rPr>
                <w:color w:val="0D0D0D" w:themeColor="text1" w:themeTint="F2"/>
                <w:vertAlign w:val="superscript"/>
                <w14:textFill>
                  <w14:solidFill>
                    <w14:schemeClr w14:val="tx1">
                      <w14:lumMod w14:val="95000"/>
                      <w14:lumOff w14:val="5000"/>
                    </w14:schemeClr>
                  </w14:solidFill>
                </w14:textFill>
              </w:rPr>
              <w:t>3</w:t>
            </w:r>
            <w:r>
              <w:rPr>
                <w:color w:val="0D0D0D" w:themeColor="text1" w:themeTint="F2"/>
                <w14:textFill>
                  <w14:solidFill>
                    <w14:schemeClr w14:val="tx1">
                      <w14:lumMod w14:val="95000"/>
                      <w14:lumOff w14:val="5000"/>
                    </w14:schemeClr>
                  </w14:solidFill>
                </w14:textFill>
              </w:rPr>
              <w:t>采出液方罐，可满足要求。</w:t>
            </w:r>
          </w:p>
          <w:p w14:paraId="4CD53BFA">
            <w:pPr>
              <w:pStyle w:val="38"/>
              <w:ind w:firstLine="480"/>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井喷事故不可控的情况，可能导致大量的油气喷出井口、散落于井场周围，根据类比资料，井喷范围内土壤表层可见有蜡状的原油喷散物，井喷的影响范围一般为以井眼为圆心、半径200m的区域，由于本项目井喷影响范围内无居民点分布，若发生事故，人员可迅速撤离，故井喷基本不会对周边居民产生影响，所以井喷对人员的伤害有限，对土壤环境、大气环境和地下水可能产生影响。</w:t>
            </w:r>
          </w:p>
          <w:p w14:paraId="6CFC3830">
            <w:pPr>
              <w:pStyle w:val="38"/>
              <w:ind w:firstLine="480"/>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井喷事故状态下，油气泄漏事故可使井喷影响范围内的土壤理化性质发生变化，破坏土壤结构，影响土壤的通透性、降低土壤质量和肥力。事故发生后应及时清理现场，对原油进行回收，受污染的土壤集中收集后由有相应危险废物处置资质的单位进行回收处置，将井喷事故对周边植被的影响降至最低</w:t>
            </w:r>
            <w:r>
              <w:rPr>
                <w:rFonts w:hint="eastAsia"/>
                <w:color w:val="0D0D0D" w:themeColor="text1" w:themeTint="F2"/>
                <w14:textFill>
                  <w14:solidFill>
                    <w14:schemeClr w14:val="tx1">
                      <w14:lumMod w14:val="95000"/>
                      <w14:lumOff w14:val="5000"/>
                    </w14:schemeClr>
                  </w14:solidFill>
                </w14:textFill>
              </w:rPr>
              <w:t>。</w:t>
            </w:r>
          </w:p>
          <w:bookmarkEnd w:id="110"/>
          <w:p w14:paraId="23048585">
            <w:pPr>
              <w:pStyle w:val="38"/>
              <w:ind w:firstLine="480"/>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b</w:t>
            </w:r>
            <w:r>
              <w:rPr>
                <w:rFonts w:hint="eastAsia"/>
                <w:color w:val="0D0D0D" w:themeColor="text1" w:themeTint="F2"/>
                <w14:textFill>
                  <w14:solidFill>
                    <w14:schemeClr w14:val="tx1">
                      <w14:lumMod w14:val="95000"/>
                      <w14:lumOff w14:val="5000"/>
                    </w14:schemeClr>
                  </w14:solidFill>
                </w14:textFill>
              </w:rPr>
              <w:t>.对大气环境影响分析</w:t>
            </w:r>
          </w:p>
          <w:p w14:paraId="7F83115C">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bCs/>
                <w:color w:val="0D0D0D" w:themeColor="text1" w:themeTint="F2"/>
                <w14:textFill>
                  <w14:solidFill>
                    <w14:schemeClr w14:val="tx1">
                      <w14:lumMod w14:val="95000"/>
                      <w14:lumOff w14:val="5000"/>
                    </w14:schemeClr>
                  </w14:solidFill>
                </w14:textFill>
              </w:rPr>
              <w:t>发生井喷失控事故后，伴生气、伴生气中硫化氢和原油挥发产生的非甲烷总烃进入环境空气，</w:t>
            </w:r>
            <w:r>
              <w:rPr>
                <w:bCs/>
                <w:color w:val="0D0D0D" w:themeColor="text1" w:themeTint="F2"/>
                <w14:textFill>
                  <w14:solidFill>
                    <w14:schemeClr w14:val="tx1">
                      <w14:lumMod w14:val="95000"/>
                      <w14:lumOff w14:val="5000"/>
                    </w14:schemeClr>
                  </w14:solidFill>
                </w14:textFill>
              </w:rPr>
              <w:t>可能会对周围环境空气产生影响</w:t>
            </w:r>
            <w:r>
              <w:rPr>
                <w:rFonts w:hint="eastAsia"/>
                <w:bCs/>
                <w:color w:val="0D0D0D" w:themeColor="text1" w:themeTint="F2"/>
                <w14:textFill>
                  <w14:solidFill>
                    <w14:schemeClr w14:val="tx1">
                      <w14:lumMod w14:val="95000"/>
                      <w14:lumOff w14:val="5000"/>
                    </w14:schemeClr>
                  </w14:solidFill>
                </w14:textFill>
              </w:rPr>
              <w:t>。</w:t>
            </w:r>
            <w:r>
              <w:rPr>
                <w:bCs/>
                <w:color w:val="0D0D0D" w:themeColor="text1" w:themeTint="F2"/>
                <w14:textFill>
                  <w14:solidFill>
                    <w14:schemeClr w14:val="tx1">
                      <w14:lumMod w14:val="95000"/>
                      <w14:lumOff w14:val="5000"/>
                    </w14:schemeClr>
                  </w14:solidFill>
                </w14:textFill>
              </w:rPr>
              <w:t>若遇明火可</w:t>
            </w:r>
            <w:r>
              <w:rPr>
                <w:rFonts w:hint="eastAsia"/>
                <w:bCs/>
                <w:color w:val="0D0D0D" w:themeColor="text1" w:themeTint="F2"/>
                <w14:textFill>
                  <w14:solidFill>
                    <w14:schemeClr w14:val="tx1">
                      <w14:lumMod w14:val="95000"/>
                      <w14:lumOff w14:val="5000"/>
                    </w14:schemeClr>
                  </w14:solidFill>
                </w14:textFill>
              </w:rPr>
              <w:t>能</w:t>
            </w:r>
            <w:r>
              <w:rPr>
                <w:bCs/>
                <w:color w:val="0D0D0D" w:themeColor="text1" w:themeTint="F2"/>
                <w14:textFill>
                  <w14:solidFill>
                    <w14:schemeClr w14:val="tx1">
                      <w14:lumMod w14:val="95000"/>
                      <w14:lumOff w14:val="5000"/>
                    </w14:schemeClr>
                  </w14:solidFill>
                </w14:textFill>
              </w:rPr>
              <w:t>发生火灾、爆炸，</w:t>
            </w:r>
            <w:r>
              <w:rPr>
                <w:rFonts w:hint="eastAsia"/>
                <w:bCs/>
                <w:color w:val="0D0D0D" w:themeColor="text1" w:themeTint="F2"/>
                <w14:textFill>
                  <w14:solidFill>
                    <w14:schemeClr w14:val="tx1">
                      <w14:lumMod w14:val="95000"/>
                      <w14:lumOff w14:val="5000"/>
                    </w14:schemeClr>
                  </w14:solidFill>
                </w14:textFill>
              </w:rPr>
              <w:t>随之</w:t>
            </w:r>
            <w:r>
              <w:rPr>
                <w:bCs/>
                <w:color w:val="0D0D0D" w:themeColor="text1" w:themeTint="F2"/>
                <w14:textFill>
                  <w14:solidFill>
                    <w14:schemeClr w14:val="tx1">
                      <w14:lumMod w14:val="95000"/>
                      <w14:lumOff w14:val="5000"/>
                    </w14:schemeClr>
                  </w14:solidFill>
                </w14:textFill>
              </w:rPr>
              <w:t>产生的伴生、次生污染物会对环境空气产生一定的影响</w:t>
            </w:r>
            <w:r>
              <w:rPr>
                <w:rFonts w:hint="eastAsia"/>
                <w:bCs/>
                <w:color w:val="0D0D0D" w:themeColor="text1" w:themeTint="F2"/>
                <w14:textFill>
                  <w14:solidFill>
                    <w14:schemeClr w14:val="tx1">
                      <w14:lumMod w14:val="95000"/>
                      <w14:lumOff w14:val="5000"/>
                    </w14:schemeClr>
                  </w14:solidFill>
                </w14:textFill>
              </w:rPr>
              <w:t>，</w:t>
            </w:r>
            <w:r>
              <w:rPr>
                <w:rFonts w:hint="eastAsia"/>
                <w:color w:val="0D0D0D" w:themeColor="text1" w:themeTint="F2"/>
                <w14:textFill>
                  <w14:solidFill>
                    <w14:schemeClr w14:val="tx1">
                      <w14:lumMod w14:val="95000"/>
                      <w14:lumOff w14:val="5000"/>
                    </w14:schemeClr>
                  </w14:solidFill>
                </w14:textFill>
              </w:rPr>
              <w:t>并对环境和施工人员产生一定危害，主要危害包括：遇明火可能发生火灾或爆炸事故，造成人员伤亡；烃类气体以及火灾或爆炸事故次生污染物CO对人体的毒性危害，对周围的大气环境及施工人员造成影响。伴生气中的甲烷和硫化氢进入大气后，可能会造成中毒事件。</w:t>
            </w:r>
          </w:p>
          <w:p w14:paraId="623DF2A7">
            <w:pPr>
              <w:pStyle w:val="38"/>
              <w:ind w:firstLine="480"/>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由于地域空旷，扩散条件较好，发生事故后，及时采取相应的措施，不会对周围环境空气产生明显影响。</w:t>
            </w:r>
          </w:p>
          <w:p w14:paraId="7D92D0CC">
            <w:pPr>
              <w:pStyle w:val="38"/>
              <w:ind w:firstLine="480"/>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c</w:t>
            </w:r>
            <w:r>
              <w:rPr>
                <w:rFonts w:hint="eastAsia"/>
                <w:color w:val="0D0D0D" w:themeColor="text1" w:themeTint="F2"/>
                <w14:textFill>
                  <w14:solidFill>
                    <w14:schemeClr w14:val="tx1">
                      <w14:lumMod w14:val="95000"/>
                      <w14:lumOff w14:val="5000"/>
                    </w14:schemeClr>
                  </w14:solidFill>
                </w14:textFill>
              </w:rPr>
              <w:t>.对地下水环境影响分析</w:t>
            </w:r>
          </w:p>
          <w:p w14:paraId="0461240A">
            <w:pPr>
              <w:pStyle w:val="27"/>
              <w:widowControl w:val="0"/>
              <w:adjustRightInd w:val="0"/>
              <w:snapToGrid w:val="0"/>
              <w:spacing w:before="0" w:beforeAutospacing="0" w:after="0" w:afterAutospacing="0" w:line="500" w:lineRule="exact"/>
              <w:ind w:firstLine="480" w:firstLineChars="200"/>
              <w:jc w:val="both"/>
              <w:rPr>
                <w:rFonts w:hint="eastAsia"/>
                <w:bCs/>
                <w:color w:val="0D0D0D" w:themeColor="text1" w:themeTint="F2"/>
                <w14:textFill>
                  <w14:solidFill>
                    <w14:schemeClr w14:val="tx1">
                      <w14:lumMod w14:val="95000"/>
                      <w14:lumOff w14:val="5000"/>
                    </w14:schemeClr>
                  </w14:solidFill>
                </w14:textFill>
              </w:rPr>
            </w:pPr>
            <w:r>
              <w:rPr>
                <w:rFonts w:hint="eastAsia"/>
                <w:bCs/>
                <w:color w:val="0D0D0D" w:themeColor="text1" w:themeTint="F2"/>
                <w:kern w:val="2"/>
                <w:lang w:bidi="ar"/>
                <w14:textFill>
                  <w14:solidFill>
                    <w14:schemeClr w14:val="tx1">
                      <w14:lumMod w14:val="95000"/>
                      <w14:lumOff w14:val="5000"/>
                    </w14:schemeClr>
                  </w14:solidFill>
                </w14:textFill>
              </w:rPr>
              <w:t>根据类比调查，从事故井区土壤剖面分析，井喷失控事故后石油类污染物主要被拦截在包气带土壤剖面1m以内</w:t>
            </w:r>
            <w:r>
              <w:rPr>
                <w:rFonts w:hint="eastAsia" w:cs="宋体"/>
                <w:color w:val="0D0D0D" w:themeColor="text1" w:themeTint="F2"/>
                <w14:textFill>
                  <w14:solidFill>
                    <w14:schemeClr w14:val="tx1">
                      <w14:lumMod w14:val="95000"/>
                      <w14:lumOff w14:val="5000"/>
                    </w14:schemeClr>
                  </w14:solidFill>
                </w14:textFill>
              </w:rPr>
              <w:t>，一般很难渗入到2m以下。项目区地下水埋深＞10m，</w:t>
            </w:r>
            <w:r>
              <w:rPr>
                <w:rFonts w:hint="eastAsia"/>
                <w:bCs/>
                <w:color w:val="0D0D0D" w:themeColor="text1" w:themeTint="F2"/>
                <w:kern w:val="2"/>
                <w:lang w:bidi="ar"/>
                <w14:textFill>
                  <w14:solidFill>
                    <w14:schemeClr w14:val="tx1">
                      <w14:lumMod w14:val="95000"/>
                      <w14:lumOff w14:val="5000"/>
                    </w14:schemeClr>
                  </w14:solidFill>
                </w14:textFill>
              </w:rPr>
              <w:t>同时因为气候干旱少雨，不存在大量降水的淋滤作用，因此对地下水体的影响概率不大。及时清理井喷事故中落地原油，对可回收采出液进行回收，落地油收集后交由具有相应危废处置资质的单位进行回收处置，及时采取上述有效措施治理污染后，井喷不会造成地下水污染。</w:t>
            </w:r>
          </w:p>
          <w:p w14:paraId="1DB045EA">
            <w:pPr>
              <w:pStyle w:val="38"/>
              <w:ind w:firstLine="480"/>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d</w:t>
            </w:r>
            <w:r>
              <w:rPr>
                <w:rFonts w:hint="eastAsia"/>
                <w:color w:val="0D0D0D" w:themeColor="text1" w:themeTint="F2"/>
                <w14:textFill>
                  <w14:solidFill>
                    <w14:schemeClr w14:val="tx1">
                      <w14:lumMod w14:val="95000"/>
                      <w14:lumOff w14:val="5000"/>
                    </w14:schemeClr>
                  </w14:solidFill>
                </w14:textFill>
              </w:rPr>
              <w:t>.对土壤环境影响分析</w:t>
            </w:r>
          </w:p>
          <w:p w14:paraId="0E76D0EB">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井喷失控事故使井喷影响范围内的土壤理化性质发生变化，破坏土壤结构，影响土壤的通透性、降低土壤质量，油污黏在植被根系上，形成一层黏膜，阻碍植被根系养分和水分的吸收，引起根系腐烂，影响野生植被的生长。事故发生后及时清理现场，对可回收原油进行回收，不能回收的原油和受污染的土壤形成落地油，落地油集中收集后由有相应危废处置资质的单位进行回收处置，将井喷事故对周边植被的影响降至最低。</w:t>
            </w:r>
          </w:p>
          <w:p w14:paraId="7F396F9B">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e.对植被影响分析</w:t>
            </w:r>
          </w:p>
          <w:p w14:paraId="597B7BE7">
            <w:pPr>
              <w:snapToGrid w:val="0"/>
              <w:spacing w:line="480" w:lineRule="exact"/>
              <w:ind w:firstLine="480" w:firstLineChars="200"/>
              <w:rPr>
                <w:rFonts w:hint="eastAsia" w:ascii="宋体" w:hAnsi="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井喷事故发生后，喷出的油类物质可能对周围自然植被产生一定的影响，</w:t>
            </w:r>
            <w:r>
              <w:rPr>
                <w:rFonts w:hint="eastAsia" w:ascii="宋体" w:hAnsi="宋体"/>
                <w:color w:val="0D0D0D" w:themeColor="text1" w:themeTint="F2"/>
                <w14:textFill>
                  <w14:solidFill>
                    <w14:schemeClr w14:val="tx1">
                      <w14:lumMod w14:val="95000"/>
                      <w14:lumOff w14:val="5000"/>
                    </w14:schemeClr>
                  </w14:solidFill>
                </w14:textFill>
              </w:rPr>
              <w:t>井场周围半径200m范围内的自然植被将全部由于石油类污染而使其呼吸受阻，不能进行正常光合作用而死亡；原油进入土壤后与土壤结合，渗入土壤孔隙，使土壤透气性和呼吸作用减弱，改变了土壤质地和结构，影响到土壤的生物功能，进而造成生长其上的植物和土壤动物的死亡，这种影响会导致污染地段多年无法生长植物或长势减弱，甚至使这一区域变为裸地。由于这一影响使土壤结构受石油类污染而发生变化，因此，被污染区域的植被不易恢复。若井喷时发生火灾，结果将使燃烧范围内的植被全部死亡。必须采取严格有效的风险防范措施，防止、降低井喷事故风险发生。事故发生后应及时清理现场，</w:t>
            </w:r>
            <w:bookmarkStart w:id="111" w:name="_Hlk175608479"/>
            <w:r>
              <w:rPr>
                <w:rFonts w:hint="eastAsia" w:ascii="宋体" w:hAnsi="宋体"/>
                <w:color w:val="0D0D0D" w:themeColor="text1" w:themeTint="F2"/>
                <w14:textFill>
                  <w14:solidFill>
                    <w14:schemeClr w14:val="tx1">
                      <w14:lumMod w14:val="95000"/>
                      <w14:lumOff w14:val="5000"/>
                    </w14:schemeClr>
                  </w14:solidFill>
                </w14:textFill>
              </w:rPr>
              <w:t>及时清理沾染油污的植被，对落地油进行回收，受污染的土壤集中收集后由有相应危废处置资质的单位进行回收处置，将井喷事故对周边植被的影响降至最低。</w:t>
            </w:r>
          </w:p>
          <w:bookmarkEnd w:id="111"/>
          <w:p w14:paraId="714D2AA7">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②储罐泄漏环境影响分析</w:t>
            </w:r>
          </w:p>
          <w:p w14:paraId="386A2B6D">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a.对大气环境影响分析</w:t>
            </w:r>
          </w:p>
          <w:p w14:paraId="5C10B7A8">
            <w:pPr>
              <w:snapToGrid w:val="0"/>
              <w:spacing w:line="480" w:lineRule="exact"/>
              <w:ind w:firstLine="472"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spacing w:val="-2"/>
                <w14:textFill>
                  <w14:solidFill>
                    <w14:schemeClr w14:val="tx1">
                      <w14:lumMod w14:val="95000"/>
                      <w14:lumOff w14:val="5000"/>
                    </w14:schemeClr>
                  </w14:solidFill>
                </w14:textFill>
              </w:rPr>
              <w:t>储罐发生泄漏后，伴生气、伴生气中硫化氢和原油挥发产生的非甲烷总烃进入环境空气可能会对周围环境空气产生影响。若遇明火，可发生火灾、爆炸，且火灾、爆炸产生的伴生、次生污染物也会对环境空气产生一定影响。由于泄漏量少，加上项目区地域空旷、扩散条件较好，发生事故后若能及时采取相应措施，则不会对周围环境空气产生明显影响</w:t>
            </w:r>
            <w:r>
              <w:rPr>
                <w:rFonts w:hint="eastAsia" w:ascii="宋体" w:hAnsi="宋体" w:cs="宋体"/>
                <w:color w:val="0D0D0D" w:themeColor="text1" w:themeTint="F2"/>
                <w14:textFill>
                  <w14:solidFill>
                    <w14:schemeClr w14:val="tx1">
                      <w14:lumMod w14:val="95000"/>
                      <w14:lumOff w14:val="5000"/>
                    </w14:schemeClr>
                  </w14:solidFill>
                </w14:textFill>
              </w:rPr>
              <w:t>。</w:t>
            </w:r>
          </w:p>
          <w:p w14:paraId="674BD2B3">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ascii="宋体" w:hAnsi="宋体" w:cs="宋体"/>
                <w:color w:val="0D0D0D" w:themeColor="text1" w:themeTint="F2"/>
                <w14:textFill>
                  <w14:solidFill>
                    <w14:schemeClr w14:val="tx1">
                      <w14:lumMod w14:val="95000"/>
                      <w14:lumOff w14:val="5000"/>
                    </w14:schemeClr>
                  </w14:solidFill>
                </w14:textFill>
              </w:rPr>
              <w:t>柴油储罐存放的为成品柴油，其泄漏后若遇明火极易发生火灾、爆炸事故，剧烈的燃烧伴生/次生的污染物会对大气环境造成污染影响，燃烧产生的气体主要包括一氧化碳、二氧化硫和二氧化碳等，其中一氧化碳、二氧化硫为有毒有害气体。</w:t>
            </w:r>
          </w:p>
          <w:p w14:paraId="086297AE">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b.对土壤环境影响分析</w:t>
            </w:r>
          </w:p>
          <w:p w14:paraId="4961940D">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泄漏的油类物质可使土壤透气性下降、土壤理化性状发生变化，使土壤透气性和呼吸作用减弱，从而影响土壤中的微生物生存，造成土壤盐碱化、破坏土壤结构；除此之外，还会导致土壤中石油类污染物增加，造成土地肥力下降、改变土壤的理化性质，从而影响土壤的正常结构和功能。</w:t>
            </w:r>
          </w:p>
          <w:p w14:paraId="3F798626">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施工期间柴油储罐、采出液储罐、废水储罐、岩屑储罐等储罐区域均铺设防渗膜，储罐发生泄漏后应及时回收原油、收集受污染的土壤，然后委托有相应危险废物处置资质的单位进行回收处置。因此，在采取上述措施后不会对周围土壤环境产生明显影响。</w:t>
            </w:r>
          </w:p>
          <w:p w14:paraId="341C27F6">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c.对植被的影响</w:t>
            </w:r>
          </w:p>
          <w:p w14:paraId="3735DF23">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油类物质泄漏对植被的影响主要分为三种途径，一是泄漏物直接黏附于植物体阻断植物的光合作用，使植物枯萎、死亡；二是污染土壤，造成土壤理化性状发生变化，从而间接影响植物生长，严重时会导致植物死亡；三是泄漏物质中的轻组分挥发，在对空气环境产生影响的同时，也会对周围植物产生影响。因此，对储罐区采取防渗措施、对受污染区域及时处理后，油类物料泄漏不会对周围植被产生明显影响。</w:t>
            </w:r>
          </w:p>
          <w:p w14:paraId="28BE023B">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d.对地下水环境的影响</w:t>
            </w:r>
          </w:p>
          <w:p w14:paraId="1C6853F9">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柴油储罐、采出液储罐、废水储罐泄漏的油品下渗可能会污染地下水。井场各类储罐堆放场地为地上设施，储罐均为钢制储罐且底部铺设防渗膜，发生泄漏的概率极小；一旦发生泄漏可在较短时间内发现并采取堵漏措施，出现长期连续性泄漏的可能性很低。当泄漏事故不可控时，泄漏的油品经土层渗漏，通过包气带进入含水层。根据《采油废水中石油类污染物在土壤中的迁移规律研究》（岳占林文）中结论“风沙土尽管颗粒较粗、结构较松散、孔隙比较大，但对石油类物质的截留作用是非常显著的，石油类很难在土壤剖面中随水下渗迁移，基本上被截留在0cm～10cm或0cm～20cm表层土壤中，其中表层0cm～5cm土壤截留了90%以上的泄漏原油。由此可以推断，油田环境非敏感区其他颗粒较细、之地比较粘重的土壤类型，如盐土、林灌草甸土、龟裂土等，对石油类的截留作用更大，在相同实验条件下，石油类污染物在这些土壤中则更不易下渗迁移，其下渗迁移的范围也不超过20cm；对于颗粒较粗、结构较松散、空隙比较多的棕漠土，在消除土体裂隙和根孔影响的实验条件下，石油类下渗迁移的深度也不超过30cm。在排除土体裂隙和腐烂根孔影响的条件下，当20mg/L的含油污水（三级污水排放标准浓度）甚至更高浓度的含油污水持续排放于石油勘探开发的各类土壤上，石油类污染物在土体中下渗迁移程度有限，很难穿透包气带而进入地下水。”因此，即使发生泄漏</w:t>
            </w:r>
            <w:r>
              <w:rPr>
                <w:color w:val="0D0D0D" w:themeColor="text1" w:themeTint="F2"/>
                <w14:textFill>
                  <w14:solidFill>
                    <w14:schemeClr w14:val="tx1">
                      <w14:lumMod w14:val="95000"/>
                      <w14:lumOff w14:val="5000"/>
                    </w14:schemeClr>
                  </w14:solidFill>
                </w14:textFill>
              </w:rPr>
              <w:t>事故，做到及时发现、及时处理，彻底清除泄漏油品、被污染的土壤，不会对当地地下水</w:t>
            </w:r>
            <w:r>
              <w:rPr>
                <w:rFonts w:hint="eastAsia"/>
                <w:color w:val="0D0D0D" w:themeColor="text1" w:themeTint="F2"/>
                <w14:textFill>
                  <w14:solidFill>
                    <w14:schemeClr w14:val="tx1">
                      <w14:lumMod w14:val="95000"/>
                      <w14:lumOff w14:val="5000"/>
                    </w14:schemeClr>
                  </w14:solidFill>
                </w14:textFill>
              </w:rPr>
              <w:t>体环境产生大的影响。</w:t>
            </w:r>
            <w:r>
              <w:rPr>
                <w:rFonts w:hint="eastAsia" w:ascii="宋体" w:hAnsi="宋体" w:cs="宋体"/>
                <w:color w:val="0D0D0D" w:themeColor="text1" w:themeTint="F2"/>
                <w14:textFill>
                  <w14:solidFill>
                    <w14:schemeClr w14:val="tx1">
                      <w14:lumMod w14:val="95000"/>
                      <w14:lumOff w14:val="5000"/>
                    </w14:schemeClr>
                  </w14:solidFill>
                </w14:textFill>
              </w:rPr>
              <w:t>因此，施工期发生渗漏污染地下水的风险事故可能性很小。</w:t>
            </w:r>
          </w:p>
          <w:p w14:paraId="696A3652">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③井漏环境影响分析</w:t>
            </w:r>
          </w:p>
          <w:p w14:paraId="2AB2D0D7">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井漏事故对地下水的污染途径主要是钻井液漏失于地下水含水层中，造成地下含水层水质污染。钻井液漏失于地下含水层其径流型污染的范围不大，主要发生在局部且持续时间较短；使用清洁无害的水基钻井液，严格控制使用有毒有害钻井液；同时严格要求套管下入深度、确保固井质量等措施，可有效控制钻井液在含水层中的漏失。因此，井漏事故对地下水环境的影响在可接受范围内。</w:t>
            </w:r>
          </w:p>
          <w:p w14:paraId="290294E9">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④采出液、废水及柴油拉运过程中泄漏风险分析</w:t>
            </w:r>
          </w:p>
          <w:p w14:paraId="63176916">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罐车拉运过程中的风险主要为罐车上的储罐发生泄漏、火灾、爆炸等事故对周围环境的影响，其影响与储罐泄漏影响相同，具体影响见储罐泄漏影响分析。</w:t>
            </w:r>
          </w:p>
          <w:p w14:paraId="142764E9">
            <w:pPr>
              <w:snapToGrid w:val="0"/>
              <w:spacing w:line="48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r>
              <w:rPr>
                <w:rFonts w:hint="eastAsia" w:ascii="宋体" w:hAnsi="宋体" w:cs="宋体"/>
                <w:b/>
                <w:bCs/>
                <w:color w:val="0D0D0D" w:themeColor="text1" w:themeTint="F2"/>
                <w14:textFill>
                  <w14:solidFill>
                    <w14:schemeClr w14:val="tx1">
                      <w14:lumMod w14:val="95000"/>
                      <w14:lumOff w14:val="5000"/>
                    </w14:schemeClr>
                  </w14:solidFill>
                </w14:textFill>
              </w:rPr>
              <w:t>9、其他产出物说明</w:t>
            </w:r>
          </w:p>
          <w:p w14:paraId="4656F20C">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试油过程产生的采出物包括伴生气、原油和采出水等。其中伴生气在井场通过排气管线充分燃烧后放空；采出液（原油和采出水）暂存于地面储罐后拉运至采油一厂红山嘴原油处理站处理。</w:t>
            </w:r>
          </w:p>
        </w:tc>
      </w:tr>
      <w:tr w14:paraId="2F39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14:paraId="12B42053">
            <w:pPr>
              <w:snapToGrid w:val="0"/>
              <w:spacing w:line="300" w:lineRule="exact"/>
              <w:jc w:val="center"/>
              <w:rPr>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运营期生态环境影响分析</w:t>
            </w:r>
          </w:p>
        </w:tc>
        <w:tc>
          <w:tcPr>
            <w:tcW w:w="7899" w:type="dxa"/>
            <w:vAlign w:val="center"/>
          </w:tcPr>
          <w:p w14:paraId="2348DE01">
            <w:pPr>
              <w:snapToGrid w:val="0"/>
              <w:spacing w:line="500" w:lineRule="exact"/>
              <w:ind w:firstLine="480" w:firstLineChars="200"/>
              <w:rPr>
                <w:color w:val="0D0D0D" w:themeColor="text1" w:themeTint="F2"/>
                <w14:textFill>
                  <w14:solidFill>
                    <w14:schemeClr w14:val="tx1">
                      <w14:lumMod w14:val="95000"/>
                      <w14:lumOff w14:val="5000"/>
                    </w14:schemeClr>
                  </w14:solidFill>
                </w14:textFill>
              </w:rPr>
            </w:pPr>
          </w:p>
          <w:p w14:paraId="3D799BA3">
            <w:pPr>
              <w:snapToGrid w:val="0"/>
              <w:spacing w:line="500" w:lineRule="exact"/>
              <w:ind w:firstLine="480" w:firstLineChars="200"/>
              <w:rPr>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本项目无运营期，钻试活动结束后环境影响随之消失。</w:t>
            </w:r>
          </w:p>
          <w:p w14:paraId="7D549CCB">
            <w:pPr>
              <w:rPr>
                <w:color w:val="0D0D0D" w:themeColor="text1" w:themeTint="F2"/>
                <w14:textFill>
                  <w14:solidFill>
                    <w14:schemeClr w14:val="tx1">
                      <w14:lumMod w14:val="95000"/>
                      <w14:lumOff w14:val="5000"/>
                    </w14:schemeClr>
                  </w14:solidFill>
                </w14:textFill>
              </w:rPr>
            </w:pPr>
          </w:p>
          <w:p w14:paraId="32101D1F">
            <w:pPr>
              <w:pStyle w:val="14"/>
              <w:rPr>
                <w:color w:val="0D0D0D" w:themeColor="text1" w:themeTint="F2"/>
                <w14:textFill>
                  <w14:solidFill>
                    <w14:schemeClr w14:val="tx1">
                      <w14:lumMod w14:val="95000"/>
                      <w14:lumOff w14:val="5000"/>
                    </w14:schemeClr>
                  </w14:solidFill>
                </w14:textFill>
              </w:rPr>
            </w:pPr>
          </w:p>
        </w:tc>
      </w:tr>
      <w:tr w14:paraId="0CD8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14:paraId="5C6D4C1F">
            <w:pPr>
              <w:snapToGrid w:val="0"/>
              <w:spacing w:line="480" w:lineRule="exact"/>
              <w:jc w:val="center"/>
              <w:rPr>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选址选线环境合理性分析</w:t>
            </w:r>
          </w:p>
        </w:tc>
        <w:tc>
          <w:tcPr>
            <w:tcW w:w="7899" w:type="dxa"/>
          </w:tcPr>
          <w:p w14:paraId="680E2956">
            <w:pPr>
              <w:snapToGrid w:val="0"/>
              <w:spacing w:line="48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bookmarkStart w:id="112" w:name="_Hlk213898926"/>
            <w:r>
              <w:rPr>
                <w:rFonts w:hint="eastAsia" w:ascii="宋体" w:hAnsi="宋体" w:cs="宋体"/>
                <w:b/>
                <w:bCs/>
                <w:color w:val="0D0D0D" w:themeColor="text1" w:themeTint="F2"/>
                <w14:textFill>
                  <w14:solidFill>
                    <w14:schemeClr w14:val="tx1">
                      <w14:lumMod w14:val="95000"/>
                      <w14:lumOff w14:val="5000"/>
                    </w14:schemeClr>
                  </w14:solidFill>
                </w14:textFill>
              </w:rPr>
              <w:t>1、环境制约因素方面</w:t>
            </w:r>
          </w:p>
          <w:p w14:paraId="0254AD8D">
            <w:pPr>
              <w:pStyle w:val="38"/>
              <w:ind w:firstLine="480"/>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根据现场踏勘及井场平面布置，</w:t>
            </w:r>
            <w:r>
              <w:rPr>
                <w:rFonts w:hint="eastAsia" w:cs="宋体"/>
                <w:color w:val="0D0D0D" w:themeColor="text1" w:themeTint="F2"/>
                <w14:textFill>
                  <w14:solidFill>
                    <w14:schemeClr w14:val="tx1">
                      <w14:lumMod w14:val="95000"/>
                      <w14:lumOff w14:val="5000"/>
                    </w14:schemeClr>
                  </w14:solidFill>
                </w14:textFill>
              </w:rPr>
              <w:t>井场和生活营地选址时已避开植被茂密地带。本项目拟建探临道路长257m，项目区地势高差起伏较大，道路选线时在考虑地形的前提下尽量取直线设计，以减少占地；</w:t>
            </w:r>
            <w:r>
              <w:rPr>
                <w:rFonts w:hint="eastAsia"/>
                <w:color w:val="0D0D0D" w:themeColor="text1" w:themeTint="F2"/>
                <w14:textFill>
                  <w14:solidFill>
                    <w14:schemeClr w14:val="tx1">
                      <w14:lumMod w14:val="95000"/>
                      <w14:lumOff w14:val="5000"/>
                    </w14:schemeClr>
                  </w14:solidFill>
                </w14:textFill>
              </w:rPr>
              <w:t>井口</w:t>
            </w:r>
            <w:r>
              <w:rPr>
                <w:color w:val="0D0D0D" w:themeColor="text1" w:themeTint="F2"/>
                <w14:textFill>
                  <w14:solidFill>
                    <w14:schemeClr w14:val="tx1">
                      <w14:lumMod w14:val="95000"/>
                      <w14:lumOff w14:val="5000"/>
                    </w14:schemeClr>
                  </w14:solidFill>
                </w14:textFill>
              </w:rPr>
              <w:t>75</w:t>
            </w:r>
            <w:r>
              <w:rPr>
                <w:rFonts w:hint="eastAsia"/>
                <w:color w:val="0D0D0D" w:themeColor="text1" w:themeTint="F2"/>
                <w14:textFill>
                  <w14:solidFill>
                    <w14:schemeClr w14:val="tx1">
                      <w14:lumMod w14:val="95000"/>
                      <w14:lumOff w14:val="5000"/>
                    </w14:schemeClr>
                  </w14:solidFill>
                </w14:textFill>
              </w:rPr>
              <w:t>m</w:t>
            </w:r>
            <w:r>
              <w:rPr>
                <w:color w:val="0D0D0D" w:themeColor="text1" w:themeTint="F2"/>
                <w14:textFill>
                  <w14:solidFill>
                    <w14:schemeClr w14:val="tx1">
                      <w14:lumMod w14:val="95000"/>
                      <w14:lumOff w14:val="5000"/>
                    </w14:schemeClr>
                  </w14:solidFill>
                </w14:textFill>
              </w:rPr>
              <w:t>范围内无高压线及其它永久性设施</w:t>
            </w: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100</w:t>
            </w:r>
            <w:r>
              <w:rPr>
                <w:rFonts w:hint="eastAsia"/>
                <w:color w:val="0D0D0D" w:themeColor="text1" w:themeTint="F2"/>
                <w14:textFill>
                  <w14:solidFill>
                    <w14:schemeClr w14:val="tx1">
                      <w14:lumMod w14:val="95000"/>
                      <w14:lumOff w14:val="5000"/>
                    </w14:schemeClr>
                  </w14:solidFill>
                </w14:textFill>
              </w:rPr>
              <w:t>m</w:t>
            </w:r>
            <w:r>
              <w:rPr>
                <w:color w:val="0D0D0D" w:themeColor="text1" w:themeTint="F2"/>
                <w14:textFill>
                  <w14:solidFill>
                    <w14:schemeClr w14:val="tx1">
                      <w14:lumMod w14:val="95000"/>
                      <w14:lumOff w14:val="5000"/>
                    </w14:schemeClr>
                  </w14:solidFill>
                </w14:textFill>
              </w:rPr>
              <w:t>范围内无民宅，200</w:t>
            </w:r>
            <w:r>
              <w:rPr>
                <w:rFonts w:hint="eastAsia"/>
                <w:color w:val="0D0D0D" w:themeColor="text1" w:themeTint="F2"/>
                <w14:textFill>
                  <w14:solidFill>
                    <w14:schemeClr w14:val="tx1">
                      <w14:lumMod w14:val="95000"/>
                      <w14:lumOff w14:val="5000"/>
                    </w14:schemeClr>
                  </w14:solidFill>
                </w14:textFill>
              </w:rPr>
              <w:t>m</w:t>
            </w:r>
            <w:r>
              <w:rPr>
                <w:color w:val="0D0D0D" w:themeColor="text1" w:themeTint="F2"/>
                <w14:textFill>
                  <w14:solidFill>
                    <w14:schemeClr w14:val="tx1">
                      <w14:lumMod w14:val="95000"/>
                      <w14:lumOff w14:val="5000"/>
                    </w14:schemeClr>
                  </w14:solidFill>
                </w14:textFill>
              </w:rPr>
              <w:t>范围内无铁路、高速公路，500</w:t>
            </w:r>
            <w:r>
              <w:rPr>
                <w:rFonts w:hint="eastAsia"/>
                <w:color w:val="0D0D0D" w:themeColor="text1" w:themeTint="F2"/>
                <w14:textFill>
                  <w14:solidFill>
                    <w14:schemeClr w14:val="tx1">
                      <w14:lumMod w14:val="95000"/>
                      <w14:lumOff w14:val="5000"/>
                    </w14:schemeClr>
                  </w14:solidFill>
                </w14:textFill>
              </w:rPr>
              <w:t>m</w:t>
            </w:r>
            <w:r>
              <w:rPr>
                <w:color w:val="0D0D0D" w:themeColor="text1" w:themeTint="F2"/>
                <w14:textFill>
                  <w14:solidFill>
                    <w14:schemeClr w14:val="tx1">
                      <w14:lumMod w14:val="95000"/>
                      <w14:lumOff w14:val="5000"/>
                    </w14:schemeClr>
                  </w14:solidFill>
                </w14:textFill>
              </w:rPr>
              <w:t>范围内无学校、医院和大型油库等人口密集型、高危性场所</w:t>
            </w:r>
            <w:r>
              <w:rPr>
                <w:rFonts w:hint="eastAsia"/>
                <w:color w:val="0D0D0D" w:themeColor="text1" w:themeTint="F2"/>
                <w14:textFill>
                  <w14:solidFill>
                    <w14:schemeClr w14:val="tx1">
                      <w14:lumMod w14:val="95000"/>
                      <w14:lumOff w14:val="5000"/>
                    </w14:schemeClr>
                  </w14:solidFill>
                </w14:textFill>
              </w:rPr>
              <w:t>。周围无地下矿产采掘坑道、矿井通道</w:t>
            </w:r>
            <w:r>
              <w:rPr>
                <w:rFonts w:hint="eastAsia"/>
                <w:color w:val="0D0D0D" w:themeColor="text1" w:themeTint="F2"/>
                <w:spacing w:val="-6"/>
                <w14:textFill>
                  <w14:solidFill>
                    <w14:schemeClr w14:val="tx1">
                      <w14:lumMod w14:val="95000"/>
                      <w14:lumOff w14:val="5000"/>
                    </w14:schemeClr>
                  </w14:solidFill>
                </w14:textFill>
              </w:rPr>
              <w:t>，</w:t>
            </w:r>
            <w:r>
              <w:rPr>
                <w:color w:val="0D0D0D" w:themeColor="text1" w:themeTint="F2"/>
                <w:spacing w:val="-6"/>
                <w14:textFill>
                  <w14:solidFill>
                    <w14:schemeClr w14:val="tx1">
                      <w14:lumMod w14:val="95000"/>
                      <w14:lumOff w14:val="5000"/>
                    </w14:schemeClr>
                  </w14:solidFill>
                </w14:textFill>
              </w:rPr>
              <w:t>其选址符合《钻前工程及井场布置技术</w:t>
            </w:r>
            <w:r>
              <w:rPr>
                <w:color w:val="0D0D0D" w:themeColor="text1" w:themeTint="F2"/>
                <w:spacing w:val="-11"/>
                <w14:textFill>
                  <w14:solidFill>
                    <w14:schemeClr w14:val="tx1">
                      <w14:lumMod w14:val="95000"/>
                      <w14:lumOff w14:val="5000"/>
                    </w14:schemeClr>
                  </w14:solidFill>
                </w14:textFill>
              </w:rPr>
              <w:t>要求》</w:t>
            </w:r>
            <w:r>
              <w:rPr>
                <w:color w:val="0D0D0D" w:themeColor="text1" w:themeTint="F2"/>
                <w14:textFill>
                  <w14:solidFill>
                    <w14:schemeClr w14:val="tx1">
                      <w14:lumMod w14:val="95000"/>
                      <w14:lumOff w14:val="5000"/>
                    </w14:schemeClr>
                  </w14:solidFill>
                </w14:textFill>
              </w:rPr>
              <w:t>(SY/T5466-2013)</w:t>
            </w:r>
            <w:r>
              <w:rPr>
                <w:color w:val="0D0D0D" w:themeColor="text1" w:themeTint="F2"/>
                <w:spacing w:val="-7"/>
                <w14:textFill>
                  <w14:solidFill>
                    <w14:schemeClr w14:val="tx1">
                      <w14:lumMod w14:val="95000"/>
                      <w14:lumOff w14:val="5000"/>
                    </w14:schemeClr>
                  </w14:solidFill>
                </w14:textFill>
              </w:rPr>
              <w:t>的要求。</w:t>
            </w:r>
            <w:r>
              <w:rPr>
                <w:rFonts w:hint="eastAsia"/>
                <w:color w:val="0D0D0D" w:themeColor="text1" w:themeTint="F2"/>
                <w:spacing w:val="-7"/>
                <w14:textFill>
                  <w14:solidFill>
                    <w14:schemeClr w14:val="tx1">
                      <w14:lumMod w14:val="95000"/>
                      <w14:lumOff w14:val="5000"/>
                    </w14:schemeClr>
                  </w14:solidFill>
                </w14:textFill>
              </w:rPr>
              <w:t>由于项目区位于山谷间，受现场地势高差影响，探临道路弱穿越山体，施工难度和环境影响均较大，因此选择穿越地势平坦、地势较低的农田。</w:t>
            </w:r>
          </w:p>
          <w:p w14:paraId="05929D85">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拟部署井周边无自然保护区、风景名胜区、饮用水水源保护区等特殊敏感区域和重要生态敏感区域，且无以居住、医疗卫生、文化教育、科研、行政办公等为主要功能的区域，无重大环境制约因素。</w:t>
            </w:r>
          </w:p>
          <w:p w14:paraId="64B199A2">
            <w:pPr>
              <w:snapToGrid w:val="0"/>
              <w:spacing w:line="48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r>
              <w:rPr>
                <w:rFonts w:hint="eastAsia" w:ascii="宋体" w:hAnsi="宋体" w:cs="宋体"/>
                <w:b/>
                <w:bCs/>
                <w:color w:val="0D0D0D" w:themeColor="text1" w:themeTint="F2"/>
                <w14:textFill>
                  <w14:solidFill>
                    <w14:schemeClr w14:val="tx1">
                      <w14:lumMod w14:val="95000"/>
                      <w14:lumOff w14:val="5000"/>
                    </w14:schemeClr>
                  </w14:solidFill>
                </w14:textFill>
              </w:rPr>
              <w:t>2、环境影响程度方面</w:t>
            </w:r>
          </w:p>
          <w:p w14:paraId="2C5D435A">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s="宋体"/>
                <w:color w:val="0D0D0D" w:themeColor="text1" w:themeTint="F2"/>
                <w14:textFill>
                  <w14:solidFill>
                    <w14:schemeClr w14:val="tx1">
                      <w14:lumMod w14:val="95000"/>
                      <w14:lumOff w14:val="5000"/>
                    </w14:schemeClr>
                  </w14:solidFill>
                </w14:textFill>
              </w:rPr>
              <w:t>井场和生活营地选址、探临道路选线均已避开野生植物生长密集地带，探临道路尽量沿自然地形建设，尽量取直、减少占地，减少对植被的影响</w:t>
            </w:r>
            <w:r>
              <w:rPr>
                <w:rFonts w:hint="eastAsia"/>
                <w:color w:val="0D0D0D" w:themeColor="text1" w:themeTint="F2"/>
                <w14:textFill>
                  <w14:solidFill>
                    <w14:schemeClr w14:val="tx1">
                      <w14:lumMod w14:val="95000"/>
                      <w14:lumOff w14:val="5000"/>
                    </w14:schemeClr>
                  </w14:solidFill>
                </w14:textFill>
              </w:rPr>
              <w:t>。项目所在区域人类活动频繁，野生动物数量较少，且占地均为临时占地，钻试工程结束后，临时占地均可得到释放和恢复，</w:t>
            </w:r>
            <w:r>
              <w:rPr>
                <w:rFonts w:hint="eastAsia"/>
                <w:bCs/>
                <w:color w:val="0D0D0D" w:themeColor="text1" w:themeTint="F2"/>
                <w:szCs w:val="21"/>
                <w14:textFill>
                  <w14:solidFill>
                    <w14:schemeClr w14:val="tx1">
                      <w14:lumMod w14:val="95000"/>
                      <w14:lumOff w14:val="5000"/>
                    </w14:schemeClr>
                  </w14:solidFill>
                </w14:textFill>
              </w:rPr>
              <w:t>植物主要靠自然恢复；</w:t>
            </w:r>
            <w:r>
              <w:rPr>
                <w:rFonts w:hint="eastAsia"/>
                <w:color w:val="0D0D0D" w:themeColor="text1" w:themeTint="F2"/>
                <w14:textFill>
                  <w14:solidFill>
                    <w14:schemeClr w14:val="tx1">
                      <w14:lumMod w14:val="95000"/>
                      <w14:lumOff w14:val="5000"/>
                    </w14:schemeClr>
                  </w14:solidFill>
                </w14:textFill>
              </w:rPr>
              <w:t>区域内野生动物数量较少，对周围生态环境影响较小。建设单位应按相关要求及时办理征地补偿协议；本次评价针对施工期间产生的“三废”、噪声及生态影响均提出了相应的治理或减缓措施，不会对项目所在区域环境质量产生较大影响。</w:t>
            </w:r>
          </w:p>
          <w:p w14:paraId="1BF5F48C">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综上所述，项目选址选线合理。</w:t>
            </w:r>
            <w:bookmarkEnd w:id="112"/>
          </w:p>
          <w:p w14:paraId="0D9B05B3">
            <w:pPr>
              <w:pStyle w:val="38"/>
              <w:ind w:firstLine="480"/>
              <w:rPr>
                <w:rFonts w:hint="eastAsia"/>
                <w:color w:val="0D0D0D" w:themeColor="text1" w:themeTint="F2"/>
                <w14:textFill>
                  <w14:solidFill>
                    <w14:schemeClr w14:val="tx1">
                      <w14:lumMod w14:val="95000"/>
                      <w14:lumOff w14:val="5000"/>
                    </w14:schemeClr>
                  </w14:solidFill>
                </w14:textFill>
              </w:rPr>
            </w:pPr>
          </w:p>
          <w:p w14:paraId="33041ED2">
            <w:pPr>
              <w:pStyle w:val="38"/>
              <w:ind w:firstLine="480"/>
              <w:rPr>
                <w:rFonts w:hint="eastAsia"/>
                <w:color w:val="0D0D0D" w:themeColor="text1" w:themeTint="F2"/>
                <w14:textFill>
                  <w14:solidFill>
                    <w14:schemeClr w14:val="tx1">
                      <w14:lumMod w14:val="95000"/>
                      <w14:lumOff w14:val="5000"/>
                    </w14:schemeClr>
                  </w14:solidFill>
                </w14:textFill>
              </w:rPr>
            </w:pPr>
          </w:p>
          <w:p w14:paraId="072F4D62">
            <w:pPr>
              <w:pStyle w:val="38"/>
              <w:ind w:firstLine="480"/>
              <w:rPr>
                <w:rFonts w:hint="eastAsia"/>
                <w:color w:val="0D0D0D" w:themeColor="text1" w:themeTint="F2"/>
                <w14:textFill>
                  <w14:solidFill>
                    <w14:schemeClr w14:val="tx1">
                      <w14:lumMod w14:val="95000"/>
                      <w14:lumOff w14:val="5000"/>
                    </w14:schemeClr>
                  </w14:solidFill>
                </w14:textFill>
              </w:rPr>
            </w:pPr>
          </w:p>
          <w:p w14:paraId="05FF3078">
            <w:pPr>
              <w:pStyle w:val="38"/>
              <w:ind w:firstLine="480"/>
              <w:rPr>
                <w:rFonts w:hint="eastAsia"/>
                <w:color w:val="0D0D0D" w:themeColor="text1" w:themeTint="F2"/>
                <w14:textFill>
                  <w14:solidFill>
                    <w14:schemeClr w14:val="tx1">
                      <w14:lumMod w14:val="95000"/>
                      <w14:lumOff w14:val="5000"/>
                    </w14:schemeClr>
                  </w14:solidFill>
                </w14:textFill>
              </w:rPr>
            </w:pPr>
          </w:p>
          <w:p w14:paraId="702F595F">
            <w:pPr>
              <w:pStyle w:val="38"/>
              <w:ind w:firstLine="480"/>
              <w:rPr>
                <w:rFonts w:hint="eastAsia"/>
                <w:color w:val="0D0D0D" w:themeColor="text1" w:themeTint="F2"/>
                <w14:textFill>
                  <w14:solidFill>
                    <w14:schemeClr w14:val="tx1">
                      <w14:lumMod w14:val="95000"/>
                      <w14:lumOff w14:val="5000"/>
                    </w14:schemeClr>
                  </w14:solidFill>
                </w14:textFill>
              </w:rPr>
            </w:pPr>
          </w:p>
          <w:p w14:paraId="6CEE6CA5">
            <w:pPr>
              <w:pStyle w:val="38"/>
              <w:ind w:firstLine="480"/>
              <w:rPr>
                <w:rFonts w:hint="eastAsia"/>
                <w:color w:val="0D0D0D" w:themeColor="text1" w:themeTint="F2"/>
                <w14:textFill>
                  <w14:solidFill>
                    <w14:schemeClr w14:val="tx1">
                      <w14:lumMod w14:val="95000"/>
                      <w14:lumOff w14:val="5000"/>
                    </w14:schemeClr>
                  </w14:solidFill>
                </w14:textFill>
              </w:rPr>
            </w:pPr>
          </w:p>
          <w:p w14:paraId="313AE7CF">
            <w:pPr>
              <w:pStyle w:val="38"/>
              <w:ind w:firstLine="480"/>
              <w:rPr>
                <w:rFonts w:hint="eastAsia"/>
                <w:color w:val="0D0D0D" w:themeColor="text1" w:themeTint="F2"/>
                <w14:textFill>
                  <w14:solidFill>
                    <w14:schemeClr w14:val="tx1">
                      <w14:lumMod w14:val="95000"/>
                      <w14:lumOff w14:val="5000"/>
                    </w14:schemeClr>
                  </w14:solidFill>
                </w14:textFill>
              </w:rPr>
            </w:pPr>
          </w:p>
          <w:p w14:paraId="7892626F">
            <w:pPr>
              <w:pStyle w:val="38"/>
              <w:ind w:firstLine="480"/>
              <w:rPr>
                <w:rFonts w:hint="eastAsia"/>
                <w:color w:val="0D0D0D" w:themeColor="text1" w:themeTint="F2"/>
                <w14:textFill>
                  <w14:solidFill>
                    <w14:schemeClr w14:val="tx1">
                      <w14:lumMod w14:val="95000"/>
                      <w14:lumOff w14:val="5000"/>
                    </w14:schemeClr>
                  </w14:solidFill>
                </w14:textFill>
              </w:rPr>
            </w:pPr>
          </w:p>
          <w:p w14:paraId="33AD5613">
            <w:pPr>
              <w:pStyle w:val="38"/>
              <w:ind w:firstLine="480"/>
              <w:rPr>
                <w:rFonts w:hint="eastAsia"/>
                <w:color w:val="0D0D0D" w:themeColor="text1" w:themeTint="F2"/>
                <w14:textFill>
                  <w14:solidFill>
                    <w14:schemeClr w14:val="tx1">
                      <w14:lumMod w14:val="95000"/>
                      <w14:lumOff w14:val="5000"/>
                    </w14:schemeClr>
                  </w14:solidFill>
                </w14:textFill>
              </w:rPr>
            </w:pPr>
          </w:p>
          <w:p w14:paraId="7644C435">
            <w:pPr>
              <w:pStyle w:val="38"/>
              <w:ind w:firstLine="480"/>
              <w:rPr>
                <w:rFonts w:hint="eastAsia"/>
                <w:color w:val="0D0D0D" w:themeColor="text1" w:themeTint="F2"/>
                <w14:textFill>
                  <w14:solidFill>
                    <w14:schemeClr w14:val="tx1">
                      <w14:lumMod w14:val="95000"/>
                      <w14:lumOff w14:val="5000"/>
                    </w14:schemeClr>
                  </w14:solidFill>
                </w14:textFill>
              </w:rPr>
            </w:pPr>
          </w:p>
          <w:p w14:paraId="646E50F8">
            <w:pPr>
              <w:pStyle w:val="38"/>
              <w:ind w:firstLine="480"/>
              <w:rPr>
                <w:rFonts w:hint="eastAsia"/>
                <w:color w:val="0D0D0D" w:themeColor="text1" w:themeTint="F2"/>
                <w14:textFill>
                  <w14:solidFill>
                    <w14:schemeClr w14:val="tx1">
                      <w14:lumMod w14:val="95000"/>
                      <w14:lumOff w14:val="5000"/>
                    </w14:schemeClr>
                  </w14:solidFill>
                </w14:textFill>
              </w:rPr>
            </w:pPr>
          </w:p>
          <w:p w14:paraId="696590D9">
            <w:pPr>
              <w:pStyle w:val="38"/>
              <w:ind w:firstLine="480"/>
              <w:rPr>
                <w:rFonts w:hint="eastAsia"/>
                <w:color w:val="0D0D0D" w:themeColor="text1" w:themeTint="F2"/>
                <w14:textFill>
                  <w14:solidFill>
                    <w14:schemeClr w14:val="tx1">
                      <w14:lumMod w14:val="95000"/>
                      <w14:lumOff w14:val="5000"/>
                    </w14:schemeClr>
                  </w14:solidFill>
                </w14:textFill>
              </w:rPr>
            </w:pPr>
          </w:p>
          <w:p w14:paraId="3DB6C04F">
            <w:pPr>
              <w:pStyle w:val="38"/>
              <w:ind w:firstLine="480"/>
              <w:rPr>
                <w:rFonts w:hint="eastAsia"/>
                <w:color w:val="0D0D0D" w:themeColor="text1" w:themeTint="F2"/>
                <w14:textFill>
                  <w14:solidFill>
                    <w14:schemeClr w14:val="tx1">
                      <w14:lumMod w14:val="95000"/>
                      <w14:lumOff w14:val="5000"/>
                    </w14:schemeClr>
                  </w14:solidFill>
                </w14:textFill>
              </w:rPr>
            </w:pPr>
          </w:p>
          <w:p w14:paraId="709E881B">
            <w:pPr>
              <w:pStyle w:val="38"/>
              <w:ind w:firstLine="480"/>
              <w:rPr>
                <w:rFonts w:hint="eastAsia"/>
                <w:color w:val="0D0D0D" w:themeColor="text1" w:themeTint="F2"/>
                <w14:textFill>
                  <w14:solidFill>
                    <w14:schemeClr w14:val="tx1">
                      <w14:lumMod w14:val="95000"/>
                      <w14:lumOff w14:val="5000"/>
                    </w14:schemeClr>
                  </w14:solidFill>
                </w14:textFill>
              </w:rPr>
            </w:pPr>
          </w:p>
        </w:tc>
      </w:tr>
    </w:tbl>
    <w:p w14:paraId="663267FC">
      <w:pPr>
        <w:pStyle w:val="2"/>
        <w:rPr>
          <w:rFonts w:hint="eastAsia"/>
          <w:color w:val="0D0D0D" w:themeColor="text1" w:themeTint="F2"/>
          <w14:textFill>
            <w14:solidFill>
              <w14:schemeClr w14:val="tx1">
                <w14:lumMod w14:val="95000"/>
                <w14:lumOff w14:val="5000"/>
              </w14:schemeClr>
            </w14:solidFill>
          </w14:textFill>
        </w:rPr>
        <w:sectPr>
          <w:pgSz w:w="11906" w:h="16838"/>
          <w:pgMar w:top="1418" w:right="1418" w:bottom="1588" w:left="1588" w:header="851" w:footer="992" w:gutter="0"/>
          <w:cols w:space="425" w:num="1"/>
          <w:docGrid w:type="lines" w:linePitch="326" w:charSpace="0"/>
        </w:sectPr>
      </w:pPr>
    </w:p>
    <w:p w14:paraId="36CC2349">
      <w:pPr>
        <w:pStyle w:val="2"/>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pPr>
      <w:bookmarkStart w:id="113" w:name="_Hlk136794953"/>
      <w:r>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t>五、主要生态环境保护措施</w:t>
      </w:r>
    </w:p>
    <w:bookmarkEnd w:id="113"/>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8237"/>
      </w:tblGrid>
      <w:tr w14:paraId="6A7D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vAlign w:val="center"/>
          </w:tcPr>
          <w:p w14:paraId="50728135">
            <w:pPr>
              <w:adjustRightInd w:val="0"/>
              <w:snapToGrid w:val="0"/>
              <w:spacing w:line="5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bCs/>
                <w:color w:val="0D0D0D" w:themeColor="text1" w:themeTint="F2"/>
                <w14:textFill>
                  <w14:solidFill>
                    <w14:schemeClr w14:val="tx1">
                      <w14:lumMod w14:val="95000"/>
                      <w14:lumOff w14:val="5000"/>
                    </w14:schemeClr>
                  </w14:solidFill>
                </w14:textFill>
              </w:rPr>
              <w:t>施工期生态环境保护措施</w:t>
            </w:r>
          </w:p>
        </w:tc>
        <w:tc>
          <w:tcPr>
            <w:tcW w:w="4633" w:type="pct"/>
          </w:tcPr>
          <w:p w14:paraId="53D3B85A">
            <w:pPr>
              <w:pStyle w:val="38"/>
              <w:ind w:firstLine="482"/>
              <w:rPr>
                <w:rFonts w:hint="eastAsia"/>
                <w:b/>
                <w:bCs/>
                <w:color w:val="0D0D0D" w:themeColor="text1" w:themeTint="F2"/>
                <w14:textFill>
                  <w14:solidFill>
                    <w14:schemeClr w14:val="tx1">
                      <w14:lumMod w14:val="95000"/>
                      <w14:lumOff w14:val="5000"/>
                    </w14:schemeClr>
                  </w14:solidFill>
                </w14:textFill>
              </w:rPr>
            </w:pPr>
            <w:r>
              <w:rPr>
                <w:rFonts w:hint="eastAsia"/>
                <w:b/>
                <w:bCs/>
                <w:color w:val="0D0D0D" w:themeColor="text1" w:themeTint="F2"/>
                <w14:textFill>
                  <w14:solidFill>
                    <w14:schemeClr w14:val="tx1">
                      <w14:lumMod w14:val="95000"/>
                      <w14:lumOff w14:val="5000"/>
                    </w14:schemeClr>
                  </w14:solidFill>
                </w14:textFill>
              </w:rPr>
              <w:t>1、生态环境保护措施</w:t>
            </w:r>
          </w:p>
          <w:p w14:paraId="7C543653">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建设单位及施工单位应严格执行本次评价提出的生态环境保护措施，并确保各项保护措施与钻试工程同时设计、同时施工、同时使用。</w:t>
            </w:r>
          </w:p>
          <w:p w14:paraId="45B501FE">
            <w:pPr>
              <w:pStyle w:val="38"/>
              <w:ind w:firstLine="480"/>
              <w:rPr>
                <w:rFonts w:hint="eastAsia"/>
                <w:color w:val="0D0D0D" w:themeColor="text1" w:themeTint="F2"/>
                <w14:textFill>
                  <w14:solidFill>
                    <w14:schemeClr w14:val="tx1">
                      <w14:lumMod w14:val="95000"/>
                      <w14:lumOff w14:val="5000"/>
                    </w14:schemeClr>
                  </w14:solidFill>
                </w14:textFill>
              </w:rPr>
            </w:pPr>
            <w:bookmarkStart w:id="114" w:name="_Hlk140837423"/>
            <w:bookmarkStart w:id="115" w:name="_Hlk213898970"/>
            <w:r>
              <w:rPr>
                <w:rFonts w:hint="eastAsia"/>
                <w:color w:val="0D0D0D" w:themeColor="text1" w:themeTint="F2"/>
                <w14:textFill>
                  <w14:solidFill>
                    <w14:schemeClr w14:val="tx1">
                      <w14:lumMod w14:val="95000"/>
                      <w14:lumOff w14:val="5000"/>
                    </w14:schemeClr>
                  </w14:solidFill>
                </w14:textFill>
              </w:rPr>
              <w:t>（1）植被保护措施</w:t>
            </w:r>
          </w:p>
          <w:p w14:paraId="4C1A4038">
            <w:pPr>
              <w:pStyle w:val="38"/>
              <w:ind w:firstLine="480"/>
              <w:rPr>
                <w:rFonts w:hint="eastAsia"/>
                <w:color w:val="0D0D0D" w:themeColor="text1" w:themeTint="F2"/>
                <w14:textFill>
                  <w14:solidFill>
                    <w14:schemeClr w14:val="tx1">
                      <w14:lumMod w14:val="95000"/>
                      <w14:lumOff w14:val="5000"/>
                    </w14:schemeClr>
                  </w14:solidFill>
                </w14:textFill>
              </w:rPr>
            </w:pPr>
            <w:bookmarkStart w:id="116" w:name="_Hlk140834056"/>
            <w:r>
              <w:rPr>
                <w:rFonts w:hint="eastAsia"/>
                <w:color w:val="0D0D0D" w:themeColor="text1" w:themeTint="F2"/>
                <w14:textFill>
                  <w14:solidFill>
                    <w14:schemeClr w14:val="tx1">
                      <w14:lumMod w14:val="95000"/>
                      <w14:lumOff w14:val="5000"/>
                    </w14:schemeClr>
                  </w14:solidFill>
                </w14:textFill>
              </w:rPr>
              <w:t>①工程避让措施：施工井场、生活营地等选址、探临道路选线时应提前踏勘，在满足勘探设计和施工要求的前提下，对井场、生活营地位置、探临道路路由等临时占地进行适当调整，避开野生植物生长密集地带，减少占地，以减轻对影响区域内植被的扰动和破坏。</w:t>
            </w:r>
            <w:bookmarkStart w:id="117" w:name="_Hlk136795909"/>
          </w:p>
          <w:p w14:paraId="261E811B">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②减缓措施：严格控制施工作业区面积，</w:t>
            </w:r>
            <w:bookmarkStart w:id="118" w:name="_Hlk213895889"/>
            <w:r>
              <w:rPr>
                <w:rFonts w:hint="eastAsia"/>
                <w:color w:val="0D0D0D" w:themeColor="text1" w:themeTint="F2"/>
                <w14:textFill>
                  <w14:solidFill>
                    <w14:schemeClr w14:val="tx1">
                      <w14:lumMod w14:val="95000"/>
                      <w14:lumOff w14:val="5000"/>
                    </w14:schemeClr>
                  </w14:solidFill>
                </w14:textFill>
              </w:rPr>
              <w:t>严格控制探临道路施工作业带范围，严格控制井场、生活营地及探临道路等各类工程建设活动在临时占地范围内，不得随意扩大、碾压周边野生植被，最大限度减缓对野生植物生存环境的破坏。尽量缩小施工占地，不得随意开辟道路，减少影响范围；确保各环保设施正常运行，避免各类污染物对土壤环境的影响，防止进一步影响其上部生长的野生植被。</w:t>
            </w:r>
            <w:bookmarkEnd w:id="118"/>
            <w:r>
              <w:rPr>
                <w:rFonts w:hint="eastAsia"/>
                <w:color w:val="0D0D0D" w:themeColor="text1" w:themeTint="F2"/>
                <w14:textFill>
                  <w14:solidFill>
                    <w14:schemeClr w14:val="tx1">
                      <w14:lumMod w14:val="95000"/>
                      <w14:lumOff w14:val="5000"/>
                    </w14:schemeClr>
                  </w14:solidFill>
                </w14:textFill>
              </w:rPr>
              <w:t>项目在建设过程中，应避免在大风天气作业，避免风蚀从而造成水土流失；提高施工效率，缩短施工时间。严格按施工方案要求在指定地点堆放临时土石方，并压紧、夯实，做好洒水降尘工作，减少扬尘对野生植被的影响。</w:t>
            </w:r>
            <w:bookmarkStart w:id="119" w:name="_Hlk120058480"/>
            <w:r>
              <w:rPr>
                <w:rFonts w:hint="eastAsia"/>
                <w:color w:val="0D0D0D" w:themeColor="text1" w:themeTint="F2"/>
                <w14:textFill>
                  <w14:solidFill>
                    <w14:schemeClr w14:val="tx1">
                      <w14:lumMod w14:val="95000"/>
                      <w14:lumOff w14:val="5000"/>
                    </w14:schemeClr>
                  </w14:solidFill>
                </w14:textFill>
              </w:rPr>
              <w:t>井场、临时道路施工、应急放喷池、生活污水临时储集池施工产生</w:t>
            </w:r>
            <w:r>
              <w:rPr>
                <w:rFonts w:hint="eastAsia" w:cs="宋体"/>
                <w:color w:val="0D0D0D" w:themeColor="text1" w:themeTint="F2"/>
                <w:spacing w:val="-2"/>
                <w14:textFill>
                  <w14:solidFill>
                    <w14:schemeClr w14:val="tx1">
                      <w14:lumMod w14:val="95000"/>
                      <w14:lumOff w14:val="5000"/>
                    </w14:schemeClr>
                  </w14:solidFill>
                </w14:textFill>
              </w:rPr>
              <w:t>的土方应压实并采用苫布遮盖，减少施工扬尘的产生</w:t>
            </w:r>
            <w:bookmarkEnd w:id="119"/>
            <w:r>
              <w:rPr>
                <w:rFonts w:hint="eastAsia" w:cs="宋体"/>
                <w:color w:val="0D0D0D" w:themeColor="text1" w:themeTint="F2"/>
                <w:spacing w:val="-2"/>
                <w14:textFill>
                  <w14:solidFill>
                    <w14:schemeClr w14:val="tx1">
                      <w14:lumMod w14:val="95000"/>
                      <w14:lumOff w14:val="5000"/>
                    </w14:schemeClr>
                  </w14:solidFill>
                </w14:textFill>
              </w:rPr>
              <w:t>。</w:t>
            </w:r>
          </w:p>
          <w:p w14:paraId="7B4BBDB3">
            <w:pPr>
              <w:pStyle w:val="38"/>
              <w:ind w:firstLine="480"/>
              <w:rPr>
                <w:rFonts w:hint="eastAsia"/>
                <w:color w:val="0D0D0D" w:themeColor="text1" w:themeTint="F2"/>
                <w14:textFill>
                  <w14:solidFill>
                    <w14:schemeClr w14:val="tx1">
                      <w14:lumMod w14:val="95000"/>
                      <w14:lumOff w14:val="5000"/>
                    </w14:schemeClr>
                  </w14:solidFill>
                </w14:textFill>
              </w:rPr>
            </w:pPr>
            <w:bookmarkStart w:id="120" w:name="_Hlk143198760"/>
            <w:r>
              <w:rPr>
                <w:rFonts w:hint="eastAsia"/>
                <w:color w:val="0D0D0D" w:themeColor="text1" w:themeTint="F2"/>
                <w14:textFill>
                  <w14:solidFill>
                    <w14:schemeClr w14:val="tx1">
                      <w14:lumMod w14:val="95000"/>
                      <w14:lumOff w14:val="5000"/>
                    </w14:schemeClr>
                  </w14:solidFill>
                </w14:textFill>
              </w:rPr>
              <w:t>③</w:t>
            </w:r>
            <w:r>
              <w:rPr>
                <w:rFonts w:hint="eastAsia"/>
                <w:color w:val="0D0D0D" w:themeColor="text1" w:themeTint="F2"/>
                <w:lang w:bidi="ar"/>
                <w14:textFill>
                  <w14:solidFill>
                    <w14:schemeClr w14:val="tx1">
                      <w14:lumMod w14:val="95000"/>
                      <w14:lumOff w14:val="5000"/>
                    </w14:schemeClr>
                  </w14:solidFill>
                </w14:textFill>
              </w:rPr>
              <w:t>修复措施：</w:t>
            </w:r>
            <w:bookmarkStart w:id="121" w:name="_Hlk193817417"/>
            <w:r>
              <w:rPr>
                <w:rFonts w:hint="eastAsia"/>
                <w:color w:val="0D0D0D" w:themeColor="text1" w:themeTint="F2"/>
                <w:lang w:bidi="ar"/>
                <w14:textFill>
                  <w14:solidFill>
                    <w14:schemeClr w14:val="tx1">
                      <w14:lumMod w14:val="95000"/>
                      <w14:lumOff w14:val="5000"/>
                    </w14:schemeClr>
                  </w14:solidFill>
                </w14:textFill>
              </w:rPr>
              <w:t>钻前工程需要对临时占地范围进行平整、压实，以便于铺垫砂石料，施工结束后，井场铺垫砂石料全部清理，拉运至其他拟施工井场，重复利用。</w:t>
            </w:r>
            <w:bookmarkEnd w:id="121"/>
            <w:r>
              <w:rPr>
                <w:rFonts w:hint="eastAsia"/>
                <w:color w:val="0D0D0D" w:themeColor="text1" w:themeTint="F2"/>
                <w:lang w:bidi="ar"/>
                <w14:textFill>
                  <w14:solidFill>
                    <w14:schemeClr w14:val="tx1">
                      <w14:lumMod w14:val="95000"/>
                      <w14:lumOff w14:val="5000"/>
                    </w14:schemeClr>
                  </w14:solidFill>
                </w14:textFill>
              </w:rPr>
              <w:t>施工结束后，施工单位应负责及时清理现场，做到井场整洁、无杂物，完井后施工机械、设备及时撤离，对生活营地和探临道路等占地进行清理平整，废水和固体废物全部妥善处置，禁止现场遗留；尽量利用井场及探临道路施工时产生的表层土对临时占地进行覆盖，植被主要靠自然恢复。施工为分段施工，建议“边施工、边修复”。</w:t>
            </w:r>
          </w:p>
          <w:bookmarkEnd w:id="120"/>
          <w:p w14:paraId="23B97484">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④补偿措施：严格按照有关规定办理用地审批手续，并对因项目实施造成的生态损失予以经济补偿，足额缴纳生态经济补偿费，目前建设单位正在办理临时占地经济补偿协议。</w:t>
            </w:r>
          </w:p>
          <w:bookmarkEnd w:id="114"/>
          <w:bookmarkEnd w:id="116"/>
          <w:bookmarkEnd w:id="117"/>
          <w:p w14:paraId="1CB7A26E">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⑤管理措施：严格遵守油田环境保护规章制度；严格控制井场占地，严格划定车辆行驶路线及探临道路开拓路线，禁止运输车辆乱碾乱轧；严格规定各类工作人员的活动范围，最大限度减少对植物生存环境的踩踏破坏和对野生动物栖息地的侵扰。加强环境保护宣传工作，提高施工人员环保意识，特别是注意对野生动物和自然植被的保护。</w:t>
            </w:r>
          </w:p>
          <w:bookmarkEnd w:id="115"/>
          <w:p w14:paraId="4BDF0B76">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⑥</w:t>
            </w:r>
            <w:bookmarkStart w:id="122" w:name="_Hlk170989618"/>
            <w:r>
              <w:rPr>
                <w:rFonts w:hint="eastAsia" w:ascii="宋体" w:hAnsi="宋体" w:cs="宋体"/>
                <w:color w:val="0D0D0D" w:themeColor="text1" w:themeTint="F2"/>
                <w14:textFill>
                  <w14:solidFill>
                    <w14:schemeClr w14:val="tx1">
                      <w14:lumMod w14:val="95000"/>
                      <w14:lumOff w14:val="5000"/>
                    </w14:schemeClr>
                  </w14:solidFill>
                </w14:textFill>
              </w:rPr>
              <w:t>对天然牧草地的保护措施</w:t>
            </w:r>
          </w:p>
          <w:bookmarkEnd w:id="122"/>
          <w:p w14:paraId="46C77BDE">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项目占地类型主要为天然牧草地，应按照《中华人民共和国草原法》相关要求采取以下保护措施：</w:t>
            </w:r>
          </w:p>
          <w:p w14:paraId="6DE7D0DB">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1）严格按照《中华人民共和国草原法》中第五十条“……开采矿产资源的，并应当依法办理有关手续。经批准在草原上从事本条第一款所列活动的，应当在规定的时间、区域内，按照准许的采挖方式作业，并采取保护草原植被的措施”要求，</w:t>
            </w:r>
            <w:bookmarkStart w:id="123" w:name="_Hlk208334346"/>
            <w:r>
              <w:rPr>
                <w:rFonts w:hint="eastAsia" w:ascii="宋体" w:hAnsi="宋体" w:cs="宋体"/>
                <w:color w:val="0D0D0D" w:themeColor="text1" w:themeTint="F2"/>
                <w14:textFill>
                  <w14:solidFill>
                    <w14:schemeClr w14:val="tx1">
                      <w14:lumMod w14:val="95000"/>
                      <w14:lumOff w14:val="5000"/>
                    </w14:schemeClr>
                  </w14:solidFill>
                </w14:textFill>
              </w:rPr>
              <w:t>依法依规办理征地手续，并依法缴纳生态补偿费用；</w:t>
            </w:r>
          </w:p>
          <w:bookmarkEnd w:id="123"/>
          <w:p w14:paraId="6417D750">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2）井场、生活营地及探临道路选址选线时应避让植被生长密集的区域，减少对牧草产量的影响；</w:t>
            </w:r>
          </w:p>
          <w:p w14:paraId="71446042">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3</w:t>
            </w:r>
            <w:r>
              <w:rPr>
                <w:rFonts w:ascii="宋体" w:hAnsi="宋体" w:cs="宋体"/>
                <w:color w:val="0D0D0D" w:themeColor="text1" w:themeTint="F2"/>
                <w14:textFill>
                  <w14:solidFill>
                    <w14:schemeClr w14:val="tx1">
                      <w14:lumMod w14:val="95000"/>
                      <w14:lumOff w14:val="5000"/>
                    </w14:schemeClr>
                  </w14:solidFill>
                </w14:textFill>
              </w:rPr>
              <w:t>）</w:t>
            </w:r>
            <w:r>
              <w:rPr>
                <w:rFonts w:hint="eastAsia" w:ascii="宋体" w:hAnsi="宋体" w:cs="宋体"/>
                <w:color w:val="0D0D0D" w:themeColor="text1" w:themeTint="F2"/>
                <w14:textFill>
                  <w14:solidFill>
                    <w14:schemeClr w14:val="tx1">
                      <w14:lumMod w14:val="95000"/>
                      <w14:lumOff w14:val="5000"/>
                    </w14:schemeClr>
                  </w14:solidFill>
                </w14:textFill>
              </w:rPr>
              <w:t>严格按照征地范围施工，不得随意扩大施工临时占地；加强施工管理，严禁乱碾乱轧，限制施工人员活动范围，不得随意踩踏、损毁草地。</w:t>
            </w:r>
          </w:p>
          <w:p w14:paraId="672DCA2C">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（2）对野生动物的生态环保措施要求</w:t>
            </w:r>
          </w:p>
          <w:p w14:paraId="62B1E01C">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建设单位在施工过程中要严格规定工作人员的活动范围，尽量不侵扰野生动物的栖息地；对施工人员开展保护野生动物宣传教育工作，强化保护野生动物的观念；加强管理，确保各生产设施的正常运行，避免强噪声情况发生而对野生动物造成惊扰。</w:t>
            </w:r>
          </w:p>
          <w:p w14:paraId="6B5F7A9C">
            <w:pPr>
              <w:snapToGrid w:val="0"/>
              <w:spacing w:line="50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r>
              <w:rPr>
                <w:rFonts w:hint="eastAsia" w:ascii="宋体" w:hAnsi="宋体" w:cs="宋体"/>
                <w:b/>
                <w:bCs/>
                <w:color w:val="0D0D0D" w:themeColor="text1" w:themeTint="F2"/>
                <w14:textFill>
                  <w14:solidFill>
                    <w14:schemeClr w14:val="tx1">
                      <w14:lumMod w14:val="95000"/>
                      <w14:lumOff w14:val="5000"/>
                    </w14:schemeClr>
                  </w14:solidFill>
                </w14:textFill>
              </w:rPr>
              <w:t>2、水土保持措施</w:t>
            </w:r>
          </w:p>
          <w:p w14:paraId="48EF97FA">
            <w:pPr>
              <w:adjustRightInd w:val="0"/>
              <w:snapToGrid w:val="0"/>
              <w:spacing w:line="480" w:lineRule="exact"/>
              <w:ind w:firstLine="480" w:firstLineChars="200"/>
              <w:rPr>
                <w:rFonts w:hint="eastAsia" w:ascii="宋体" w:hAnsi="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（1）</w:t>
            </w:r>
            <w:r>
              <w:rPr>
                <w:rFonts w:ascii="宋体" w:hAnsi="宋体"/>
                <w:color w:val="0D0D0D" w:themeColor="text1" w:themeTint="F2"/>
                <w14:textFill>
                  <w14:solidFill>
                    <w14:schemeClr w14:val="tx1">
                      <w14:lumMod w14:val="95000"/>
                      <w14:lumOff w14:val="5000"/>
                    </w14:schemeClr>
                  </w14:solidFill>
                </w14:textFill>
              </w:rPr>
              <w:t>施工期间严格划定施工活动范围，严格控制和管理运输车辆及重型机械的运行范围，不另辟施工便道，不得离开运输道路及随意驾驶，避免增加对地表的扰动和破坏。</w:t>
            </w:r>
          </w:p>
          <w:p w14:paraId="2AA61B7A">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（2）合理安排施工时间，避免大风大雨天气施工，</w:t>
            </w:r>
            <w:r>
              <w:rPr>
                <w:color w:val="0D0D0D" w:themeColor="text1" w:themeTint="F2"/>
                <w14:textFill>
                  <w14:solidFill>
                    <w14:schemeClr w14:val="tx1">
                      <w14:lumMod w14:val="95000"/>
                      <w14:lumOff w14:val="5000"/>
                    </w14:schemeClr>
                  </w14:solidFill>
                </w14:textFill>
              </w:rPr>
              <w:t>以免造成土壤风蚀影响。</w:t>
            </w:r>
          </w:p>
          <w:p w14:paraId="4178E000">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w:t>
            </w:r>
            <w:r>
              <w:rPr>
                <w:rFonts w:ascii="宋体" w:hAnsi="宋体" w:cs="宋体"/>
                <w:color w:val="0D0D0D" w:themeColor="text1" w:themeTint="F2"/>
                <w14:textFill>
                  <w14:solidFill>
                    <w14:schemeClr w14:val="tx1">
                      <w14:lumMod w14:val="95000"/>
                      <w14:lumOff w14:val="5000"/>
                    </w14:schemeClr>
                  </w14:solidFill>
                </w14:textFill>
              </w:rPr>
              <w:t>3</w:t>
            </w:r>
            <w:r>
              <w:rPr>
                <w:rFonts w:hint="eastAsia" w:ascii="宋体" w:hAnsi="宋体" w:cs="宋体"/>
                <w:color w:val="0D0D0D" w:themeColor="text1" w:themeTint="F2"/>
                <w14:textFill>
                  <w14:solidFill>
                    <w14:schemeClr w14:val="tx1">
                      <w14:lumMod w14:val="95000"/>
                      <w14:lumOff w14:val="5000"/>
                    </w14:schemeClr>
                  </w14:solidFill>
                </w14:textFill>
              </w:rPr>
              <w:t>）施工结束后应及时对临时占地进行清理、平整，平整过程中不仅要保证土体再塑，防止水土流失。</w:t>
            </w:r>
          </w:p>
          <w:p w14:paraId="5536412E">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（4）对临时占地范围内的生态损失进行经济补偿。</w:t>
            </w:r>
          </w:p>
          <w:p w14:paraId="57793AF7">
            <w:pPr>
              <w:spacing w:line="500" w:lineRule="exact"/>
              <w:ind w:firstLine="480"/>
              <w:rPr>
                <w:rFonts w:hint="eastAsia"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14:textFill>
                  <w14:solidFill>
                    <w14:schemeClr w14:val="tx1">
                      <w14:lumMod w14:val="95000"/>
                      <w14:lumOff w14:val="5000"/>
                    </w14:schemeClr>
                  </w14:solidFill>
                </w14:textFill>
              </w:rPr>
              <w:t>采取以上措施后可减少对水土流失重点治理区的影响。</w:t>
            </w:r>
          </w:p>
          <w:p w14:paraId="60D808AB">
            <w:pPr>
              <w:widowControl/>
              <w:snapToGrid w:val="0"/>
              <w:spacing w:line="50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r>
              <w:rPr>
                <w:rFonts w:hint="eastAsia" w:ascii="宋体" w:hAnsi="宋体" w:cs="宋体"/>
                <w:b/>
                <w:bCs/>
                <w:color w:val="0D0D0D" w:themeColor="text1" w:themeTint="F2"/>
                <w14:textFill>
                  <w14:solidFill>
                    <w14:schemeClr w14:val="tx1">
                      <w14:lumMod w14:val="95000"/>
                      <w14:lumOff w14:val="5000"/>
                    </w14:schemeClr>
                  </w14:solidFill>
                </w14:textFill>
              </w:rPr>
              <w:t>3、防沙治沙防治措施</w:t>
            </w:r>
          </w:p>
          <w:p w14:paraId="44A56411">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本次评价要求建设单位严格按照《中华人民共和国防沙治沙法》（2018）和《关于加强沙区建设项目环境影响评价工作的通知》（新环环评发〔2020〕138号）中有关规定，执行以下防沙治沙措施：</w:t>
            </w:r>
          </w:p>
          <w:p w14:paraId="17FCBB37">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（1）大力宣传《中华人民共和国防沙治沙法》，使施工人员知法、懂法、守法，自觉保护林草植被，自觉履行防治义务；</w:t>
            </w:r>
          </w:p>
          <w:p w14:paraId="55A6FB0E">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（2）严格控制施工活动范围，严禁施工车辆乱碾乱轧，避免对占地范围外的土壤和植被造成扰动；</w:t>
            </w:r>
          </w:p>
          <w:p w14:paraId="01FA2C45">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（3）优化施工组织，缩短施工时间，避免在大风天气作业，避免造成土壤风蚀影响；</w:t>
            </w:r>
          </w:p>
          <w:p w14:paraId="758100EB">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（4）施工结束后及时对占地进行清理、平整，按照征地文件规定对占地进行经济补偿。</w:t>
            </w:r>
          </w:p>
          <w:p w14:paraId="53182B9F">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（5）</w:t>
            </w:r>
            <w:r>
              <w:rPr>
                <w:rFonts w:ascii="宋体" w:hAnsi="宋体" w:cs="宋体"/>
                <w:color w:val="0D0D0D" w:themeColor="text1" w:themeTint="F2"/>
                <w14:textFill>
                  <w14:solidFill>
                    <w14:schemeClr w14:val="tx1">
                      <w14:lumMod w14:val="95000"/>
                      <w14:lumOff w14:val="5000"/>
                    </w14:schemeClr>
                  </w14:solidFill>
                </w14:textFill>
              </w:rPr>
              <w:t>采取少占地、少破坏植被的原则，缩小施工范围，避免破坏区域土壤肥力；项目施工结束后采取自然恢复的方式对区域植被进行恢复。</w:t>
            </w:r>
          </w:p>
          <w:p w14:paraId="2FAFCD93">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经采取上述</w:t>
            </w:r>
            <w:r>
              <w:rPr>
                <w:rFonts w:ascii="宋体" w:hAnsi="宋体" w:cs="宋体"/>
                <w:color w:val="0D0D0D" w:themeColor="text1" w:themeTint="F2"/>
                <w14:textFill>
                  <w14:solidFill>
                    <w14:schemeClr w14:val="tx1">
                      <w14:lumMod w14:val="95000"/>
                      <w14:lumOff w14:val="5000"/>
                    </w14:schemeClr>
                  </w14:solidFill>
                </w14:textFill>
              </w:rPr>
              <w:t>防沙治沙措施实施后，预计区域植被覆盖度能维持现状，</w:t>
            </w:r>
            <w:r>
              <w:rPr>
                <w:rFonts w:hint="eastAsia" w:ascii="宋体" w:hAnsi="宋体" w:cs="宋体"/>
                <w:color w:val="0D0D0D" w:themeColor="text1" w:themeTint="F2"/>
                <w14:textFill>
                  <w14:solidFill>
                    <w14:schemeClr w14:val="tx1">
                      <w14:lumMod w14:val="95000"/>
                      <w14:lumOff w14:val="5000"/>
                    </w14:schemeClr>
                  </w14:solidFill>
                </w14:textFill>
              </w:rPr>
              <w:t>可有效</w:t>
            </w:r>
            <w:r>
              <w:rPr>
                <w:rFonts w:ascii="宋体" w:hAnsi="宋体" w:cs="宋体"/>
                <w:color w:val="0D0D0D" w:themeColor="text1" w:themeTint="F2"/>
                <w14:textFill>
                  <w14:solidFill>
                    <w14:schemeClr w14:val="tx1">
                      <w14:lumMod w14:val="95000"/>
                      <w14:lumOff w14:val="5000"/>
                    </w14:schemeClr>
                  </w14:solidFill>
                </w14:textFill>
              </w:rPr>
              <w:t>避免区域土地沙化。</w:t>
            </w:r>
          </w:p>
          <w:p w14:paraId="0DB5545A">
            <w:pPr>
              <w:pStyle w:val="38"/>
              <w:ind w:firstLine="482"/>
              <w:rPr>
                <w:rFonts w:hint="eastAsia"/>
                <w:b/>
                <w:bCs/>
                <w:color w:val="0D0D0D" w:themeColor="text1" w:themeTint="F2"/>
                <w14:textFill>
                  <w14:solidFill>
                    <w14:schemeClr w14:val="tx1">
                      <w14:lumMod w14:val="95000"/>
                      <w14:lumOff w14:val="5000"/>
                    </w14:schemeClr>
                  </w14:solidFill>
                </w14:textFill>
              </w:rPr>
            </w:pPr>
            <w:r>
              <w:rPr>
                <w:rFonts w:hint="eastAsia"/>
                <w:b/>
                <w:bCs/>
                <w:color w:val="0D0D0D" w:themeColor="text1" w:themeTint="F2"/>
                <w14:textFill>
                  <w14:solidFill>
                    <w14:schemeClr w14:val="tx1">
                      <w14:lumMod w14:val="95000"/>
                      <w14:lumOff w14:val="5000"/>
                    </w14:schemeClr>
                  </w14:solidFill>
                </w14:textFill>
              </w:rPr>
              <w:t>4、大气污染防治措施</w:t>
            </w:r>
          </w:p>
          <w:p w14:paraId="0071B5F9">
            <w:pPr>
              <w:pStyle w:val="38"/>
              <w:ind w:firstLine="480"/>
              <w:rPr>
                <w:rFonts w:hint="eastAsia"/>
                <w:color w:val="0D0D0D" w:themeColor="text1" w:themeTint="F2"/>
                <w14:textFill>
                  <w14:solidFill>
                    <w14:schemeClr w14:val="tx1">
                      <w14:lumMod w14:val="95000"/>
                      <w14:lumOff w14:val="5000"/>
                    </w14:schemeClr>
                  </w14:solidFill>
                </w14:textFill>
              </w:rPr>
            </w:pPr>
            <w:bookmarkStart w:id="124" w:name="_Hlk176185340"/>
            <w:r>
              <w:rPr>
                <w:rFonts w:hint="eastAsia"/>
                <w:color w:val="0D0D0D" w:themeColor="text1" w:themeTint="F2"/>
                <w14:textFill>
                  <w14:solidFill>
                    <w14:schemeClr w14:val="tx1">
                      <w14:lumMod w14:val="95000"/>
                      <w14:lumOff w14:val="5000"/>
                    </w14:schemeClr>
                  </w14:solidFill>
                </w14:textFill>
              </w:rPr>
              <w:t>（1）使用符合国家标准的油品，加强机械、车辆的维护，鼓励使用新能源运输车辆。</w:t>
            </w:r>
          </w:p>
          <w:p w14:paraId="255ECA8E">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（2）施工现场运输车辆应低速慢行、不得超载，并采取密闭或遮盖措施；车辆沿道路行驶，不得随意开设便道。</w:t>
            </w:r>
          </w:p>
          <w:p w14:paraId="408D6CCC">
            <w:pPr>
              <w:pStyle w:val="38"/>
              <w:ind w:firstLine="464"/>
              <w:rPr>
                <w:rFonts w:hint="eastAsia"/>
                <w:color w:val="0D0D0D" w:themeColor="text1" w:themeTint="F2"/>
                <w:spacing w:val="-4"/>
                <w14:textFill>
                  <w14:solidFill>
                    <w14:schemeClr w14:val="tx1">
                      <w14:lumMod w14:val="95000"/>
                      <w14:lumOff w14:val="5000"/>
                    </w14:schemeClr>
                  </w14:solidFill>
                </w14:textFill>
              </w:rPr>
            </w:pPr>
            <w:r>
              <w:rPr>
                <w:rFonts w:hint="eastAsia"/>
                <w:color w:val="0D0D0D" w:themeColor="text1" w:themeTint="F2"/>
                <w:spacing w:val="-4"/>
                <w14:textFill>
                  <w14:solidFill>
                    <w14:schemeClr w14:val="tx1">
                      <w14:lumMod w14:val="95000"/>
                      <w14:lumOff w14:val="5000"/>
                    </w14:schemeClr>
                  </w14:solidFill>
                </w14:textFill>
              </w:rPr>
              <w:t>（3）裸露砂石料、土方、逸散性建筑材料等易起尘物料采用苫布遮盖，无法遮盖的应存放在库房内；施工道路应采取硬化措施，并定期洒水抑尘，配备保洁人员清扫；施工车辆清扫后上路，保持车辆干净；运输渣土的车辆须密闭，严禁运输过程中撒漏。</w:t>
            </w:r>
          </w:p>
          <w:p w14:paraId="0C93B0D5">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4</w:t>
            </w:r>
            <w:r>
              <w:rPr>
                <w:rFonts w:hint="eastAsia"/>
                <w:color w:val="0D0D0D" w:themeColor="text1" w:themeTint="F2"/>
                <w14:textFill>
                  <w14:solidFill>
                    <w14:schemeClr w14:val="tx1">
                      <w14:lumMod w14:val="95000"/>
                      <w14:lumOff w14:val="5000"/>
                    </w14:schemeClr>
                  </w14:solidFill>
                </w14:textFill>
              </w:rPr>
              <w:t>）试油期伴生气产生量不稳定，不具备回收利用条件，经排气管线充分燃烧后排放。应定期检查伴生气燃烧设备，加强燃烧设备的运营维护，确保伴生气充分燃烧，以减轻燃烧废气对区域大气环境质量的不良影响。</w:t>
            </w:r>
          </w:p>
          <w:p w14:paraId="18F38797">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5</w:t>
            </w:r>
            <w:r>
              <w:rPr>
                <w:rFonts w:hint="eastAsia"/>
                <w:color w:val="0D0D0D" w:themeColor="text1" w:themeTint="F2"/>
                <w14:textFill>
                  <w14:solidFill>
                    <w14:schemeClr w14:val="tx1">
                      <w14:lumMod w14:val="95000"/>
                      <w14:lumOff w14:val="5000"/>
                    </w14:schemeClr>
                  </w14:solidFill>
                </w14:textFill>
              </w:rPr>
              <w:t>）试油期加强采出液储罐管理、装卸必须采取密闭装载方式，尽可能减少无组织挥发性有机物的排放。</w:t>
            </w:r>
          </w:p>
          <w:p w14:paraId="51A565C6">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6</w:t>
            </w:r>
            <w:r>
              <w:rPr>
                <w:rFonts w:hint="eastAsia"/>
                <w:color w:val="0D0D0D" w:themeColor="text1" w:themeTint="F2"/>
                <w14:textFill>
                  <w14:solidFill>
                    <w14:schemeClr w14:val="tx1">
                      <w14:lumMod w14:val="95000"/>
                      <w14:lumOff w14:val="5000"/>
                    </w14:schemeClr>
                  </w14:solidFill>
                </w14:textFill>
              </w:rPr>
              <w:t>）</w:t>
            </w:r>
            <w:r>
              <w:rPr>
                <w:rFonts w:hint="eastAsia"/>
                <w:color w:val="0D0D0D" w:themeColor="text1" w:themeTint="F2"/>
                <w:spacing w:val="-4"/>
                <w14:textFill>
                  <w14:solidFill>
                    <w14:schemeClr w14:val="tx1">
                      <w14:lumMod w14:val="95000"/>
                      <w14:lumOff w14:val="5000"/>
                    </w14:schemeClr>
                  </w14:solidFill>
                </w14:textFill>
              </w:rPr>
              <w:t>柴油储罐采用固定顶罐，井场内柴油罐容积为</w:t>
            </w:r>
            <w:r>
              <w:rPr>
                <w:color w:val="0D0D0D" w:themeColor="text1" w:themeTint="F2"/>
                <w:spacing w:val="-4"/>
                <w14:textFill>
                  <w14:solidFill>
                    <w14:schemeClr w14:val="tx1">
                      <w14:lumMod w14:val="95000"/>
                      <w14:lumOff w14:val="5000"/>
                    </w14:schemeClr>
                  </w14:solidFill>
                </w14:textFill>
              </w:rPr>
              <w:t>30</w:t>
            </w:r>
            <w:r>
              <w:rPr>
                <w:rFonts w:hint="eastAsia"/>
                <w:color w:val="0D0D0D" w:themeColor="text1" w:themeTint="F2"/>
                <w:spacing w:val="-4"/>
                <w14:textFill>
                  <w14:solidFill>
                    <w14:schemeClr w14:val="tx1">
                      <w14:lumMod w14:val="95000"/>
                      <w14:lumOff w14:val="5000"/>
                    </w14:schemeClr>
                  </w14:solidFill>
                </w14:textFill>
              </w:rPr>
              <w:t>m</w:t>
            </w:r>
            <w:r>
              <w:rPr>
                <w:rFonts w:hint="eastAsia"/>
                <w:color w:val="0D0D0D" w:themeColor="text1" w:themeTint="F2"/>
                <w:spacing w:val="-4"/>
                <w:vertAlign w:val="superscript"/>
                <w14:textFill>
                  <w14:solidFill>
                    <w14:schemeClr w14:val="tx1">
                      <w14:lumMod w14:val="95000"/>
                      <w14:lumOff w14:val="5000"/>
                    </w14:schemeClr>
                  </w14:solidFill>
                </w14:textFill>
              </w:rPr>
              <w:t>3</w:t>
            </w:r>
            <w:r>
              <w:rPr>
                <w:rFonts w:hint="eastAsia"/>
                <w:color w:val="0D0D0D" w:themeColor="text1" w:themeTint="F2"/>
                <w:spacing w:val="-4"/>
                <w14:textFill>
                  <w14:solidFill>
                    <w14:schemeClr w14:val="tx1">
                      <w14:lumMod w14:val="95000"/>
                      <w14:lumOff w14:val="5000"/>
                    </w14:schemeClr>
                  </w14:solidFill>
                </w14:textFill>
              </w:rPr>
              <w:t>，小于75m</w:t>
            </w:r>
            <w:r>
              <w:rPr>
                <w:rFonts w:hint="eastAsia"/>
                <w:color w:val="0D0D0D" w:themeColor="text1" w:themeTint="F2"/>
                <w:spacing w:val="-4"/>
                <w:vertAlign w:val="superscript"/>
                <w14:textFill>
                  <w14:solidFill>
                    <w14:schemeClr w14:val="tx1">
                      <w14:lumMod w14:val="95000"/>
                      <w14:lumOff w14:val="5000"/>
                    </w14:schemeClr>
                  </w14:solidFill>
                </w14:textFill>
              </w:rPr>
              <w:t>3</w:t>
            </w:r>
            <w:r>
              <w:rPr>
                <w:rFonts w:hint="eastAsia"/>
                <w:color w:val="0D0D0D" w:themeColor="text1" w:themeTint="F2"/>
                <w:spacing w:val="-4"/>
                <w14:textFill>
                  <w14:solidFill>
                    <w14:schemeClr w14:val="tx1">
                      <w14:lumMod w14:val="95000"/>
                      <w14:lumOff w14:val="5000"/>
                    </w14:schemeClr>
                  </w14:solidFill>
                </w14:textFill>
              </w:rPr>
              <w:t>，且柴油真实蒸气压小于27.6kPa，按照《挥发性有机物无组织排放控制标准》（G</w:t>
            </w:r>
            <w:r>
              <w:rPr>
                <w:color w:val="0D0D0D" w:themeColor="text1" w:themeTint="F2"/>
                <w:spacing w:val="-4"/>
                <w14:textFill>
                  <w14:solidFill>
                    <w14:schemeClr w14:val="tx1">
                      <w14:lumMod w14:val="95000"/>
                      <w14:lumOff w14:val="5000"/>
                    </w14:schemeClr>
                  </w14:solidFill>
                </w14:textFill>
              </w:rPr>
              <w:t>B37822-2019</w:t>
            </w:r>
            <w:r>
              <w:rPr>
                <w:rFonts w:hint="eastAsia"/>
                <w:color w:val="0D0D0D" w:themeColor="text1" w:themeTint="F2"/>
                <w:spacing w:val="-4"/>
                <w14:textFill>
                  <w14:solidFill>
                    <w14:schemeClr w14:val="tx1">
                      <w14:lumMod w14:val="95000"/>
                      <w14:lumOff w14:val="5000"/>
                    </w14:schemeClr>
                  </w14:solidFill>
                </w14:textFill>
              </w:rPr>
              <w:t>）中要求可不采取油罐烃蒸气回收措施。施工期应加强储罐的检修和维护，柴油储罐罐体应保持完好，不应有孔洞；储罐附件开口（孔），除采样、计量和例行检查、维护和其他正常活动外，应密闭；定期监测呼吸阀的定压是否符合设定要求</w:t>
            </w:r>
            <w:r>
              <w:rPr>
                <w:rFonts w:hint="eastAsia"/>
                <w:color w:val="0D0D0D" w:themeColor="text1" w:themeTint="F2"/>
                <w14:textFill>
                  <w14:solidFill>
                    <w14:schemeClr w14:val="tx1">
                      <w14:lumMod w14:val="95000"/>
                      <w14:lumOff w14:val="5000"/>
                    </w14:schemeClr>
                  </w14:solidFill>
                </w14:textFill>
              </w:rPr>
              <w:t>。</w:t>
            </w:r>
          </w:p>
          <w:p w14:paraId="513E466E">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（7）水基钻井岩屑暂存于罐中，及时转运。</w:t>
            </w:r>
          </w:p>
          <w:p w14:paraId="5D20BA35">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（8）射孔压裂作业完成后，及时进行试油作业。</w:t>
            </w:r>
          </w:p>
          <w:p w14:paraId="4B9471B3">
            <w:pPr>
              <w:pStyle w:val="38"/>
              <w:ind w:firstLine="480"/>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以上防治措施，简单可行，具有可操作性，施工扬尘影响能够减缓到可以接受的程度</w:t>
            </w:r>
            <w:r>
              <w:rPr>
                <w:rFonts w:hint="eastAsia"/>
                <w:color w:val="0D0D0D" w:themeColor="text1" w:themeTint="F2"/>
                <w14:textFill>
                  <w14:solidFill>
                    <w14:schemeClr w14:val="tx1">
                      <w14:lumMod w14:val="95000"/>
                      <w14:lumOff w14:val="5000"/>
                    </w14:schemeClr>
                  </w14:solidFill>
                </w14:textFill>
              </w:rPr>
              <w:t>。</w:t>
            </w:r>
          </w:p>
          <w:bookmarkEnd w:id="124"/>
          <w:p w14:paraId="18DAAFD4">
            <w:pPr>
              <w:widowControl/>
              <w:snapToGrid w:val="0"/>
              <w:spacing w:line="50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bookmarkStart w:id="125" w:name="_Hlk136795800"/>
            <w:r>
              <w:rPr>
                <w:rFonts w:hint="eastAsia" w:ascii="宋体" w:hAnsi="宋体" w:cs="宋体"/>
                <w:b/>
                <w:bCs/>
                <w:color w:val="0D0D0D" w:themeColor="text1" w:themeTint="F2"/>
                <w14:textFill>
                  <w14:solidFill>
                    <w14:schemeClr w14:val="tx1">
                      <w14:lumMod w14:val="95000"/>
                      <w14:lumOff w14:val="5000"/>
                    </w14:schemeClr>
                  </w14:solidFill>
                </w14:textFill>
              </w:rPr>
              <w:t>5、水污染防治措施</w:t>
            </w:r>
          </w:p>
          <w:p w14:paraId="18981CA7">
            <w:pPr>
              <w:widowControl/>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（1）生活污水</w:t>
            </w:r>
          </w:p>
          <w:p w14:paraId="1E8FF4D5">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bookmarkStart w:id="126" w:name="_Hlk62325205"/>
            <w:bookmarkStart w:id="127" w:name="_Hlk91252762"/>
            <w:r>
              <w:rPr>
                <w:rFonts w:hint="eastAsia" w:ascii="宋体" w:hAnsi="宋体" w:cs="宋体"/>
                <w:color w:val="0D0D0D" w:themeColor="text1" w:themeTint="F2"/>
                <w14:textFill>
                  <w14:solidFill>
                    <w14:schemeClr w14:val="tx1">
                      <w14:lumMod w14:val="95000"/>
                      <w14:lumOff w14:val="5000"/>
                    </w14:schemeClr>
                  </w14:solidFill>
                </w14:textFill>
              </w:rPr>
              <w:t>施工期生活污水产生总量约145m</w:t>
            </w:r>
            <w:r>
              <w:rPr>
                <w:rFonts w:hint="eastAsia" w:ascii="宋体" w:hAnsi="宋体" w:cs="宋体"/>
                <w:color w:val="0D0D0D" w:themeColor="text1" w:themeTint="F2"/>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14:textFill>
                  <w14:solidFill>
                    <w14:schemeClr w14:val="tx1">
                      <w14:lumMod w14:val="95000"/>
                      <w14:lumOff w14:val="5000"/>
                    </w14:schemeClr>
                  </w14:solidFill>
                </w14:textFill>
              </w:rPr>
              <w:t>，排入生活营地临时防渗收集池（容积为40m</w:t>
            </w:r>
            <w:r>
              <w:rPr>
                <w:rFonts w:hint="eastAsia" w:ascii="宋体" w:hAnsi="宋体" w:cs="宋体"/>
                <w:color w:val="0D0D0D" w:themeColor="text1" w:themeTint="F2"/>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14:textFill>
                  <w14:solidFill>
                    <w14:schemeClr w14:val="tx1">
                      <w14:lumMod w14:val="95000"/>
                      <w14:lumOff w14:val="5000"/>
                    </w14:schemeClr>
                  </w14:solidFill>
                </w14:textFill>
              </w:rPr>
              <w:t>）暂存，定期由吸污车抽出后运至呼图壁县丰泉城污水处理厂。生活污水收集池采用HDPE防渗膜防渗，</w:t>
            </w:r>
            <w:r>
              <w:rPr>
                <w:rFonts w:hint="eastAsia"/>
                <w:color w:val="0D0D0D" w:themeColor="text1" w:themeTint="F2"/>
                <w14:textFill>
                  <w14:solidFill>
                    <w14:schemeClr w14:val="tx1">
                      <w14:lumMod w14:val="95000"/>
                      <w14:lumOff w14:val="5000"/>
                    </w14:schemeClr>
                  </w14:solidFill>
                </w14:textFill>
              </w:rPr>
              <w:t>施工结束后防渗膜回收、收集池占地及时恢复原貌</w:t>
            </w:r>
            <w:r>
              <w:rPr>
                <w:rFonts w:hint="eastAsia" w:ascii="宋体" w:hAnsi="宋体" w:cs="宋体"/>
                <w:color w:val="0D0D0D" w:themeColor="text1" w:themeTint="F2"/>
                <w14:textFill>
                  <w14:solidFill>
                    <w14:schemeClr w14:val="tx1">
                      <w14:lumMod w14:val="95000"/>
                      <w14:lumOff w14:val="5000"/>
                    </w14:schemeClr>
                  </w14:solidFill>
                </w14:textFill>
              </w:rPr>
              <w:t>。</w:t>
            </w:r>
          </w:p>
          <w:p w14:paraId="69070466">
            <w:pPr>
              <w:pStyle w:val="64"/>
              <w:rPr>
                <w:rFonts w:hint="eastAsia" w:ascii="宋体"/>
                <w:color w:val="0D0D0D" w:themeColor="text1" w:themeTint="F2"/>
                <w14:textFill>
                  <w14:solidFill>
                    <w14:schemeClr w14:val="tx1">
                      <w14:lumMod w14:val="95000"/>
                      <w14:lumOff w14:val="5000"/>
                    </w14:schemeClr>
                  </w14:solidFill>
                </w14:textFill>
              </w:rPr>
            </w:pPr>
            <w:bookmarkStart w:id="128" w:name="_Hlk208334736"/>
            <w:r>
              <w:rPr>
                <w:rFonts w:hint="eastAsia" w:ascii="宋体"/>
                <w:color w:val="0D0D0D" w:themeColor="text1" w:themeTint="F2"/>
                <w14:textFill>
                  <w14:solidFill>
                    <w14:schemeClr w14:val="tx1">
                      <w14:lumMod w14:val="95000"/>
                      <w14:lumOff w14:val="5000"/>
                    </w14:schemeClr>
                  </w14:solidFill>
                </w14:textFill>
              </w:rPr>
              <w:t>呼图壁县丰泉污水处理厂位于新疆维吾尔自治区昌吉回族自治州呼图壁县园户村镇大草滩（中心地理坐标：）。该污水处理厂于2019年6月21日取得原昌吉回族自治州环境保护局出具的《关于呼图壁县丰泉污水处理厂提标改造工程环境影响报告表的批复》（昌州环评〔2019〕51号），并于2020年7月通过自主竣工环境保护验收。采用“预处理+初沉池+改良多级A/O+二沉池+高密度沉淀池+紫外线消毒”的处理工艺，出水水质满足《城镇污水处理厂污染物排放标准》（GB18918-2002）中的一级A标准后冬储夏灌综合利用。</w:t>
            </w:r>
          </w:p>
          <w:p w14:paraId="4D40A428">
            <w:pPr>
              <w:pStyle w:val="64"/>
              <w:rPr>
                <w:rFonts w:hint="eastAsia" w:ascii="宋体"/>
                <w:color w:val="0D0D0D" w:themeColor="text1" w:themeTint="F2"/>
                <w14:textFill>
                  <w14:solidFill>
                    <w14:schemeClr w14:val="tx1">
                      <w14:lumMod w14:val="95000"/>
                      <w14:lumOff w14:val="5000"/>
                    </w14:schemeClr>
                  </w14:solidFill>
                </w14:textFill>
              </w:rPr>
            </w:pPr>
            <w:r>
              <w:rPr>
                <w:rFonts w:hint="eastAsia" w:ascii="宋体"/>
                <w:color w:val="0D0D0D" w:themeColor="text1" w:themeTint="F2"/>
                <w14:textFill>
                  <w14:solidFill>
                    <w14:schemeClr w14:val="tx1">
                      <w14:lumMod w14:val="95000"/>
                      <w14:lumOff w14:val="5000"/>
                    </w14:schemeClr>
                  </w14:solidFill>
                </w14:textFill>
              </w:rPr>
              <w:t>污水处理厂设计污水处理规模为1.5×1</w:t>
            </w:r>
            <w:r>
              <w:rPr>
                <w:rFonts w:ascii="宋体"/>
                <w:color w:val="0D0D0D" w:themeColor="text1" w:themeTint="F2"/>
                <w14:textFill>
                  <w14:solidFill>
                    <w14:schemeClr w14:val="tx1">
                      <w14:lumMod w14:val="95000"/>
                      <w14:lumOff w14:val="5000"/>
                    </w14:schemeClr>
                  </w14:solidFill>
                </w14:textFill>
              </w:rPr>
              <w:t>0</w:t>
            </w:r>
            <w:r>
              <w:rPr>
                <w:rFonts w:ascii="宋体"/>
                <w:color w:val="0D0D0D" w:themeColor="text1" w:themeTint="F2"/>
                <w:vertAlign w:val="superscript"/>
                <w14:textFill>
                  <w14:solidFill>
                    <w14:schemeClr w14:val="tx1">
                      <w14:lumMod w14:val="95000"/>
                      <w14:lumOff w14:val="5000"/>
                    </w14:schemeClr>
                  </w14:solidFill>
                </w14:textFill>
              </w:rPr>
              <w:t>4</w:t>
            </w:r>
            <w:r>
              <w:rPr>
                <w:rFonts w:hint="eastAsia" w:ascii="宋体"/>
                <w:color w:val="0D0D0D" w:themeColor="text1" w:themeTint="F2"/>
                <w14:textFill>
                  <w14:solidFill>
                    <w14:schemeClr w14:val="tx1">
                      <w14:lumMod w14:val="95000"/>
                      <w14:lumOff w14:val="5000"/>
                    </w14:schemeClr>
                  </w14:solidFill>
                </w14:textFill>
              </w:rPr>
              <w:t>m</w:t>
            </w:r>
            <w:r>
              <w:rPr>
                <w:rFonts w:hint="eastAsia" w:ascii="宋体"/>
                <w:color w:val="0D0D0D" w:themeColor="text1" w:themeTint="F2"/>
                <w:vertAlign w:val="superscript"/>
                <w14:textFill>
                  <w14:solidFill>
                    <w14:schemeClr w14:val="tx1">
                      <w14:lumMod w14:val="95000"/>
                      <w14:lumOff w14:val="5000"/>
                    </w14:schemeClr>
                  </w14:solidFill>
                </w14:textFill>
              </w:rPr>
              <w:t>3</w:t>
            </w:r>
            <w:r>
              <w:rPr>
                <w:rFonts w:hint="eastAsia" w:ascii="宋体"/>
                <w:color w:val="0D0D0D" w:themeColor="text1" w:themeTint="F2"/>
                <w14:textFill>
                  <w14:solidFill>
                    <w14:schemeClr w14:val="tx1">
                      <w14:lumMod w14:val="95000"/>
                      <w14:lumOff w14:val="5000"/>
                    </w14:schemeClr>
                  </w14:solidFill>
                </w14:textFill>
              </w:rPr>
              <w:t>/d，目前实际处理规模约1.1×1</w:t>
            </w:r>
            <w:r>
              <w:rPr>
                <w:rFonts w:ascii="宋体"/>
                <w:color w:val="0D0D0D" w:themeColor="text1" w:themeTint="F2"/>
                <w14:textFill>
                  <w14:solidFill>
                    <w14:schemeClr w14:val="tx1">
                      <w14:lumMod w14:val="95000"/>
                      <w14:lumOff w14:val="5000"/>
                    </w14:schemeClr>
                  </w14:solidFill>
                </w14:textFill>
              </w:rPr>
              <w:t>0</w:t>
            </w:r>
            <w:r>
              <w:rPr>
                <w:rFonts w:ascii="宋体"/>
                <w:color w:val="0D0D0D" w:themeColor="text1" w:themeTint="F2"/>
                <w:vertAlign w:val="superscript"/>
                <w14:textFill>
                  <w14:solidFill>
                    <w14:schemeClr w14:val="tx1">
                      <w14:lumMod w14:val="95000"/>
                      <w14:lumOff w14:val="5000"/>
                    </w14:schemeClr>
                  </w14:solidFill>
                </w14:textFill>
              </w:rPr>
              <w:t>4</w:t>
            </w:r>
            <w:r>
              <w:rPr>
                <w:rFonts w:hint="eastAsia" w:ascii="宋体"/>
                <w:color w:val="0D0D0D" w:themeColor="text1" w:themeTint="F2"/>
                <w14:textFill>
                  <w14:solidFill>
                    <w14:schemeClr w14:val="tx1">
                      <w14:lumMod w14:val="95000"/>
                      <w14:lumOff w14:val="5000"/>
                    </w14:schemeClr>
                  </w14:solidFill>
                </w14:textFill>
              </w:rPr>
              <w:t>m</w:t>
            </w:r>
            <w:r>
              <w:rPr>
                <w:rFonts w:hint="eastAsia" w:ascii="宋体"/>
                <w:color w:val="0D0D0D" w:themeColor="text1" w:themeTint="F2"/>
                <w:vertAlign w:val="superscript"/>
                <w14:textFill>
                  <w14:solidFill>
                    <w14:schemeClr w14:val="tx1">
                      <w14:lumMod w14:val="95000"/>
                      <w14:lumOff w14:val="5000"/>
                    </w14:schemeClr>
                  </w14:solidFill>
                </w14:textFill>
              </w:rPr>
              <w:t>3</w:t>
            </w:r>
            <w:r>
              <w:rPr>
                <w:rFonts w:hint="eastAsia" w:ascii="宋体"/>
                <w:color w:val="0D0D0D" w:themeColor="text1" w:themeTint="F2"/>
                <w14:textFill>
                  <w14:solidFill>
                    <w14:schemeClr w14:val="tx1">
                      <w14:lumMod w14:val="95000"/>
                      <w14:lumOff w14:val="5000"/>
                    </w14:schemeClr>
                  </w14:solidFill>
                </w14:textFill>
              </w:rPr>
              <w:t>/d。完井后生活污水采用吸污车清运，本项目生活污水量约145</w:t>
            </w:r>
            <w:r>
              <w:rPr>
                <w:rFonts w:ascii="宋体"/>
                <w:color w:val="0D0D0D" w:themeColor="text1" w:themeTint="F2"/>
                <w14:textFill>
                  <w14:solidFill>
                    <w14:schemeClr w14:val="tx1">
                      <w14:lumMod w14:val="95000"/>
                      <w14:lumOff w14:val="5000"/>
                    </w14:schemeClr>
                  </w14:solidFill>
                </w14:textFill>
              </w:rPr>
              <w:t>m</w:t>
            </w:r>
            <w:r>
              <w:rPr>
                <w:rFonts w:ascii="宋体"/>
                <w:color w:val="0D0D0D" w:themeColor="text1" w:themeTint="F2"/>
                <w:vertAlign w:val="superscript"/>
                <w14:textFill>
                  <w14:solidFill>
                    <w14:schemeClr w14:val="tx1">
                      <w14:lumMod w14:val="95000"/>
                      <w14:lumOff w14:val="5000"/>
                    </w14:schemeClr>
                  </w14:solidFill>
                </w14:textFill>
              </w:rPr>
              <w:t>3</w:t>
            </w:r>
            <w:r>
              <w:rPr>
                <w:rFonts w:hint="eastAsia" w:ascii="宋体"/>
                <w:color w:val="0D0D0D" w:themeColor="text1" w:themeTint="F2"/>
                <w14:textFill>
                  <w14:solidFill>
                    <w14:schemeClr w14:val="tx1">
                      <w14:lumMod w14:val="95000"/>
                      <w14:lumOff w14:val="5000"/>
                    </w14:schemeClr>
                  </w14:solidFill>
                </w14:textFill>
              </w:rPr>
              <w:t>，水量较小，不会对污水处理系统造成冲击，依托可行。</w:t>
            </w:r>
          </w:p>
          <w:bookmarkEnd w:id="126"/>
          <w:bookmarkEnd w:id="127"/>
          <w:bookmarkEnd w:id="128"/>
          <w:p w14:paraId="6E3DA37E">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（2）试油废水</w:t>
            </w:r>
          </w:p>
          <w:p w14:paraId="4DB60A11">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试油期产生的洗井废水和压裂返排液由专用方罐收集后，拉运至采油一厂红山嘴原油处理站采出水处理系统进行处理，处理达标后全部回注油藏。</w:t>
            </w:r>
          </w:p>
          <w:p w14:paraId="46AF8F3B">
            <w:pPr>
              <w:pStyle w:val="38"/>
              <w:ind w:firstLine="480"/>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该站环保手续履行情况详见环保手续履行情况见</w:t>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REF _Ref226563380 \h  \* MERGEFORMAT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表22</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t>。</w:t>
            </w:r>
          </w:p>
          <w:p w14:paraId="5816A4F2">
            <w:pPr>
              <w:pStyle w:val="38"/>
              <w:ind w:firstLine="0" w:firstLineChars="0"/>
              <w:jc w:val="center"/>
              <w:rPr>
                <w:rStyle w:val="66"/>
                <w:rFonts w:hint="eastAsia"/>
              </w:rPr>
            </w:pPr>
            <w:bookmarkStart w:id="129" w:name="_Ref226563380"/>
            <w:r>
              <w:rPr>
                <w:rStyle w:val="66"/>
              </w:rPr>
              <w:t>表</w:t>
            </w:r>
            <w:r>
              <w:rPr>
                <w:rStyle w:val="66"/>
              </w:rPr>
              <w:fldChar w:fldCharType="begin"/>
            </w:r>
            <w:r>
              <w:rPr>
                <w:rStyle w:val="66"/>
              </w:rPr>
              <w:instrText xml:space="preserve"> SEQ 表 \* ARABIC </w:instrText>
            </w:r>
            <w:r>
              <w:rPr>
                <w:rStyle w:val="66"/>
              </w:rPr>
              <w:fldChar w:fldCharType="separate"/>
            </w:r>
            <w:r>
              <w:rPr>
                <w:rStyle w:val="66"/>
                <w:rFonts w:hint="eastAsia"/>
              </w:rPr>
              <w:t>22</w:t>
            </w:r>
            <w:r>
              <w:rPr>
                <w:rStyle w:val="66"/>
              </w:rPr>
              <w:fldChar w:fldCharType="end"/>
            </w:r>
            <w:bookmarkEnd w:id="129"/>
            <w:r>
              <w:rPr>
                <w:rStyle w:val="66"/>
              </w:rPr>
              <w:t xml:space="preserve">    依托工程(试油废水)相关环保手续一览表</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357"/>
              <w:gridCol w:w="1766"/>
              <w:gridCol w:w="2244"/>
              <w:gridCol w:w="2651"/>
            </w:tblGrid>
            <w:tr w14:paraId="60AE9F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46" w:type="pct"/>
                  <w:tcMar>
                    <w:left w:w="0" w:type="dxa"/>
                    <w:right w:w="0" w:type="dxa"/>
                  </w:tcMar>
                  <w:vAlign w:val="center"/>
                </w:tcPr>
                <w:p w14:paraId="77C2C1EF">
                  <w:pPr>
                    <w:pStyle w:val="51"/>
                    <w:rPr>
                      <w:rFonts w:hint="eastAsia"/>
                    </w:rPr>
                  </w:pPr>
                  <w:bookmarkStart w:id="130" w:name="_Hlk90912437"/>
                  <w:r>
                    <w:t>站场名称</w:t>
                  </w:r>
                </w:p>
              </w:tc>
              <w:tc>
                <w:tcPr>
                  <w:tcW w:w="1101" w:type="pct"/>
                  <w:tcMar>
                    <w:left w:w="0" w:type="dxa"/>
                    <w:right w:w="0" w:type="dxa"/>
                  </w:tcMar>
                  <w:vAlign w:val="center"/>
                </w:tcPr>
                <w:p w14:paraId="0596EEDB">
                  <w:pPr>
                    <w:pStyle w:val="51"/>
                    <w:rPr>
                      <w:rFonts w:hint="eastAsia"/>
                    </w:rPr>
                  </w:pPr>
                  <w:r>
                    <w:t>项目名称</w:t>
                  </w:r>
                </w:p>
              </w:tc>
              <w:tc>
                <w:tcPr>
                  <w:tcW w:w="1399" w:type="pct"/>
                  <w:tcMar>
                    <w:left w:w="0" w:type="dxa"/>
                    <w:right w:w="0" w:type="dxa"/>
                  </w:tcMar>
                  <w:vAlign w:val="center"/>
                </w:tcPr>
                <w:p w14:paraId="0A55F2F2">
                  <w:pPr>
                    <w:pStyle w:val="51"/>
                    <w:rPr>
                      <w:rFonts w:hint="eastAsia"/>
                    </w:rPr>
                  </w:pPr>
                  <w:r>
                    <w:t>环评批复机关及批复时间</w:t>
                  </w:r>
                </w:p>
              </w:tc>
              <w:tc>
                <w:tcPr>
                  <w:tcW w:w="1652" w:type="pct"/>
                  <w:tcMar>
                    <w:left w:w="0" w:type="dxa"/>
                    <w:right w:w="0" w:type="dxa"/>
                  </w:tcMar>
                  <w:vAlign w:val="center"/>
                </w:tcPr>
                <w:p w14:paraId="1E55E7E9">
                  <w:pPr>
                    <w:pStyle w:val="51"/>
                    <w:rPr>
                      <w:rFonts w:hint="eastAsia"/>
                    </w:rPr>
                  </w:pPr>
                  <w:r>
                    <w:t>竣工环境保护验收情况</w:t>
                  </w:r>
                </w:p>
              </w:tc>
            </w:tr>
            <w:tr w14:paraId="25D666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46" w:type="pct"/>
                  <w:tcMar>
                    <w:left w:w="0" w:type="dxa"/>
                    <w:right w:w="0" w:type="dxa"/>
                  </w:tcMar>
                  <w:vAlign w:val="center"/>
                </w:tcPr>
                <w:p w14:paraId="263354E1">
                  <w:pPr>
                    <w:pStyle w:val="51"/>
                    <w:rPr>
                      <w:rFonts w:hint="eastAsia"/>
                    </w:rPr>
                  </w:pPr>
                  <w:r>
                    <w:t>红山嘴油田原油处理站</w:t>
                  </w:r>
                </w:p>
              </w:tc>
              <w:tc>
                <w:tcPr>
                  <w:tcW w:w="1101" w:type="pct"/>
                  <w:tcMar>
                    <w:left w:w="0" w:type="dxa"/>
                    <w:right w:w="0" w:type="dxa"/>
                  </w:tcMar>
                  <w:vAlign w:val="center"/>
                </w:tcPr>
                <w:p w14:paraId="1A4C0432">
                  <w:pPr>
                    <w:pStyle w:val="51"/>
                    <w:rPr>
                      <w:rFonts w:hint="eastAsia"/>
                    </w:rPr>
                  </w:pPr>
                  <w:r>
                    <w:t>采油一厂红山嘴油田原油处理站建设工程（变更）</w:t>
                  </w:r>
                </w:p>
              </w:tc>
              <w:tc>
                <w:tcPr>
                  <w:tcW w:w="1399" w:type="pct"/>
                  <w:tcMar>
                    <w:left w:w="0" w:type="dxa"/>
                    <w:right w:w="0" w:type="dxa"/>
                  </w:tcMar>
                  <w:vAlign w:val="center"/>
                </w:tcPr>
                <w:p w14:paraId="7149BE70">
                  <w:pPr>
                    <w:pStyle w:val="51"/>
                    <w:rPr>
                      <w:rFonts w:hint="eastAsia"/>
                    </w:rPr>
                  </w:pPr>
                  <w:r>
                    <w:t>克拉玛依市生态环境局</w:t>
                  </w:r>
                </w:p>
                <w:p w14:paraId="351BCB72">
                  <w:pPr>
                    <w:pStyle w:val="51"/>
                    <w:rPr>
                      <w:rFonts w:hint="eastAsia"/>
                    </w:rPr>
                  </w:pPr>
                  <w:r>
                    <w:t>克环函〔2022〕140号</w:t>
                  </w:r>
                </w:p>
                <w:p w14:paraId="06589887">
                  <w:pPr>
                    <w:pStyle w:val="51"/>
                    <w:rPr>
                      <w:rFonts w:hint="eastAsia"/>
                    </w:rPr>
                  </w:pPr>
                  <w:r>
                    <w:t>2022年9月7日</w:t>
                  </w:r>
                </w:p>
              </w:tc>
              <w:tc>
                <w:tcPr>
                  <w:tcW w:w="1652" w:type="pct"/>
                  <w:tcMar>
                    <w:left w:w="0" w:type="dxa"/>
                    <w:right w:w="0" w:type="dxa"/>
                  </w:tcMar>
                  <w:vAlign w:val="center"/>
                </w:tcPr>
                <w:p w14:paraId="0FE02ACB">
                  <w:pPr>
                    <w:pStyle w:val="51"/>
                    <w:rPr>
                      <w:rFonts w:hint="eastAsia"/>
                    </w:rPr>
                  </w:pPr>
                  <w:r>
                    <w:t>2023年8月12日通过了企业竣工环保验收</w:t>
                  </w:r>
                </w:p>
              </w:tc>
            </w:tr>
            <w:bookmarkEnd w:id="130"/>
          </w:tbl>
          <w:p w14:paraId="2D2B9012">
            <w:pPr>
              <w:pStyle w:val="38"/>
              <w:ind w:firstLine="480"/>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红山嘴原油处理站采出水处理系统的处理工艺主要为“气浮+精细过滤”。1300m</w:t>
            </w:r>
            <w:r>
              <w:rPr>
                <w:color w:val="0D0D0D" w:themeColor="text1" w:themeTint="F2"/>
                <w:vertAlign w:val="superscript"/>
                <w14:textFill>
                  <w14:solidFill>
                    <w14:schemeClr w14:val="tx1">
                      <w14:lumMod w14:val="95000"/>
                      <w14:lumOff w14:val="5000"/>
                    </w14:schemeClr>
                  </w14:solidFill>
                </w14:textFill>
              </w:rPr>
              <w:t>3</w:t>
            </w:r>
            <w:r>
              <w:rPr>
                <w:color w:val="0D0D0D" w:themeColor="text1" w:themeTint="F2"/>
                <w14:textFill>
                  <w14:solidFill>
                    <w14:schemeClr w14:val="tx1">
                      <w14:lumMod w14:val="95000"/>
                      <w14:lumOff w14:val="5000"/>
                    </w14:schemeClr>
                  </w14:solidFill>
                </w14:textFill>
              </w:rPr>
              <w:t>/d原油处理系统三相分离出来的采出水进入2座压力式聚结除油装置进行油水分离，经初步沉降后可除去部分浮油和悬浮物，出水经反应提升泵加压进入2座压力式污水反应橇反应去除大部分乳化油及悬浮物，经过预处理的常规采出水直接进入过滤缓冲罐，经过滤提升泵后进行精细过滤，未经过预处理的700m³/d的常规采出水泵入气浮反应装置，过程中投加净水剂和絮凝剂，处理后的净化水一起进入过滤缓冲罐，经过滤提升泵后进行精细过滤，出水水质满足《碎屑岩油藏注水水质推荐指标及分析方法》（SY/T5329-2022）的要求后回注地层。气浮装置排污与过滤器反洗排污进入污泥罐，最终进入污泥处理系统处理。</w:t>
            </w:r>
          </w:p>
          <w:p w14:paraId="70456728">
            <w:pPr>
              <w:pStyle w:val="64"/>
              <w:spacing w:line="500" w:lineRule="exact"/>
              <w:ind w:firstLine="480" w:firstLineChars="200"/>
              <w:rPr>
                <w:rFonts w:hint="eastAsia" w:asciiTheme="minorEastAsia" w:hAnsiTheme="minorEastAsia" w:eastAsiaTheme="minorEastAsia"/>
                <w:color w:val="0D0D0D" w:themeColor="text1" w:themeTint="F2"/>
                <w:kern w:val="2"/>
                <w14:textFill>
                  <w14:solidFill>
                    <w14:schemeClr w14:val="tx1">
                      <w14:lumMod w14:val="95000"/>
                      <w14:lumOff w14:val="5000"/>
                    </w14:schemeClr>
                  </w14:solidFill>
                </w14:textFill>
              </w:rPr>
            </w:pPr>
            <w:r>
              <w:rPr>
                <w:rFonts w:ascii="宋体"/>
                <w:color w:val="0D0D0D" w:themeColor="text1" w:themeTint="F2"/>
                <w:spacing w:val="0"/>
                <w14:textFill>
                  <w14:solidFill>
                    <w14:schemeClr w14:val="tx1">
                      <w14:lumMod w14:val="95000"/>
                      <w14:lumOff w14:val="5000"/>
                    </w14:schemeClr>
                  </w14:solidFill>
                </w14:textFill>
              </w:rPr>
              <w:t>红山嘴原油处理站采出水处理系统</w:t>
            </w:r>
            <w:r>
              <w:rPr>
                <w:rFonts w:ascii="宋体"/>
                <w:bCs/>
                <w:color w:val="0D0D0D" w:themeColor="text1" w:themeTint="F2"/>
                <w:spacing w:val="0"/>
                <w14:textFill>
                  <w14:solidFill>
                    <w14:schemeClr w14:val="tx1">
                      <w14:lumMod w14:val="95000"/>
                      <w14:lumOff w14:val="5000"/>
                    </w14:schemeClr>
                  </w14:solidFill>
                </w14:textFill>
              </w:rPr>
              <w:t>设计处理能力为2000m</w:t>
            </w:r>
            <w:r>
              <w:rPr>
                <w:rFonts w:ascii="宋体"/>
                <w:bCs/>
                <w:color w:val="0D0D0D" w:themeColor="text1" w:themeTint="F2"/>
                <w:spacing w:val="0"/>
                <w:vertAlign w:val="superscript"/>
                <w14:textFill>
                  <w14:solidFill>
                    <w14:schemeClr w14:val="tx1">
                      <w14:lumMod w14:val="95000"/>
                      <w14:lumOff w14:val="5000"/>
                    </w14:schemeClr>
                  </w14:solidFill>
                </w14:textFill>
              </w:rPr>
              <w:t>3</w:t>
            </w:r>
            <w:r>
              <w:rPr>
                <w:rFonts w:ascii="宋体"/>
                <w:bCs/>
                <w:color w:val="0D0D0D" w:themeColor="text1" w:themeTint="F2"/>
                <w:spacing w:val="0"/>
                <w14:textFill>
                  <w14:solidFill>
                    <w14:schemeClr w14:val="tx1">
                      <w14:lumMod w14:val="95000"/>
                      <w14:lumOff w14:val="5000"/>
                    </w14:schemeClr>
                  </w14:solidFill>
                </w14:textFill>
              </w:rPr>
              <w:t>/d，实际处理能力为1300m</w:t>
            </w:r>
            <w:r>
              <w:rPr>
                <w:rFonts w:ascii="宋体"/>
                <w:bCs/>
                <w:color w:val="0D0D0D" w:themeColor="text1" w:themeTint="F2"/>
                <w:spacing w:val="0"/>
                <w:vertAlign w:val="superscript"/>
                <w14:textFill>
                  <w14:solidFill>
                    <w14:schemeClr w14:val="tx1">
                      <w14:lumMod w14:val="95000"/>
                      <w14:lumOff w14:val="5000"/>
                    </w14:schemeClr>
                  </w14:solidFill>
                </w14:textFill>
              </w:rPr>
              <w:t>3</w:t>
            </w:r>
            <w:r>
              <w:rPr>
                <w:rFonts w:ascii="宋体"/>
                <w:bCs/>
                <w:color w:val="0D0D0D" w:themeColor="text1" w:themeTint="F2"/>
                <w:spacing w:val="0"/>
                <w14:textFill>
                  <w14:solidFill>
                    <w14:schemeClr w14:val="tx1">
                      <w14:lumMod w14:val="95000"/>
                      <w14:lumOff w14:val="5000"/>
                    </w14:schemeClr>
                  </w14:solidFill>
                </w14:textFill>
              </w:rPr>
              <w:t>/d，富余处理能力为700m</w:t>
            </w:r>
            <w:r>
              <w:rPr>
                <w:rFonts w:ascii="宋体"/>
                <w:bCs/>
                <w:color w:val="0D0D0D" w:themeColor="text1" w:themeTint="F2"/>
                <w:spacing w:val="0"/>
                <w:vertAlign w:val="superscript"/>
                <w14:textFill>
                  <w14:solidFill>
                    <w14:schemeClr w14:val="tx1">
                      <w14:lumMod w14:val="95000"/>
                      <w14:lumOff w14:val="5000"/>
                    </w14:schemeClr>
                  </w14:solidFill>
                </w14:textFill>
              </w:rPr>
              <w:t>3</w:t>
            </w:r>
            <w:r>
              <w:rPr>
                <w:rFonts w:ascii="宋体"/>
                <w:bCs/>
                <w:color w:val="0D0D0D" w:themeColor="text1" w:themeTint="F2"/>
                <w:spacing w:val="0"/>
                <w14:textFill>
                  <w14:solidFill>
                    <w14:schemeClr w14:val="tx1">
                      <w14:lumMod w14:val="95000"/>
                      <w14:lumOff w14:val="5000"/>
                    </w14:schemeClr>
                  </w14:solidFill>
                </w14:textFill>
              </w:rPr>
              <w:t>/d；本项目试油期间洗井废水和压裂返排液产生量约</w:t>
            </w:r>
            <w:r>
              <w:rPr>
                <w:rFonts w:hint="eastAsia" w:ascii="宋体"/>
                <w:bCs/>
                <w:color w:val="0D0D0D" w:themeColor="text1" w:themeTint="F2"/>
                <w:spacing w:val="0"/>
                <w14:textFill>
                  <w14:solidFill>
                    <w14:schemeClr w14:val="tx1">
                      <w14:lumMod w14:val="95000"/>
                      <w14:lumOff w14:val="5000"/>
                    </w14:schemeClr>
                  </w14:solidFill>
                </w14:textFill>
              </w:rPr>
              <w:t>1200</w:t>
            </w:r>
            <w:r>
              <w:rPr>
                <w:rFonts w:ascii="宋体"/>
                <w:bCs/>
                <w:color w:val="0D0D0D" w:themeColor="text1" w:themeTint="F2"/>
                <w:spacing w:val="0"/>
                <w14:textFill>
                  <w14:solidFill>
                    <w14:schemeClr w14:val="tx1">
                      <w14:lumMod w14:val="95000"/>
                      <w14:lumOff w14:val="5000"/>
                    </w14:schemeClr>
                  </w14:solidFill>
                </w14:textFill>
              </w:rPr>
              <w:t>m</w:t>
            </w:r>
            <w:r>
              <w:rPr>
                <w:rFonts w:ascii="宋体"/>
                <w:bCs/>
                <w:color w:val="0D0D0D" w:themeColor="text1" w:themeTint="F2"/>
                <w:spacing w:val="0"/>
                <w:vertAlign w:val="superscript"/>
                <w14:textFill>
                  <w14:solidFill>
                    <w14:schemeClr w14:val="tx1">
                      <w14:lumMod w14:val="95000"/>
                      <w14:lumOff w14:val="5000"/>
                    </w14:schemeClr>
                  </w14:solidFill>
                </w14:textFill>
              </w:rPr>
              <w:t>3</w:t>
            </w:r>
            <w:r>
              <w:rPr>
                <w:rFonts w:ascii="宋体"/>
                <w:bCs/>
                <w:color w:val="0D0D0D" w:themeColor="text1" w:themeTint="F2"/>
                <w:spacing w:val="0"/>
                <w14:textFill>
                  <w14:solidFill>
                    <w14:schemeClr w14:val="tx1">
                      <w14:lumMod w14:val="95000"/>
                      <w14:lumOff w14:val="5000"/>
                    </w14:schemeClr>
                  </w14:solidFill>
                </w14:textFill>
              </w:rPr>
              <w:t>，</w:t>
            </w:r>
            <w:r>
              <w:rPr>
                <w:rFonts w:ascii="宋体"/>
                <w:color w:val="0D0D0D" w:themeColor="text1" w:themeTint="F2"/>
                <w:spacing w:val="0"/>
                <w14:textFill>
                  <w14:solidFill>
                    <w14:schemeClr w14:val="tx1">
                      <w14:lumMod w14:val="95000"/>
                      <w14:lumOff w14:val="5000"/>
                    </w14:schemeClr>
                  </w14:solidFill>
                </w14:textFill>
              </w:rPr>
              <w:t>根据实际生产经验数据，洗井及压裂作业大约持续10天，试油期间洗井废水和压裂返排液产生量约为</w:t>
            </w:r>
            <w:r>
              <w:rPr>
                <w:rFonts w:hint="eastAsia" w:ascii="宋体"/>
                <w:color w:val="0D0D0D" w:themeColor="text1" w:themeTint="F2"/>
                <w:spacing w:val="0"/>
                <w14:textFill>
                  <w14:solidFill>
                    <w14:schemeClr w14:val="tx1">
                      <w14:lumMod w14:val="95000"/>
                      <w14:lumOff w14:val="5000"/>
                    </w14:schemeClr>
                  </w14:solidFill>
                </w14:textFill>
              </w:rPr>
              <w:t>120</w:t>
            </w:r>
            <w:r>
              <w:rPr>
                <w:rFonts w:ascii="宋体"/>
                <w:color w:val="0D0D0D" w:themeColor="text1" w:themeTint="F2"/>
                <w:spacing w:val="0"/>
                <w14:textFill>
                  <w14:solidFill>
                    <w14:schemeClr w14:val="tx1">
                      <w14:lumMod w14:val="95000"/>
                      <w14:lumOff w14:val="5000"/>
                    </w14:schemeClr>
                  </w14:solidFill>
                </w14:textFill>
              </w:rPr>
              <w:t>m</w:t>
            </w:r>
            <w:r>
              <w:rPr>
                <w:rFonts w:ascii="宋体"/>
                <w:color w:val="0D0D0D" w:themeColor="text1" w:themeTint="F2"/>
                <w:spacing w:val="0"/>
                <w:vertAlign w:val="superscript"/>
                <w14:textFill>
                  <w14:solidFill>
                    <w14:schemeClr w14:val="tx1">
                      <w14:lumMod w14:val="95000"/>
                      <w14:lumOff w14:val="5000"/>
                    </w14:schemeClr>
                  </w14:solidFill>
                </w14:textFill>
              </w:rPr>
              <w:t>3</w:t>
            </w:r>
            <w:r>
              <w:rPr>
                <w:rFonts w:ascii="宋体"/>
                <w:color w:val="0D0D0D" w:themeColor="text1" w:themeTint="F2"/>
                <w:spacing w:val="0"/>
                <w14:textFill>
                  <w14:solidFill>
                    <w14:schemeClr w14:val="tx1">
                      <w14:lumMod w14:val="95000"/>
                      <w14:lumOff w14:val="5000"/>
                    </w14:schemeClr>
                  </w14:solidFill>
                </w14:textFill>
              </w:rPr>
              <w:t>/d，即进入红山嘴原油处理站采出水处理系统</w:t>
            </w:r>
            <w:r>
              <w:rPr>
                <w:rFonts w:ascii="宋体"/>
                <w:bCs/>
                <w:color w:val="0D0D0D" w:themeColor="text1" w:themeTint="F2"/>
                <w:spacing w:val="0"/>
                <w14:textFill>
                  <w14:solidFill>
                    <w14:schemeClr w14:val="tx1">
                      <w14:lumMod w14:val="95000"/>
                      <w14:lumOff w14:val="5000"/>
                    </w14:schemeClr>
                  </w14:solidFill>
                </w14:textFill>
              </w:rPr>
              <w:t>的</w:t>
            </w:r>
            <w:r>
              <w:rPr>
                <w:rFonts w:ascii="宋体"/>
                <w:color w:val="0D0D0D" w:themeColor="text1" w:themeTint="F2"/>
                <w:spacing w:val="0"/>
                <w14:textFill>
                  <w14:solidFill>
                    <w14:schemeClr w14:val="tx1">
                      <w14:lumMod w14:val="95000"/>
                      <w14:lumOff w14:val="5000"/>
                    </w14:schemeClr>
                  </w14:solidFill>
                </w14:textFill>
              </w:rPr>
              <w:t>废水量为</w:t>
            </w:r>
            <w:r>
              <w:rPr>
                <w:rFonts w:hint="eastAsia" w:ascii="宋体"/>
                <w:color w:val="0D0D0D" w:themeColor="text1" w:themeTint="F2"/>
                <w:spacing w:val="0"/>
                <w14:textFill>
                  <w14:solidFill>
                    <w14:schemeClr w14:val="tx1">
                      <w14:lumMod w14:val="95000"/>
                      <w14:lumOff w14:val="5000"/>
                    </w14:schemeClr>
                  </w14:solidFill>
                </w14:textFill>
              </w:rPr>
              <w:t>120</w:t>
            </w:r>
            <w:r>
              <w:rPr>
                <w:rFonts w:ascii="宋体"/>
                <w:color w:val="0D0D0D" w:themeColor="text1" w:themeTint="F2"/>
                <w:spacing w:val="0"/>
                <w14:textFill>
                  <w14:solidFill>
                    <w14:schemeClr w14:val="tx1">
                      <w14:lumMod w14:val="95000"/>
                      <w14:lumOff w14:val="5000"/>
                    </w14:schemeClr>
                  </w14:solidFill>
                </w14:textFill>
              </w:rPr>
              <w:t>m</w:t>
            </w:r>
            <w:r>
              <w:rPr>
                <w:rFonts w:ascii="宋体"/>
                <w:color w:val="0D0D0D" w:themeColor="text1" w:themeTint="F2"/>
                <w:spacing w:val="0"/>
                <w:vertAlign w:val="superscript"/>
                <w14:textFill>
                  <w14:solidFill>
                    <w14:schemeClr w14:val="tx1">
                      <w14:lumMod w14:val="95000"/>
                      <w14:lumOff w14:val="5000"/>
                    </w14:schemeClr>
                  </w14:solidFill>
                </w14:textFill>
              </w:rPr>
              <w:t>3</w:t>
            </w:r>
            <w:r>
              <w:rPr>
                <w:rFonts w:ascii="宋体"/>
                <w:color w:val="0D0D0D" w:themeColor="text1" w:themeTint="F2"/>
                <w:spacing w:val="0"/>
                <w14:textFill>
                  <w14:solidFill>
                    <w14:schemeClr w14:val="tx1">
                      <w14:lumMod w14:val="95000"/>
                      <w14:lumOff w14:val="5000"/>
                    </w14:schemeClr>
                  </w14:solidFill>
                </w14:textFill>
              </w:rPr>
              <w:t>/d，</w:t>
            </w:r>
            <w:bookmarkStart w:id="131" w:name="OLE_LINK26"/>
            <w:r>
              <w:rPr>
                <w:rFonts w:ascii="宋体"/>
                <w:color w:val="0D0D0D" w:themeColor="text1" w:themeTint="F2"/>
                <w:spacing w:val="0"/>
                <w14:textFill>
                  <w14:solidFill>
                    <w14:schemeClr w14:val="tx1">
                      <w14:lumMod w14:val="95000"/>
                      <w14:lumOff w14:val="5000"/>
                    </w14:schemeClr>
                  </w14:solidFill>
                </w14:textFill>
              </w:rPr>
              <w:t>红山嘴原油处理站采出水处理系统</w:t>
            </w:r>
            <w:bookmarkEnd w:id="131"/>
            <w:r>
              <w:rPr>
                <w:rFonts w:ascii="宋体"/>
                <w:color w:val="0D0D0D" w:themeColor="text1" w:themeTint="F2"/>
                <w:spacing w:val="0"/>
                <w14:textFill>
                  <w14:solidFill>
                    <w14:schemeClr w14:val="tx1">
                      <w14:lumMod w14:val="95000"/>
                      <w14:lumOff w14:val="5000"/>
                    </w14:schemeClr>
                  </w14:solidFill>
                </w14:textFill>
              </w:rPr>
              <w:t>富余处理能力可以满足本项目处理需求，依托可行</w:t>
            </w:r>
            <w:bookmarkStart w:id="132" w:name="_Hlk208333839"/>
            <w:bookmarkStart w:id="133" w:name="_Hlk519245556"/>
            <w:r>
              <w:rPr>
                <w:rFonts w:hint="eastAsia" w:asciiTheme="minorEastAsia" w:hAnsiTheme="minorEastAsia" w:eastAsiaTheme="minorEastAsia"/>
                <w:color w:val="0D0D0D" w:themeColor="text1" w:themeTint="F2"/>
                <w:kern w:val="2"/>
                <w14:textFill>
                  <w14:solidFill>
                    <w14:schemeClr w14:val="tx1">
                      <w14:lumMod w14:val="95000"/>
                      <w14:lumOff w14:val="5000"/>
                    </w14:schemeClr>
                  </w14:solidFill>
                </w14:textFill>
              </w:rPr>
              <w:t>。</w:t>
            </w:r>
          </w:p>
          <w:bookmarkEnd w:id="132"/>
          <w:bookmarkEnd w:id="133"/>
          <w:p w14:paraId="3193591A">
            <w:pPr>
              <w:adjustRightInd w:val="0"/>
              <w:snapToGrid w:val="0"/>
              <w:spacing w:line="500" w:lineRule="exact"/>
              <w:ind w:firstLine="480" w:firstLineChars="200"/>
              <w:rPr>
                <w:rFonts w:hint="eastAsia"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14:textFill>
                  <w14:solidFill>
                    <w14:schemeClr w14:val="tx1">
                      <w14:lumMod w14:val="95000"/>
                      <w14:lumOff w14:val="5000"/>
                    </w14:schemeClr>
                  </w14:solidFill>
                </w14:textFill>
              </w:rPr>
              <w:t>（3）管理措施</w:t>
            </w:r>
          </w:p>
          <w:p w14:paraId="7CCDFFC0">
            <w:pPr>
              <w:adjustRightInd w:val="0"/>
              <w:snapToGrid w:val="0"/>
              <w:spacing w:line="500" w:lineRule="exact"/>
              <w:ind w:firstLine="480" w:firstLineChars="200"/>
              <w:rPr>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①洗井废水、废压裂液和生活污水应建立台账管理制度，并实施全过程管理，记录废水的产生量、转移量及去向等。</w:t>
            </w:r>
          </w:p>
          <w:p w14:paraId="05D969A1">
            <w:pPr>
              <w:adjustRightInd w:val="0"/>
              <w:snapToGrid w:val="0"/>
              <w:spacing w:line="500" w:lineRule="exact"/>
              <w:ind w:firstLine="480" w:firstLineChars="200"/>
              <w:rPr>
                <w:rFonts w:hint="eastAsia" w:ascii="宋体" w:hAnsi="宋体"/>
                <w:color w:val="0D0D0D" w:themeColor="text1" w:themeTint="F2"/>
                <w:kern w:val="0"/>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②</w:t>
            </w:r>
            <w:r>
              <w:rPr>
                <w:rFonts w:hint="eastAsia" w:ascii="宋体" w:hAnsi="宋体"/>
                <w:color w:val="0D0D0D" w:themeColor="text1" w:themeTint="F2"/>
                <w:kern w:val="0"/>
                <w14:textFill>
                  <w14:solidFill>
                    <w14:schemeClr w14:val="tx1">
                      <w14:lumMod w14:val="95000"/>
                      <w14:lumOff w14:val="5000"/>
                    </w14:schemeClr>
                  </w14:solidFill>
                </w14:textFill>
              </w:rPr>
              <w:t>加工施工单位和运输车辆的管理，严禁废水随意排放或倾倒。</w:t>
            </w:r>
          </w:p>
          <w:p w14:paraId="00B60927">
            <w:pPr>
              <w:adjustRightInd w:val="0"/>
              <w:snapToGrid w:val="0"/>
              <w:spacing w:line="500" w:lineRule="exact"/>
              <w:ind w:firstLine="480" w:firstLineChars="200"/>
              <w:rPr>
                <w:rFonts w:hint="eastAsia" w:ascii="宋体" w:hAnsi="宋体"/>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③压裂优先选用</w:t>
            </w:r>
            <w:r>
              <w:rPr>
                <w:rFonts w:hint="eastAsia" w:ascii="宋体" w:hAnsi="宋体"/>
                <w:color w:val="0D0D0D" w:themeColor="text1" w:themeTint="F2"/>
                <w14:textFill>
                  <w14:solidFill>
                    <w14:schemeClr w14:val="tx1">
                      <w14:lumMod w14:val="95000"/>
                      <w14:lumOff w14:val="5000"/>
                    </w14:schemeClr>
                  </w14:solidFill>
                </w14:textFill>
              </w:rPr>
              <w:t>无毒、低毒的环境友好型压裂液。</w:t>
            </w:r>
          </w:p>
          <w:p w14:paraId="6289D177">
            <w:pPr>
              <w:adjustRightInd w:val="0"/>
              <w:snapToGrid w:val="0"/>
              <w:spacing w:line="500" w:lineRule="exact"/>
              <w:ind w:firstLine="480" w:firstLineChars="200"/>
              <w:rPr>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14:textFill>
                  <w14:solidFill>
                    <w14:schemeClr w14:val="tx1">
                      <w14:lumMod w14:val="95000"/>
                      <w14:lumOff w14:val="5000"/>
                    </w14:schemeClr>
                  </w14:solidFill>
                </w14:textFill>
              </w:rPr>
              <w:t>④</w:t>
            </w:r>
            <w:bookmarkStart w:id="134" w:name="OLE_LINK128"/>
            <w:r>
              <w:rPr>
                <w:rFonts w:hint="eastAsia" w:ascii="宋体" w:hAnsi="宋体"/>
                <w:color w:val="0D0D0D" w:themeColor="text1" w:themeTint="F2"/>
                <w14:textFill>
                  <w14:solidFill>
                    <w14:schemeClr w14:val="tx1">
                      <w14:lumMod w14:val="95000"/>
                      <w14:lumOff w14:val="5000"/>
                    </w14:schemeClr>
                  </w14:solidFill>
                </w14:textFill>
              </w:rPr>
              <w:t>新钻井的设计、建造应满足采油井的完整性。具体如下：油井套管技术状况合格，按</w:t>
            </w:r>
            <w:bookmarkStart w:id="135" w:name="OLE_LINK127"/>
            <w:r>
              <w:rPr>
                <w:rFonts w:hint="eastAsia" w:ascii="宋体" w:hAnsi="宋体"/>
                <w:color w:val="0D0D0D" w:themeColor="text1" w:themeTint="F2"/>
                <w14:textFill>
                  <w14:solidFill>
                    <w14:schemeClr w14:val="tx1">
                      <w14:lumMod w14:val="95000"/>
                      <w14:lumOff w14:val="5000"/>
                    </w14:schemeClr>
                  </w14:solidFill>
                </w14:textFill>
              </w:rPr>
              <w:t>《套管柱试压规范》（SY/T5467</w:t>
            </w:r>
            <w:bookmarkEnd w:id="135"/>
            <w:r>
              <w:rPr>
                <w:rFonts w:hint="eastAsia" w:ascii="宋体" w:hAnsi="宋体"/>
                <w:color w:val="0D0D0D" w:themeColor="text1" w:themeTint="F2"/>
                <w14:textFill>
                  <w14:solidFill>
                    <w14:schemeClr w14:val="tx1">
                      <w14:lumMod w14:val="95000"/>
                      <w14:lumOff w14:val="5000"/>
                    </w14:schemeClr>
                  </w14:solidFill>
                </w14:textFill>
              </w:rPr>
              <w:t>-2007）的要求进行套管试压；表层套管、技术套管、生产套管固井水泥应返至地面，固井质量合格；井口装置结构完整、密封良好，压力级</w:t>
            </w:r>
            <w:r>
              <w:rPr>
                <w:rFonts w:hint="eastAsia"/>
                <w:color w:val="0D0D0D" w:themeColor="text1" w:themeTint="F2"/>
                <w14:textFill>
                  <w14:solidFill>
                    <w14:schemeClr w14:val="tx1">
                      <w14:lumMod w14:val="95000"/>
                      <w14:lumOff w14:val="5000"/>
                    </w14:schemeClr>
                  </w14:solidFill>
                </w14:textFill>
              </w:rPr>
              <w:t>别满足要求，材质满足防腐要求。</w:t>
            </w:r>
          </w:p>
          <w:bookmarkEnd w:id="134"/>
          <w:p w14:paraId="5C35BA31">
            <w:pPr>
              <w:adjustRightInd w:val="0"/>
              <w:snapToGrid w:val="0"/>
              <w:spacing w:line="500" w:lineRule="exact"/>
              <w:ind w:firstLine="480" w:firstLineChars="200"/>
              <w:rPr>
                <w:rFonts w:hint="eastAsia" w:ascii="宋体" w:hAnsi="宋体"/>
                <w:color w:val="0D0D0D" w:themeColor="text1" w:themeTint="F2"/>
                <w:kern w:val="0"/>
                <w14:textFill>
                  <w14:solidFill>
                    <w14:schemeClr w14:val="tx1">
                      <w14:lumMod w14:val="95000"/>
                      <w14:lumOff w14:val="5000"/>
                    </w14:schemeClr>
                  </w14:solidFill>
                </w14:textFill>
              </w:rPr>
            </w:pPr>
            <w:r>
              <w:rPr>
                <w:rFonts w:hint="eastAsia" w:ascii="宋体" w:hAnsi="宋体"/>
                <w:color w:val="0D0D0D" w:themeColor="text1" w:themeTint="F2"/>
                <w:kern w:val="0"/>
                <w14:textFill>
                  <w14:solidFill>
                    <w14:schemeClr w14:val="tx1">
                      <w14:lumMod w14:val="95000"/>
                      <w14:lumOff w14:val="5000"/>
                    </w14:schemeClr>
                  </w14:solidFill>
                </w14:textFill>
              </w:rPr>
              <w:t>（4）采出液依托可行性分析</w:t>
            </w:r>
          </w:p>
          <w:p w14:paraId="1A624A33">
            <w:pPr>
              <w:adjustRightInd w:val="0"/>
              <w:snapToGrid w:val="0"/>
              <w:spacing w:line="480" w:lineRule="exact"/>
              <w:ind w:firstLine="480" w:firstLineChars="200"/>
              <w:rPr>
                <w:rFonts w:hint="eastAsia" w:ascii="宋体" w:hAnsi="宋体"/>
                <w:color w:val="0D0D0D" w:themeColor="text1" w:themeTint="F2"/>
                <w:kern w:val="0"/>
                <w14:textFill>
                  <w14:solidFill>
                    <w14:schemeClr w14:val="tx1">
                      <w14:lumMod w14:val="95000"/>
                      <w14:lumOff w14:val="5000"/>
                    </w14:schemeClr>
                  </w14:solidFill>
                </w14:textFill>
              </w:rPr>
            </w:pPr>
            <w:r>
              <w:rPr>
                <w:rFonts w:ascii="宋体" w:hAnsi="宋体"/>
                <w:color w:val="0D0D0D" w:themeColor="text1" w:themeTint="F2"/>
                <w:kern w:val="0"/>
                <w14:textFill>
                  <w14:solidFill>
                    <w14:schemeClr w14:val="tx1">
                      <w14:lumMod w14:val="95000"/>
                      <w14:lumOff w14:val="5000"/>
                    </w14:schemeClr>
                  </w14:solidFill>
                </w14:textFill>
              </w:rPr>
              <w:t>试油期采出液依托采油一厂红山嘴原油处理站原油处理系统进行处理。红山嘴油田原油处理站负责红山嘴地区老区以及附近周边新开发区块的油、气、水处理任务，处理后的净化油输至总站，经调油线输至701首站，经克乌D529线输至乌石化。</w:t>
            </w:r>
          </w:p>
          <w:p w14:paraId="47C5568D">
            <w:pPr>
              <w:adjustRightInd w:val="0"/>
              <w:snapToGrid w:val="0"/>
              <w:spacing w:line="480" w:lineRule="exact"/>
              <w:ind w:firstLine="480" w:firstLineChars="200"/>
              <w:rPr>
                <w:rFonts w:hint="eastAsia" w:ascii="宋体" w:hAnsi="宋体"/>
                <w:color w:val="0D0D0D" w:themeColor="text1" w:themeTint="F2"/>
                <w:kern w:val="0"/>
                <w14:textFill>
                  <w14:solidFill>
                    <w14:schemeClr w14:val="tx1">
                      <w14:lumMod w14:val="95000"/>
                      <w14:lumOff w14:val="5000"/>
                    </w14:schemeClr>
                  </w14:solidFill>
                </w14:textFill>
              </w:rPr>
            </w:pPr>
            <w:r>
              <w:rPr>
                <w:rFonts w:ascii="宋体" w:hAnsi="宋体"/>
                <w:color w:val="0D0D0D" w:themeColor="text1" w:themeTint="F2"/>
                <w:kern w:val="0"/>
                <w14:textFill>
                  <w14:solidFill>
                    <w14:schemeClr w14:val="tx1">
                      <w14:lumMod w14:val="95000"/>
                      <w14:lumOff w14:val="5000"/>
                    </w14:schemeClr>
                  </w14:solidFill>
                </w14:textFill>
              </w:rPr>
              <w:t>①油气分离及原油脱水</w:t>
            </w:r>
          </w:p>
          <w:p w14:paraId="789638C2">
            <w:pPr>
              <w:adjustRightInd w:val="0"/>
              <w:snapToGrid w:val="0"/>
              <w:spacing w:line="480" w:lineRule="exact"/>
              <w:ind w:firstLine="480" w:firstLineChars="200"/>
              <w:rPr>
                <w:rFonts w:hint="eastAsia" w:ascii="宋体" w:hAnsi="宋体"/>
                <w:color w:val="0D0D0D" w:themeColor="text1" w:themeTint="F2"/>
                <w:kern w:val="0"/>
                <w14:textFill>
                  <w14:solidFill>
                    <w14:schemeClr w14:val="tx1">
                      <w14:lumMod w14:val="95000"/>
                      <w14:lumOff w14:val="5000"/>
                    </w14:schemeClr>
                  </w14:solidFill>
                </w14:textFill>
              </w:rPr>
            </w:pPr>
            <w:r>
              <w:rPr>
                <w:rFonts w:ascii="宋体" w:hAnsi="宋体"/>
                <w:color w:val="0D0D0D" w:themeColor="text1" w:themeTint="F2"/>
                <w:kern w:val="0"/>
                <w14:textFill>
                  <w14:solidFill>
                    <w14:schemeClr w14:val="tx1">
                      <w14:lumMod w14:val="95000"/>
                      <w14:lumOff w14:val="5000"/>
                    </w14:schemeClr>
                  </w14:solidFill>
                </w14:textFill>
              </w:rPr>
              <w:t>原油处理系统采用热化学和电化学两段密闭脱水工艺，其中常规采出液一段热化学脱水装置原油处理规模15×10</w:t>
            </w:r>
            <w:r>
              <w:rPr>
                <w:rFonts w:ascii="宋体" w:hAnsi="宋体"/>
                <w:color w:val="0D0D0D" w:themeColor="text1" w:themeTint="F2"/>
                <w:kern w:val="0"/>
                <w:vertAlign w:val="superscript"/>
                <w14:textFill>
                  <w14:solidFill>
                    <w14:schemeClr w14:val="tx1">
                      <w14:lumMod w14:val="95000"/>
                      <w14:lumOff w14:val="5000"/>
                    </w14:schemeClr>
                  </w14:solidFill>
                </w14:textFill>
              </w:rPr>
              <w:t>4</w:t>
            </w:r>
            <w:r>
              <w:rPr>
                <w:rFonts w:ascii="宋体" w:hAnsi="宋体"/>
                <w:color w:val="0D0D0D" w:themeColor="text1" w:themeTint="F2"/>
                <w:kern w:val="0"/>
                <w14:textFill>
                  <w14:solidFill>
                    <w14:schemeClr w14:val="tx1">
                      <w14:lumMod w14:val="95000"/>
                      <w14:lumOff w14:val="5000"/>
                    </w14:schemeClr>
                  </w14:solidFill>
                </w14:textFill>
              </w:rPr>
              <w:t>t/a；体积压裂采出液一段热化学脱水装置原油处理规模100×10</w:t>
            </w:r>
            <w:r>
              <w:rPr>
                <w:rFonts w:ascii="宋体" w:hAnsi="宋体"/>
                <w:color w:val="0D0D0D" w:themeColor="text1" w:themeTint="F2"/>
                <w:kern w:val="0"/>
                <w:vertAlign w:val="superscript"/>
                <w14:textFill>
                  <w14:solidFill>
                    <w14:schemeClr w14:val="tx1">
                      <w14:lumMod w14:val="95000"/>
                      <w14:lumOff w14:val="5000"/>
                    </w14:schemeClr>
                  </w14:solidFill>
                </w14:textFill>
              </w:rPr>
              <w:t>4</w:t>
            </w:r>
            <w:r>
              <w:rPr>
                <w:rFonts w:ascii="宋体" w:hAnsi="宋体"/>
                <w:color w:val="0D0D0D" w:themeColor="text1" w:themeTint="F2"/>
                <w:kern w:val="0"/>
                <w14:textFill>
                  <w14:solidFill>
                    <w14:schemeClr w14:val="tx1">
                      <w14:lumMod w14:val="95000"/>
                      <w14:lumOff w14:val="5000"/>
                    </w14:schemeClr>
                  </w14:solidFill>
                </w14:textFill>
              </w:rPr>
              <w:t>t/a；二段电化学常规采出液和体积压裂采出液混合处理规模100×10</w:t>
            </w:r>
            <w:r>
              <w:rPr>
                <w:rFonts w:ascii="宋体" w:hAnsi="宋体"/>
                <w:color w:val="0D0D0D" w:themeColor="text1" w:themeTint="F2"/>
                <w:kern w:val="0"/>
                <w:vertAlign w:val="superscript"/>
                <w14:textFill>
                  <w14:solidFill>
                    <w14:schemeClr w14:val="tx1">
                      <w14:lumMod w14:val="95000"/>
                      <w14:lumOff w14:val="5000"/>
                    </w14:schemeClr>
                  </w14:solidFill>
                </w14:textFill>
              </w:rPr>
              <w:t>4</w:t>
            </w:r>
            <w:r>
              <w:rPr>
                <w:rFonts w:ascii="宋体" w:hAnsi="宋体"/>
                <w:color w:val="0D0D0D" w:themeColor="text1" w:themeTint="F2"/>
                <w:kern w:val="0"/>
                <w14:textFill>
                  <w14:solidFill>
                    <w14:schemeClr w14:val="tx1">
                      <w14:lumMod w14:val="95000"/>
                      <w14:lumOff w14:val="5000"/>
                    </w14:schemeClr>
                  </w14:solidFill>
                </w14:textFill>
              </w:rPr>
              <w:t>t/a。</w:t>
            </w:r>
          </w:p>
          <w:p w14:paraId="360C6D01">
            <w:pPr>
              <w:adjustRightInd w:val="0"/>
              <w:snapToGrid w:val="0"/>
              <w:spacing w:line="480" w:lineRule="exact"/>
              <w:ind w:firstLine="480" w:firstLineChars="200"/>
              <w:rPr>
                <w:rFonts w:hint="eastAsia" w:ascii="宋体" w:hAnsi="宋体"/>
                <w:color w:val="0D0D0D" w:themeColor="text1" w:themeTint="F2"/>
                <w:kern w:val="0"/>
                <w14:textFill>
                  <w14:solidFill>
                    <w14:schemeClr w14:val="tx1">
                      <w14:lumMod w14:val="95000"/>
                      <w14:lumOff w14:val="5000"/>
                    </w14:schemeClr>
                  </w14:solidFill>
                </w14:textFill>
              </w:rPr>
            </w:pPr>
            <w:r>
              <w:rPr>
                <w:rFonts w:ascii="宋体" w:hAnsi="宋体"/>
                <w:color w:val="0D0D0D" w:themeColor="text1" w:themeTint="F2"/>
                <w:kern w:val="0"/>
                <w14:textFill>
                  <w14:solidFill>
                    <w14:schemeClr w14:val="tx1">
                      <w14:lumMod w14:val="95000"/>
                      <w14:lumOff w14:val="5000"/>
                    </w14:schemeClr>
                  </w14:solidFill>
                </w14:textFill>
              </w:rPr>
              <w:t>②非常规开发区块来气、液混合物处理工艺</w:t>
            </w:r>
          </w:p>
          <w:p w14:paraId="15BE8307">
            <w:pPr>
              <w:adjustRightInd w:val="0"/>
              <w:snapToGrid w:val="0"/>
              <w:spacing w:line="480" w:lineRule="exact"/>
              <w:ind w:firstLine="480" w:firstLineChars="200"/>
              <w:rPr>
                <w:rFonts w:hint="eastAsia" w:ascii="宋体" w:hAnsi="宋体"/>
                <w:color w:val="0D0D0D" w:themeColor="text1" w:themeTint="F2"/>
                <w:kern w:val="0"/>
                <w14:textFill>
                  <w14:solidFill>
                    <w14:schemeClr w14:val="tx1">
                      <w14:lumMod w14:val="95000"/>
                      <w14:lumOff w14:val="5000"/>
                    </w14:schemeClr>
                  </w14:solidFill>
                </w14:textFill>
              </w:rPr>
            </w:pPr>
            <w:r>
              <w:rPr>
                <w:rFonts w:ascii="宋体" w:hAnsi="宋体"/>
                <w:color w:val="0D0D0D" w:themeColor="text1" w:themeTint="F2"/>
                <w:kern w:val="0"/>
                <w14:textFill>
                  <w14:solidFill>
                    <w14:schemeClr w14:val="tx1">
                      <w14:lumMod w14:val="95000"/>
                      <w14:lumOff w14:val="5000"/>
                    </w14:schemeClr>
                  </w14:solidFill>
                </w14:textFill>
              </w:rPr>
              <w:t>非常规开发区块含压裂返排液的采出液与卸油缓冲罐来液在集油管汇混合后，进压力沉降罐脱出采出液中游离水及部分乳化水，压力沉降罐出低含水油(含水20%)与常规开发区块低含水采出液混合后进入相变加热炉，加热后的含水原油进入电脱水器，处理后的净化油去往原油稳定系统。</w:t>
            </w:r>
          </w:p>
          <w:p w14:paraId="48B557D8">
            <w:pPr>
              <w:adjustRightInd w:val="0"/>
              <w:snapToGrid w:val="0"/>
              <w:spacing w:line="480" w:lineRule="exact"/>
              <w:ind w:firstLine="480" w:firstLineChars="200"/>
              <w:rPr>
                <w:rFonts w:hint="eastAsia" w:ascii="宋体" w:hAnsi="宋体"/>
                <w:color w:val="0D0D0D" w:themeColor="text1" w:themeTint="F2"/>
                <w:kern w:val="0"/>
                <w14:textFill>
                  <w14:solidFill>
                    <w14:schemeClr w14:val="tx1">
                      <w14:lumMod w14:val="95000"/>
                      <w14:lumOff w14:val="5000"/>
                    </w14:schemeClr>
                  </w14:solidFill>
                </w14:textFill>
              </w:rPr>
            </w:pPr>
            <w:r>
              <w:rPr>
                <w:rFonts w:ascii="宋体" w:hAnsi="宋体"/>
                <w:color w:val="0D0D0D" w:themeColor="text1" w:themeTint="F2"/>
                <w:kern w:val="0"/>
                <w14:textFill>
                  <w14:solidFill>
                    <w14:schemeClr w14:val="tx1">
                      <w14:lumMod w14:val="95000"/>
                      <w14:lumOff w14:val="5000"/>
                    </w14:schemeClr>
                  </w14:solidFill>
                </w14:textFill>
              </w:rPr>
              <w:t>压力沉降罐分离出的采出水去压裂返排液处理装置；电脱水器分离出的采出水去往卸油缓冲罐。卸油台来液由卸油泵提升到卸油缓冲罐，与电脱水器出高温水混合后，由卸油提升泵均匀提升至进站管汇。</w:t>
            </w:r>
          </w:p>
          <w:p w14:paraId="6FF7CB10">
            <w:pPr>
              <w:adjustRightInd w:val="0"/>
              <w:snapToGrid w:val="0"/>
              <w:spacing w:line="480" w:lineRule="exact"/>
              <w:ind w:firstLine="480" w:firstLineChars="200"/>
              <w:rPr>
                <w:rFonts w:hint="eastAsia" w:ascii="宋体" w:hAnsi="宋体"/>
                <w:color w:val="0D0D0D" w:themeColor="text1" w:themeTint="F2"/>
                <w:kern w:val="0"/>
                <w14:textFill>
                  <w14:solidFill>
                    <w14:schemeClr w14:val="tx1">
                      <w14:lumMod w14:val="95000"/>
                      <w14:lumOff w14:val="5000"/>
                    </w14:schemeClr>
                  </w14:solidFill>
                </w14:textFill>
              </w:rPr>
            </w:pPr>
            <w:r>
              <w:rPr>
                <w:rFonts w:ascii="宋体" w:hAnsi="宋体"/>
                <w:color w:val="0D0D0D" w:themeColor="text1" w:themeTint="F2"/>
                <w:kern w:val="0"/>
                <w14:textFill>
                  <w14:solidFill>
                    <w14:schemeClr w14:val="tx1">
                      <w14:lumMod w14:val="95000"/>
                      <w14:lumOff w14:val="5000"/>
                    </w14:schemeClr>
                  </w14:solidFill>
                </w14:textFill>
              </w:rPr>
              <w:t>本项目试油期采出液依托常规采出液处理系统处理，产生量相对红山嘴油田原油处理站采出液处理系统的处理规模占比小，可满足处理需求，依托可行。</w:t>
            </w:r>
          </w:p>
          <w:p w14:paraId="10361D9A">
            <w:pPr>
              <w:adjustRightInd w:val="0"/>
              <w:snapToGrid w:val="0"/>
              <w:spacing w:line="480" w:lineRule="exact"/>
              <w:ind w:firstLine="480" w:firstLineChars="200"/>
              <w:rPr>
                <w:rFonts w:hint="eastAsia" w:ascii="宋体" w:hAnsi="宋体"/>
                <w:bCs/>
                <w:color w:val="0D0D0D" w:themeColor="text1" w:themeTint="F2"/>
                <w:kern w:val="0"/>
                <w14:textFill>
                  <w14:solidFill>
                    <w14:schemeClr w14:val="tx1">
                      <w14:lumMod w14:val="95000"/>
                      <w14:lumOff w14:val="5000"/>
                    </w14:schemeClr>
                  </w14:solidFill>
                </w14:textFill>
              </w:rPr>
            </w:pPr>
            <w:r>
              <w:rPr>
                <w:rFonts w:ascii="宋体" w:hAnsi="宋体"/>
                <w:color w:val="0D0D0D" w:themeColor="text1" w:themeTint="F2"/>
                <w:kern w:val="0"/>
                <w14:textFill>
                  <w14:solidFill>
                    <w14:schemeClr w14:val="tx1">
                      <w14:lumMod w14:val="95000"/>
                      <w14:lumOff w14:val="5000"/>
                    </w14:schemeClr>
                  </w14:solidFill>
                </w14:textFill>
              </w:rPr>
              <w:t>采取上述措施后，施工期产生的废水及采出液均得到妥善处置，不会对地表水环境产生不利影响。</w:t>
            </w:r>
          </w:p>
          <w:bookmarkEnd w:id="125"/>
          <w:p w14:paraId="002AAD31">
            <w:pPr>
              <w:widowControl/>
              <w:tabs>
                <w:tab w:val="left" w:pos="4584"/>
              </w:tabs>
              <w:adjustRightInd w:val="0"/>
              <w:snapToGrid w:val="0"/>
              <w:spacing w:line="500" w:lineRule="exact"/>
              <w:ind w:firstLine="474" w:firstLineChars="200"/>
              <w:jc w:val="left"/>
              <w:rPr>
                <w:rFonts w:hint="eastAsia" w:ascii="宋体" w:hAnsi="宋体" w:cs="宋体"/>
                <w:b/>
                <w:bCs/>
                <w:color w:val="0D0D0D" w:themeColor="text1" w:themeTint="F2"/>
                <w:spacing w:val="-2"/>
                <w14:textFill>
                  <w14:solidFill>
                    <w14:schemeClr w14:val="tx1">
                      <w14:lumMod w14:val="95000"/>
                      <w14:lumOff w14:val="5000"/>
                    </w14:schemeClr>
                  </w14:solidFill>
                </w14:textFill>
              </w:rPr>
            </w:pPr>
            <w:r>
              <w:rPr>
                <w:rFonts w:hint="eastAsia" w:ascii="宋体" w:hAnsi="宋体" w:cs="宋体"/>
                <w:b/>
                <w:bCs/>
                <w:color w:val="0D0D0D" w:themeColor="text1" w:themeTint="F2"/>
                <w:spacing w:val="-2"/>
                <w14:textFill>
                  <w14:solidFill>
                    <w14:schemeClr w14:val="tx1">
                      <w14:lumMod w14:val="95000"/>
                      <w14:lumOff w14:val="5000"/>
                    </w14:schemeClr>
                  </w14:solidFill>
                </w14:textFill>
              </w:rPr>
              <w:t>6、地下水和土壤环境保护措施</w:t>
            </w:r>
          </w:p>
          <w:p w14:paraId="0042D871">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施工期间钻井井场分为重点防渗区、一般防渗区和简单防渗区。其中柴油储罐、发电房、废料场、不落地系统、钻井液储罐区、岩屑储罐区、钻井井口、危险废物贮存点和应急放喷池（应急放喷池仅在事故状态下开挖）区域为重点防渗区，采用防渗膜进行防渗，防渗层防渗性能不应低于6.0m厚渗透系数不大于10</w:t>
            </w:r>
            <w:r>
              <w:rPr>
                <w:rFonts w:hint="eastAsia"/>
                <w:color w:val="0D0D0D" w:themeColor="text1" w:themeTint="F2"/>
                <w:vertAlign w:val="superscript"/>
                <w14:textFill>
                  <w14:solidFill>
                    <w14:schemeClr w14:val="tx1">
                      <w14:lumMod w14:val="95000"/>
                      <w14:lumOff w14:val="5000"/>
                    </w14:schemeClr>
                  </w14:solidFill>
                </w14:textFill>
              </w:rPr>
              <w:t>-10</w:t>
            </w:r>
            <w:r>
              <w:rPr>
                <w:rFonts w:hint="eastAsia"/>
                <w:color w:val="0D0D0D" w:themeColor="text1" w:themeTint="F2"/>
                <w14:textFill>
                  <w14:solidFill>
                    <w14:schemeClr w14:val="tx1">
                      <w14:lumMod w14:val="95000"/>
                      <w14:lumOff w14:val="5000"/>
                    </w14:schemeClr>
                  </w14:solidFill>
                </w14:textFill>
              </w:rPr>
              <w:t>cm/s的黏土的防渗性能；化工爬犁、材料爬犁、材料房和生活污水收集池区域为一般防渗区，防渗层防渗性能不应低于1.5m厚渗透系数不大于10</w:t>
            </w:r>
            <w:r>
              <w:rPr>
                <w:rFonts w:hint="eastAsia"/>
                <w:color w:val="0D0D0D" w:themeColor="text1" w:themeTint="F2"/>
                <w:vertAlign w:val="superscript"/>
                <w14:textFill>
                  <w14:solidFill>
                    <w14:schemeClr w14:val="tx1">
                      <w14:lumMod w14:val="95000"/>
                      <w14:lumOff w14:val="5000"/>
                    </w14:schemeClr>
                  </w14:solidFill>
                </w14:textFill>
              </w:rPr>
              <w:t>-7</w:t>
            </w:r>
            <w:r>
              <w:rPr>
                <w:rFonts w:hint="eastAsia"/>
                <w:color w:val="0D0D0D" w:themeColor="text1" w:themeTint="F2"/>
                <w14:textFill>
                  <w14:solidFill>
                    <w14:schemeClr w14:val="tx1">
                      <w14:lumMod w14:val="95000"/>
                      <w14:lumOff w14:val="5000"/>
                    </w14:schemeClr>
                  </w14:solidFill>
                </w14:textFill>
              </w:rPr>
              <w:t>cm/s的黏土的防渗性能；水罐区、地质房、录井房和值班房等其他区域为简单防渗区。</w:t>
            </w:r>
          </w:p>
          <w:p w14:paraId="4F1EF582">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试油井场分为重点防渗区和简单防渗区。其中发电房、采出液储罐、试油废水罐和应急放喷池（应急放喷池仅在事故状态下开挖）为重点防渗区，采用防渗膜进行防渗，防渗层防渗性能不应低于6.0m厚渗透系数不大于10</w:t>
            </w:r>
            <w:r>
              <w:rPr>
                <w:rFonts w:hint="eastAsia"/>
                <w:color w:val="0D0D0D" w:themeColor="text1" w:themeTint="F2"/>
                <w:vertAlign w:val="superscript"/>
                <w14:textFill>
                  <w14:solidFill>
                    <w14:schemeClr w14:val="tx1">
                      <w14:lumMod w14:val="95000"/>
                      <w14:lumOff w14:val="5000"/>
                    </w14:schemeClr>
                  </w14:solidFill>
                </w14:textFill>
              </w:rPr>
              <w:t>-10</w:t>
            </w:r>
            <w:r>
              <w:rPr>
                <w:rFonts w:hint="eastAsia"/>
                <w:color w:val="0D0D0D" w:themeColor="text1" w:themeTint="F2"/>
                <w14:textFill>
                  <w14:solidFill>
                    <w14:schemeClr w14:val="tx1">
                      <w14:lumMod w14:val="95000"/>
                      <w14:lumOff w14:val="5000"/>
                    </w14:schemeClr>
                  </w14:solidFill>
                </w14:textFill>
              </w:rPr>
              <w:t>cm/s的黏土的防渗性能，值班房为简单防渗区。分区防渗情况详见</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REF _Ref206183161 \h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表23</w:t>
            </w:r>
            <w:r>
              <w:rPr>
                <w:rFonts w:hint="eastAsia"/>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、附图4和附图5。</w:t>
            </w:r>
          </w:p>
          <w:p w14:paraId="5552F16A">
            <w:pPr>
              <w:pStyle w:val="8"/>
              <w:rPr>
                <w:rFonts w:hint="eastAsia"/>
                <w:color w:val="0D0D0D" w:themeColor="text1" w:themeTint="F2"/>
                <w14:textFill>
                  <w14:solidFill>
                    <w14:schemeClr w14:val="tx1">
                      <w14:lumMod w14:val="95000"/>
                      <w14:lumOff w14:val="5000"/>
                    </w14:schemeClr>
                  </w14:solidFill>
                </w14:textFill>
              </w:rPr>
            </w:pPr>
            <w:bookmarkStart w:id="136" w:name="_Ref206183161"/>
            <w:r>
              <w:rPr>
                <w:rFonts w:hint="eastAsia"/>
                <w:color w:val="0D0D0D" w:themeColor="text1" w:themeTint="F2"/>
                <w14:textFill>
                  <w14:solidFill>
                    <w14:schemeClr w14:val="tx1">
                      <w14:lumMod w14:val="95000"/>
                      <w14:lumOff w14:val="5000"/>
                    </w14:schemeClr>
                  </w14:solidFill>
                </w14:textFill>
              </w:rPr>
              <w:t>表</w:t>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w:instrText>
            </w:r>
            <w:r>
              <w:rPr>
                <w:rFonts w:hint="eastAsia"/>
                <w:color w:val="0D0D0D" w:themeColor="text1" w:themeTint="F2"/>
                <w14:textFill>
                  <w14:solidFill>
                    <w14:schemeClr w14:val="tx1">
                      <w14:lumMod w14:val="95000"/>
                      <w14:lumOff w14:val="5000"/>
                    </w14:schemeClr>
                  </w14:solidFill>
                </w14:textFill>
              </w:rPr>
              <w:instrText xml:space="preserve">SEQ 表 \* ARABIC</w:instrText>
            </w:r>
            <w:r>
              <w:rPr>
                <w:color w:val="0D0D0D" w:themeColor="text1" w:themeTint="F2"/>
                <w14:textFill>
                  <w14:solidFill>
                    <w14:schemeClr w14:val="tx1">
                      <w14:lumMod w14:val="95000"/>
                      <w14:lumOff w14:val="5000"/>
                    </w14:schemeClr>
                  </w14:solidFill>
                </w14:textFill>
              </w:rPr>
              <w:instrText xml:space="preserve"> </w:instrText>
            </w:r>
            <w:r>
              <w:rPr>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23</w:t>
            </w:r>
            <w:r>
              <w:rPr>
                <w:color w:val="0D0D0D" w:themeColor="text1" w:themeTint="F2"/>
                <w14:textFill>
                  <w14:solidFill>
                    <w14:schemeClr w14:val="tx1">
                      <w14:lumMod w14:val="95000"/>
                      <w14:lumOff w14:val="5000"/>
                    </w14:schemeClr>
                  </w14:solidFill>
                </w14:textFill>
              </w:rPr>
              <w:fldChar w:fldCharType="end"/>
            </w:r>
            <w:bookmarkEnd w:id="136"/>
            <w:r>
              <w:rPr>
                <w:rFonts w:hint="eastAsia"/>
                <w:color w:val="0D0D0D" w:themeColor="text1" w:themeTint="F2"/>
                <w14:textFill>
                  <w14:solidFill>
                    <w14:schemeClr w14:val="tx1">
                      <w14:lumMod w14:val="95000"/>
                      <w14:lumOff w14:val="5000"/>
                    </w14:schemeClr>
                  </w14:solidFill>
                </w14:textFill>
              </w:rPr>
              <w:t xml:space="preserve">    项目分区防渗表</w:t>
            </w:r>
          </w:p>
          <w:tbl>
            <w:tblPr>
              <w:tblStyle w:val="9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590"/>
              <w:gridCol w:w="1218"/>
              <w:gridCol w:w="3528"/>
              <w:gridCol w:w="2685"/>
            </w:tblGrid>
            <w:tr w14:paraId="45E889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368" w:type="pct"/>
                  <w:vAlign w:val="center"/>
                </w:tcPr>
                <w:p w14:paraId="0D661760">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时期</w:t>
                  </w:r>
                </w:p>
              </w:tc>
              <w:tc>
                <w:tcPr>
                  <w:tcW w:w="759" w:type="pct"/>
                  <w:vAlign w:val="center"/>
                </w:tcPr>
                <w:p w14:paraId="209B7CC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防渗分区</w:t>
                  </w:r>
                </w:p>
              </w:tc>
              <w:tc>
                <w:tcPr>
                  <w:tcW w:w="2199" w:type="pct"/>
                  <w:vAlign w:val="center"/>
                </w:tcPr>
                <w:p w14:paraId="080EB7A6">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生产单元</w:t>
                  </w:r>
                </w:p>
              </w:tc>
              <w:tc>
                <w:tcPr>
                  <w:tcW w:w="1674" w:type="pct"/>
                  <w:vAlign w:val="center"/>
                </w:tcPr>
                <w:p w14:paraId="37A812D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防渗性能要求</w:t>
                  </w:r>
                </w:p>
              </w:tc>
            </w:tr>
            <w:tr w14:paraId="6C624D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368" w:type="pct"/>
                  <w:vMerge w:val="restart"/>
                  <w:vAlign w:val="center"/>
                </w:tcPr>
                <w:p w14:paraId="04E75AF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钻井井场</w:t>
                  </w:r>
                </w:p>
              </w:tc>
              <w:tc>
                <w:tcPr>
                  <w:tcW w:w="759" w:type="pct"/>
                  <w:vAlign w:val="center"/>
                </w:tcPr>
                <w:p w14:paraId="3A9A487E">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一般防渗区</w:t>
                  </w:r>
                </w:p>
              </w:tc>
              <w:tc>
                <w:tcPr>
                  <w:tcW w:w="2199" w:type="pct"/>
                  <w:vAlign w:val="center"/>
                </w:tcPr>
                <w:p w14:paraId="4BDBE689">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化工爬犁、材料爬犁、材料房</w:t>
                  </w:r>
                </w:p>
              </w:tc>
              <w:tc>
                <w:tcPr>
                  <w:tcW w:w="1674" w:type="pct"/>
                  <w:vAlign w:val="center"/>
                </w:tcPr>
                <w:p w14:paraId="4E27EAA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等效黏土防渗层MB≥1.5m，K≤1.0×</w:t>
                  </w:r>
                  <w:r>
                    <w:rPr>
                      <w:color w:val="0D0D0D" w:themeColor="text1" w:themeTint="F2"/>
                      <w14:textFill>
                        <w14:solidFill>
                          <w14:schemeClr w14:val="tx1">
                            <w14:lumMod w14:val="95000"/>
                            <w14:lumOff w14:val="5000"/>
                          </w14:schemeClr>
                        </w14:solidFill>
                      </w14:textFill>
                    </w:rPr>
                    <w:t>10</w:t>
                  </w:r>
                  <w:r>
                    <w:rPr>
                      <w:color w:val="0D0D0D" w:themeColor="text1" w:themeTint="F2"/>
                      <w:vertAlign w:val="superscript"/>
                      <w14:textFill>
                        <w14:solidFill>
                          <w14:schemeClr w14:val="tx1">
                            <w14:lumMod w14:val="95000"/>
                            <w14:lumOff w14:val="5000"/>
                          </w14:schemeClr>
                        </w14:solidFill>
                      </w14:textFill>
                    </w:rPr>
                    <w:t>-</w:t>
                  </w:r>
                  <w:r>
                    <w:rPr>
                      <w:rFonts w:hint="eastAsia"/>
                      <w:color w:val="0D0D0D" w:themeColor="text1" w:themeTint="F2"/>
                      <w:vertAlign w:val="superscript"/>
                      <w14:textFill>
                        <w14:solidFill>
                          <w14:schemeClr w14:val="tx1">
                            <w14:lumMod w14:val="95000"/>
                            <w14:lumOff w14:val="5000"/>
                          </w14:schemeClr>
                        </w14:solidFill>
                      </w14:textFill>
                    </w:rPr>
                    <w:t>7</w:t>
                  </w:r>
                  <w:r>
                    <w:rPr>
                      <w:color w:val="0D0D0D" w:themeColor="text1" w:themeTint="F2"/>
                      <w14:textFill>
                        <w14:solidFill>
                          <w14:schemeClr w14:val="tx1">
                            <w14:lumMod w14:val="95000"/>
                            <w14:lumOff w14:val="5000"/>
                          </w14:schemeClr>
                        </w14:solidFill>
                      </w14:textFill>
                    </w:rPr>
                    <w:t>cm/s</w:t>
                  </w:r>
                </w:p>
              </w:tc>
            </w:tr>
            <w:tr w14:paraId="5466F4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368" w:type="pct"/>
                  <w:vMerge w:val="continue"/>
                  <w:vAlign w:val="center"/>
                </w:tcPr>
                <w:p w14:paraId="12528D94">
                  <w:pPr>
                    <w:pStyle w:val="42"/>
                    <w:rPr>
                      <w:rFonts w:hint="eastAsia"/>
                      <w:color w:val="0D0D0D" w:themeColor="text1" w:themeTint="F2"/>
                      <w14:textFill>
                        <w14:solidFill>
                          <w14:schemeClr w14:val="tx1">
                            <w14:lumMod w14:val="95000"/>
                            <w14:lumOff w14:val="5000"/>
                          </w14:schemeClr>
                        </w14:solidFill>
                      </w14:textFill>
                    </w:rPr>
                  </w:pPr>
                </w:p>
              </w:tc>
              <w:tc>
                <w:tcPr>
                  <w:tcW w:w="759" w:type="pct"/>
                  <w:vAlign w:val="center"/>
                </w:tcPr>
                <w:p w14:paraId="040E1C5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重点防渗区</w:t>
                  </w:r>
                </w:p>
              </w:tc>
              <w:tc>
                <w:tcPr>
                  <w:tcW w:w="2199" w:type="pct"/>
                  <w:vAlign w:val="center"/>
                </w:tcPr>
                <w:p w14:paraId="2C620A93">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柴油储罐、发电房、废料场、不落地系统、钻井液储罐区、岩屑储罐区、钻井井口、危险废物贮存点、应急放喷池（应急放喷池仅在事故状态下开挖）</w:t>
                  </w:r>
                </w:p>
              </w:tc>
              <w:tc>
                <w:tcPr>
                  <w:tcW w:w="1674" w:type="pct"/>
                  <w:vAlign w:val="center"/>
                </w:tcPr>
                <w:p w14:paraId="483C827E">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等效黏土防渗层MB≥6.0m，K≤1.0×</w:t>
                  </w:r>
                  <w:r>
                    <w:rPr>
                      <w:color w:val="0D0D0D" w:themeColor="text1" w:themeTint="F2"/>
                      <w14:textFill>
                        <w14:solidFill>
                          <w14:schemeClr w14:val="tx1">
                            <w14:lumMod w14:val="95000"/>
                            <w14:lumOff w14:val="5000"/>
                          </w14:schemeClr>
                        </w14:solidFill>
                      </w14:textFill>
                    </w:rPr>
                    <w:t>10</w:t>
                  </w:r>
                  <w:r>
                    <w:rPr>
                      <w:color w:val="0D0D0D" w:themeColor="text1" w:themeTint="F2"/>
                      <w:vertAlign w:val="superscript"/>
                      <w14:textFill>
                        <w14:solidFill>
                          <w14:schemeClr w14:val="tx1">
                            <w14:lumMod w14:val="95000"/>
                            <w14:lumOff w14:val="5000"/>
                          </w14:schemeClr>
                        </w14:solidFill>
                      </w14:textFill>
                    </w:rPr>
                    <w:t>-</w:t>
                  </w:r>
                  <w:r>
                    <w:rPr>
                      <w:rFonts w:hint="eastAsia"/>
                      <w:color w:val="0D0D0D" w:themeColor="text1" w:themeTint="F2"/>
                      <w:vertAlign w:val="superscript"/>
                      <w14:textFill>
                        <w14:solidFill>
                          <w14:schemeClr w14:val="tx1">
                            <w14:lumMod w14:val="95000"/>
                            <w14:lumOff w14:val="5000"/>
                          </w14:schemeClr>
                        </w14:solidFill>
                      </w14:textFill>
                    </w:rPr>
                    <w:t>10</w:t>
                  </w:r>
                  <w:r>
                    <w:rPr>
                      <w:color w:val="0D0D0D" w:themeColor="text1" w:themeTint="F2"/>
                      <w14:textFill>
                        <w14:solidFill>
                          <w14:schemeClr w14:val="tx1">
                            <w14:lumMod w14:val="95000"/>
                            <w14:lumOff w14:val="5000"/>
                          </w14:schemeClr>
                        </w14:solidFill>
                      </w14:textFill>
                    </w:rPr>
                    <w:t>cm/s</w:t>
                  </w:r>
                </w:p>
              </w:tc>
            </w:tr>
            <w:tr w14:paraId="2CC797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368" w:type="pct"/>
                  <w:vMerge w:val="continue"/>
                  <w:vAlign w:val="center"/>
                </w:tcPr>
                <w:p w14:paraId="0CBE3BA6">
                  <w:pPr>
                    <w:pStyle w:val="42"/>
                    <w:rPr>
                      <w:rFonts w:hint="eastAsia"/>
                      <w:color w:val="0D0D0D" w:themeColor="text1" w:themeTint="F2"/>
                      <w14:textFill>
                        <w14:solidFill>
                          <w14:schemeClr w14:val="tx1">
                            <w14:lumMod w14:val="95000"/>
                            <w14:lumOff w14:val="5000"/>
                          </w14:schemeClr>
                        </w14:solidFill>
                      </w14:textFill>
                    </w:rPr>
                  </w:pPr>
                </w:p>
              </w:tc>
              <w:tc>
                <w:tcPr>
                  <w:tcW w:w="759" w:type="pct"/>
                  <w:vAlign w:val="center"/>
                </w:tcPr>
                <w:p w14:paraId="790319C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简单防渗区</w:t>
                  </w:r>
                </w:p>
              </w:tc>
              <w:tc>
                <w:tcPr>
                  <w:tcW w:w="2199" w:type="pct"/>
                  <w:vAlign w:val="center"/>
                </w:tcPr>
                <w:p w14:paraId="0700FCA1">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水罐区、地质房、录井房、值班房、化验房、远控台、消防房、管线盒、过桥、配电房、钳工房</w:t>
                  </w:r>
                </w:p>
              </w:tc>
              <w:tc>
                <w:tcPr>
                  <w:tcW w:w="1674" w:type="pct"/>
                  <w:vAlign w:val="center"/>
                </w:tcPr>
                <w:p w14:paraId="4BE8606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一般地面硬化</w:t>
                  </w:r>
                </w:p>
              </w:tc>
            </w:tr>
            <w:tr w14:paraId="7757C0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368" w:type="pct"/>
                  <w:vAlign w:val="center"/>
                </w:tcPr>
                <w:p w14:paraId="0010BC2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生活营地</w:t>
                  </w:r>
                </w:p>
              </w:tc>
              <w:tc>
                <w:tcPr>
                  <w:tcW w:w="759" w:type="pct"/>
                  <w:vAlign w:val="center"/>
                </w:tcPr>
                <w:p w14:paraId="1D0EF4A5">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一般防渗区</w:t>
                  </w:r>
                </w:p>
              </w:tc>
              <w:tc>
                <w:tcPr>
                  <w:tcW w:w="2199" w:type="pct"/>
                  <w:vAlign w:val="center"/>
                </w:tcPr>
                <w:p w14:paraId="61CC1490">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生活污水收集池</w:t>
                  </w:r>
                </w:p>
              </w:tc>
              <w:tc>
                <w:tcPr>
                  <w:tcW w:w="1674" w:type="pct"/>
                  <w:vAlign w:val="center"/>
                </w:tcPr>
                <w:p w14:paraId="6D3DCFBF">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等效黏土防渗层MB≥1.5m，K≤1.0×</w:t>
                  </w:r>
                  <w:r>
                    <w:rPr>
                      <w:color w:val="0D0D0D" w:themeColor="text1" w:themeTint="F2"/>
                      <w14:textFill>
                        <w14:solidFill>
                          <w14:schemeClr w14:val="tx1">
                            <w14:lumMod w14:val="95000"/>
                            <w14:lumOff w14:val="5000"/>
                          </w14:schemeClr>
                        </w14:solidFill>
                      </w14:textFill>
                    </w:rPr>
                    <w:t>10</w:t>
                  </w:r>
                  <w:r>
                    <w:rPr>
                      <w:color w:val="0D0D0D" w:themeColor="text1" w:themeTint="F2"/>
                      <w:vertAlign w:val="superscript"/>
                      <w14:textFill>
                        <w14:solidFill>
                          <w14:schemeClr w14:val="tx1">
                            <w14:lumMod w14:val="95000"/>
                            <w14:lumOff w14:val="5000"/>
                          </w14:schemeClr>
                        </w14:solidFill>
                      </w14:textFill>
                    </w:rPr>
                    <w:t>-</w:t>
                  </w:r>
                  <w:r>
                    <w:rPr>
                      <w:rFonts w:hint="eastAsia"/>
                      <w:color w:val="0D0D0D" w:themeColor="text1" w:themeTint="F2"/>
                      <w:vertAlign w:val="superscript"/>
                      <w14:textFill>
                        <w14:solidFill>
                          <w14:schemeClr w14:val="tx1">
                            <w14:lumMod w14:val="95000"/>
                            <w14:lumOff w14:val="5000"/>
                          </w14:schemeClr>
                        </w14:solidFill>
                      </w14:textFill>
                    </w:rPr>
                    <w:t>7</w:t>
                  </w:r>
                  <w:r>
                    <w:rPr>
                      <w:color w:val="0D0D0D" w:themeColor="text1" w:themeTint="F2"/>
                      <w14:textFill>
                        <w14:solidFill>
                          <w14:schemeClr w14:val="tx1">
                            <w14:lumMod w14:val="95000"/>
                            <w14:lumOff w14:val="5000"/>
                          </w14:schemeClr>
                        </w14:solidFill>
                      </w14:textFill>
                    </w:rPr>
                    <w:t>cm/s</w:t>
                  </w:r>
                </w:p>
              </w:tc>
            </w:tr>
            <w:tr w14:paraId="7B170C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60" w:hRule="atLeast"/>
                <w:jc w:val="center"/>
              </w:trPr>
              <w:tc>
                <w:tcPr>
                  <w:tcW w:w="368" w:type="pct"/>
                  <w:vMerge w:val="restart"/>
                  <w:vAlign w:val="center"/>
                </w:tcPr>
                <w:p w14:paraId="7C8A9B61">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试油井场</w:t>
                  </w:r>
                </w:p>
              </w:tc>
              <w:tc>
                <w:tcPr>
                  <w:tcW w:w="759" w:type="pct"/>
                  <w:vAlign w:val="center"/>
                </w:tcPr>
                <w:p w14:paraId="6C77CE66">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重点防渗区</w:t>
                  </w:r>
                </w:p>
              </w:tc>
              <w:tc>
                <w:tcPr>
                  <w:tcW w:w="2199" w:type="pct"/>
                  <w:vAlign w:val="center"/>
                </w:tcPr>
                <w:p w14:paraId="4B360A20">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发电房、采出液储罐、试油废水罐、应急放喷池（应急放喷池仅在事故状态下开挖）</w:t>
                  </w:r>
                </w:p>
              </w:tc>
              <w:tc>
                <w:tcPr>
                  <w:tcW w:w="1674" w:type="pct"/>
                  <w:vAlign w:val="center"/>
                </w:tcPr>
                <w:p w14:paraId="732F5D31">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等效黏土防渗层MB≥6.0m，K≤1.0×</w:t>
                  </w:r>
                  <w:r>
                    <w:rPr>
                      <w:color w:val="0D0D0D" w:themeColor="text1" w:themeTint="F2"/>
                      <w14:textFill>
                        <w14:solidFill>
                          <w14:schemeClr w14:val="tx1">
                            <w14:lumMod w14:val="95000"/>
                            <w14:lumOff w14:val="5000"/>
                          </w14:schemeClr>
                        </w14:solidFill>
                      </w14:textFill>
                    </w:rPr>
                    <w:t>10</w:t>
                  </w:r>
                  <w:r>
                    <w:rPr>
                      <w:color w:val="0D0D0D" w:themeColor="text1" w:themeTint="F2"/>
                      <w:vertAlign w:val="superscript"/>
                      <w14:textFill>
                        <w14:solidFill>
                          <w14:schemeClr w14:val="tx1">
                            <w14:lumMod w14:val="95000"/>
                            <w14:lumOff w14:val="5000"/>
                          </w14:schemeClr>
                        </w14:solidFill>
                      </w14:textFill>
                    </w:rPr>
                    <w:t>-</w:t>
                  </w:r>
                  <w:r>
                    <w:rPr>
                      <w:rFonts w:hint="eastAsia"/>
                      <w:color w:val="0D0D0D" w:themeColor="text1" w:themeTint="F2"/>
                      <w:vertAlign w:val="superscript"/>
                      <w14:textFill>
                        <w14:solidFill>
                          <w14:schemeClr w14:val="tx1">
                            <w14:lumMod w14:val="95000"/>
                            <w14:lumOff w14:val="5000"/>
                          </w14:schemeClr>
                        </w14:solidFill>
                      </w14:textFill>
                    </w:rPr>
                    <w:t>10</w:t>
                  </w:r>
                  <w:r>
                    <w:rPr>
                      <w:color w:val="0D0D0D" w:themeColor="text1" w:themeTint="F2"/>
                      <w14:textFill>
                        <w14:solidFill>
                          <w14:schemeClr w14:val="tx1">
                            <w14:lumMod w14:val="95000"/>
                            <w14:lumOff w14:val="5000"/>
                          </w14:schemeClr>
                        </w14:solidFill>
                      </w14:textFill>
                    </w:rPr>
                    <w:t>cm/s</w:t>
                  </w:r>
                </w:p>
              </w:tc>
            </w:tr>
            <w:tr w14:paraId="3B22AF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0" w:hRule="atLeast"/>
                <w:jc w:val="center"/>
              </w:trPr>
              <w:tc>
                <w:tcPr>
                  <w:tcW w:w="368" w:type="pct"/>
                  <w:vMerge w:val="continue"/>
                  <w:vAlign w:val="center"/>
                </w:tcPr>
                <w:p w14:paraId="3E43789A">
                  <w:pPr>
                    <w:pStyle w:val="42"/>
                    <w:rPr>
                      <w:rFonts w:hint="eastAsia"/>
                      <w:color w:val="0D0D0D" w:themeColor="text1" w:themeTint="F2"/>
                      <w14:textFill>
                        <w14:solidFill>
                          <w14:schemeClr w14:val="tx1">
                            <w14:lumMod w14:val="95000"/>
                            <w14:lumOff w14:val="5000"/>
                          </w14:schemeClr>
                        </w14:solidFill>
                      </w14:textFill>
                    </w:rPr>
                  </w:pPr>
                </w:p>
              </w:tc>
              <w:tc>
                <w:tcPr>
                  <w:tcW w:w="759" w:type="pct"/>
                  <w:vAlign w:val="center"/>
                </w:tcPr>
                <w:p w14:paraId="3D7673C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简单防渗区</w:t>
                  </w:r>
                </w:p>
              </w:tc>
              <w:tc>
                <w:tcPr>
                  <w:tcW w:w="2199" w:type="pct"/>
                  <w:vAlign w:val="center"/>
                </w:tcPr>
                <w:p w14:paraId="044560BC">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值班房</w:t>
                  </w:r>
                </w:p>
              </w:tc>
              <w:tc>
                <w:tcPr>
                  <w:tcW w:w="1674" w:type="pct"/>
                  <w:vAlign w:val="center"/>
                </w:tcPr>
                <w:p w14:paraId="749CB6EE">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一般地面硬化</w:t>
                  </w:r>
                </w:p>
              </w:tc>
            </w:tr>
          </w:tbl>
          <w:p w14:paraId="3CC17E3D">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建设单位应监督施工单位严格按照上表的分区防渗要求执行，以确保防渗措施的落实和有效性。</w:t>
            </w:r>
          </w:p>
          <w:p w14:paraId="6614B28A">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w:t>
            </w:r>
            <w:bookmarkStart w:id="137" w:name="OLE_LINK125"/>
            <w:r>
              <w:rPr>
                <w:rFonts w:hint="eastAsia"/>
                <w:color w:val="0D0D0D" w:themeColor="text1" w:themeTint="F2"/>
                <w14:textFill>
                  <w14:solidFill>
                    <w14:schemeClr w14:val="tx1">
                      <w14:lumMod w14:val="95000"/>
                      <w14:lumOff w14:val="5000"/>
                    </w14:schemeClr>
                  </w14:solidFill>
                </w14:textFill>
              </w:rPr>
              <w:t>钻井时采用套管与地层隔离开、并在套管与地层之间注入水泥进行固井，水泥浆返至地面，封隔疏松地层和水层。</w:t>
            </w:r>
          </w:p>
          <w:bookmarkEnd w:id="137"/>
          <w:p w14:paraId="431243CE">
            <w:pPr>
              <w:pStyle w:val="38"/>
              <w:ind w:firstLine="480"/>
              <w:rPr>
                <w:rFonts w:hint="eastAsia"/>
                <w:color w:val="0D0D0D" w:themeColor="text1" w:themeTint="F2"/>
                <w14:textFill>
                  <w14:solidFill>
                    <w14:schemeClr w14:val="tx1">
                      <w14:lumMod w14:val="95000"/>
                      <w14:lumOff w14:val="5000"/>
                    </w14:schemeClr>
                  </w14:solidFill>
                </w14:textFill>
              </w:rPr>
            </w:pPr>
            <w:bookmarkStart w:id="138" w:name="_Hlk183361829"/>
            <w:r>
              <w:rPr>
                <w:rFonts w:hint="eastAsia"/>
                <w:color w:val="0D0D0D" w:themeColor="text1" w:themeTint="F2"/>
                <w:lang w:bidi="ar"/>
                <w14:textFill>
                  <w14:solidFill>
                    <w14:schemeClr w14:val="tx1">
                      <w14:lumMod w14:val="95000"/>
                      <w14:lumOff w14:val="5000"/>
                    </w14:schemeClr>
                  </w14:solidFill>
                </w14:textFill>
              </w:rPr>
              <w:t>（3）本项目钻井过程中采用下套管注水泥固井的完井方式进行水泥固井，将含水层与井筒分隔开，一开环空水泥浆返至地面，对含水层进行了固封处理，同时严格要求套管下入深度、确保固井质量等措施，可有效控制钻井液在含水层中的漏失。钻井时严格落实套管下入深度合格和固井质量合格，同时定期检查固井质量，发现固井质量不合格应及时采取措施，保证固井质量合格，可有效防止地下水污染。</w:t>
            </w:r>
          </w:p>
          <w:bookmarkEnd w:id="138"/>
          <w:p w14:paraId="2EC0105A">
            <w:pPr>
              <w:pStyle w:val="27"/>
              <w:widowControl w:val="0"/>
              <w:wordWrap w:val="0"/>
              <w:spacing w:before="0" w:beforeAutospacing="0" w:after="0" w:afterAutospacing="0" w:line="500" w:lineRule="exact"/>
              <w:ind w:firstLine="480" w:firstLineChars="200"/>
              <w:jc w:val="both"/>
              <w:rPr>
                <w:rFonts w:hint="eastAsia" w:cs="宋体"/>
                <w:bCs/>
                <w:color w:val="0D0D0D" w:themeColor="text1" w:themeTint="F2"/>
                <w14:textFill>
                  <w14:solidFill>
                    <w14:schemeClr w14:val="tx1">
                      <w14:lumMod w14:val="95000"/>
                      <w14:lumOff w14:val="5000"/>
                    </w14:schemeClr>
                  </w14:solidFill>
                </w14:textFill>
              </w:rPr>
            </w:pPr>
            <w:r>
              <w:rPr>
                <w:rFonts w:hint="eastAsia" w:cs="宋体"/>
                <w:bCs/>
                <w:color w:val="0D0D0D" w:themeColor="text1" w:themeTint="F2"/>
                <w:lang w:bidi="ar"/>
                <w14:textFill>
                  <w14:solidFill>
                    <w14:schemeClr w14:val="tx1">
                      <w14:lumMod w14:val="95000"/>
                      <w14:lumOff w14:val="5000"/>
                    </w14:schemeClr>
                  </w14:solidFill>
                </w14:textFill>
              </w:rPr>
              <w:t>（4）对产生的洗井废水、压裂返排液、生活污水、钻井岩屑、沾油废防渗材料、废润滑油、废润滑油桶及生活垃圾严格管理，禁止乱排。</w:t>
            </w:r>
          </w:p>
          <w:p w14:paraId="1940105C">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废水均得以妥善处置，最终实现达标排放或回用，固体废物均得到妥善处置。地下水、土壤环境保护措施均为技术可行、经济合理、稳定可靠、便于实施的成熟措施，在钻井过程中得到广泛应用。采取上述措施后，钻试工程不会对地下水环境和土壤环境造成不利影响。</w:t>
            </w:r>
          </w:p>
          <w:p w14:paraId="49C04DB9">
            <w:pPr>
              <w:pStyle w:val="38"/>
              <w:ind w:firstLine="482"/>
              <w:rPr>
                <w:rFonts w:hint="eastAsia"/>
                <w:b/>
                <w:bCs/>
                <w:color w:val="0D0D0D" w:themeColor="text1" w:themeTint="F2"/>
                <w14:textFill>
                  <w14:solidFill>
                    <w14:schemeClr w14:val="tx1">
                      <w14:lumMod w14:val="95000"/>
                      <w14:lumOff w14:val="5000"/>
                    </w14:schemeClr>
                  </w14:solidFill>
                </w14:textFill>
              </w:rPr>
            </w:pPr>
            <w:r>
              <w:rPr>
                <w:rFonts w:hint="eastAsia"/>
                <w:b/>
                <w:bCs/>
                <w:color w:val="0D0D0D" w:themeColor="text1" w:themeTint="F2"/>
                <w14:textFill>
                  <w14:solidFill>
                    <w14:schemeClr w14:val="tx1">
                      <w14:lumMod w14:val="95000"/>
                      <w14:lumOff w14:val="5000"/>
                    </w14:schemeClr>
                  </w14:solidFill>
                </w14:textFill>
              </w:rPr>
              <w:t>7、噪声污染防治措施</w:t>
            </w:r>
          </w:p>
          <w:p w14:paraId="717283CD">
            <w:pPr>
              <w:pStyle w:val="38"/>
              <w:ind w:firstLine="464"/>
              <w:rPr>
                <w:rFonts w:hint="eastAsia"/>
                <w:color w:val="0D0D0D" w:themeColor="text1" w:themeTint="F2"/>
                <w:spacing w:val="-4"/>
                <w14:textFill>
                  <w14:solidFill>
                    <w14:schemeClr w14:val="tx1">
                      <w14:lumMod w14:val="95000"/>
                      <w14:lumOff w14:val="5000"/>
                    </w14:schemeClr>
                  </w14:solidFill>
                </w14:textFill>
              </w:rPr>
            </w:pPr>
            <w:r>
              <w:rPr>
                <w:rFonts w:hint="eastAsia"/>
                <w:color w:val="0D0D0D" w:themeColor="text1" w:themeTint="F2"/>
                <w:spacing w:val="-4"/>
                <w14:textFill>
                  <w14:solidFill>
                    <w14:schemeClr w14:val="tx1">
                      <w14:lumMod w14:val="95000"/>
                      <w14:lumOff w14:val="5000"/>
                    </w14:schemeClr>
                  </w14:solidFill>
                </w14:textFill>
              </w:rPr>
              <w:t>施工机械采用低噪声设备；加强设备维护及保养，对噪声较大的设备采取基础减振措施；加强施工场地管理，合理疏导进入施工区的车辆，禁止运输车辆随意高声鸣笛。在采取上述措施后，施工噪声不会对区域声环境产生明显影响。</w:t>
            </w:r>
          </w:p>
          <w:p w14:paraId="51374842">
            <w:pPr>
              <w:snapToGrid w:val="0"/>
              <w:spacing w:line="50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bookmarkStart w:id="139" w:name="_Hlk183349956"/>
            <w:bookmarkStart w:id="140" w:name="_Hlk143015311"/>
            <w:bookmarkStart w:id="141" w:name="_Hlk136795812"/>
            <w:r>
              <w:rPr>
                <w:rFonts w:hint="eastAsia" w:ascii="宋体" w:hAnsi="宋体" w:cs="宋体"/>
                <w:b/>
                <w:bCs/>
                <w:color w:val="0D0D0D" w:themeColor="text1" w:themeTint="F2"/>
                <w:lang w:bidi="ar"/>
                <w14:textFill>
                  <w14:solidFill>
                    <w14:schemeClr w14:val="tx1">
                      <w14:lumMod w14:val="95000"/>
                      <w14:lumOff w14:val="5000"/>
                    </w14:schemeClr>
                  </w14:solidFill>
                </w14:textFill>
              </w:rPr>
              <w:t>8、固体废物处置措施</w:t>
            </w:r>
          </w:p>
          <w:bookmarkEnd w:id="139"/>
          <w:p w14:paraId="50DBDE52">
            <w:pPr>
              <w:pStyle w:val="38"/>
              <w:ind w:firstLine="480"/>
              <w:rPr>
                <w:rFonts w:hint="eastAsia"/>
                <w:color w:val="0D0D0D" w:themeColor="text1" w:themeTint="F2"/>
                <w14:textFill>
                  <w14:solidFill>
                    <w14:schemeClr w14:val="tx1">
                      <w14:lumMod w14:val="95000"/>
                      <w14:lumOff w14:val="5000"/>
                    </w14:schemeClr>
                  </w14:solidFill>
                </w14:textFill>
              </w:rPr>
            </w:pPr>
            <w:bookmarkStart w:id="142" w:name="_Hlk183355720"/>
            <w:r>
              <w:t>固体废物主要为生活垃圾、建筑垃圾、水基钻井岩屑、油基钻井岩屑、废防渗材料、废润滑油、废润滑油桶、废弃含油抹布及劳保用品</w:t>
            </w:r>
            <w:r>
              <w:rPr>
                <w:rFonts w:hint="eastAsia"/>
                <w:color w:val="0D0D0D" w:themeColor="text1" w:themeTint="F2"/>
                <w14:textFill>
                  <w14:solidFill>
                    <w14:schemeClr w14:val="tx1">
                      <w14:lumMod w14:val="95000"/>
                      <w14:lumOff w14:val="5000"/>
                    </w14:schemeClr>
                  </w14:solidFill>
                </w14:textFill>
              </w:rPr>
              <w:t>。</w:t>
            </w:r>
          </w:p>
          <w:p w14:paraId="1DECE188">
            <w:pPr>
              <w:pStyle w:val="38"/>
              <w:spacing w:line="240" w:lineRule="auto"/>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（1）水基钻井岩屑</w:t>
            </w:r>
          </w:p>
          <w:p w14:paraId="3BFD0ECE">
            <w:pPr>
              <w:pStyle w:val="38"/>
              <w:ind w:firstLine="480"/>
              <w:rPr>
                <w:rFonts w:hint="eastAsia"/>
                <w:color w:val="0D0D0D" w:themeColor="text1" w:themeTint="F2"/>
                <w14:textFill>
                  <w14:solidFill>
                    <w14:schemeClr w14:val="tx1">
                      <w14:lumMod w14:val="95000"/>
                      <w14:lumOff w14:val="5000"/>
                    </w14:schemeClr>
                  </w14:solidFill>
                </w14:textFill>
              </w:rPr>
            </w:pPr>
            <w:bookmarkStart w:id="143" w:name="_Hlk183357572"/>
            <w:r>
              <w:rPr>
                <w:rFonts w:hint="eastAsia"/>
                <w:color w:val="0D0D0D" w:themeColor="text1" w:themeTint="F2"/>
                <w14:textFill>
                  <w14:solidFill>
                    <w14:schemeClr w14:val="tx1">
                      <w14:lumMod w14:val="95000"/>
                      <w14:lumOff w14:val="5000"/>
                    </w14:schemeClr>
                  </w14:solidFill>
                </w14:textFill>
              </w:rPr>
              <w:t>曙探1井一开钻井采用水基钻井液，钻井时井筒返排的钻井液及岩屑经不落地设备分离，分离出的液相循环使用，分离出的水基钻井岩屑暂存于水基钻井岩屑方罐中</w:t>
            </w:r>
            <w:bookmarkStart w:id="144" w:name="_Hlk69139413"/>
            <w:r>
              <w:rPr>
                <w:rFonts w:hint="eastAsia"/>
                <w:color w:val="0D0D0D" w:themeColor="text1" w:themeTint="F2"/>
                <w14:textFill>
                  <w14:solidFill>
                    <w14:schemeClr w14:val="tx1">
                      <w14:lumMod w14:val="95000"/>
                      <w14:lumOff w14:val="5000"/>
                    </w14:schemeClr>
                  </w14:solidFill>
                </w14:textFill>
              </w:rPr>
              <w:t>，并及时清运，水基钻井岩屑属于一般工业固体废物，根据《固体废物分类与代码目录》（2024年），水基钻井岩屑废物种类为SW12钻井岩屑（废物代码：071-001-S12）。拉运至岩屑处置点的水基钻井岩屑由岩屑处置单位委托具有相应的检测资质的检测机构进行取样检测，水基钻井岩屑中的各污染物浓度均满足《油气田钻井固体废物综合利用污染控制要求》(DB6/T3997-2017)后由岩屑处置单位直接拉运综合利用。</w:t>
            </w:r>
            <w:bookmarkEnd w:id="143"/>
            <w:bookmarkEnd w:id="144"/>
            <w:r>
              <w:rPr>
                <w:rFonts w:hint="eastAsia"/>
                <w:color w:val="0D0D0D" w:themeColor="text1" w:themeTint="F2"/>
                <w14:textFill>
                  <w14:solidFill>
                    <w14:schemeClr w14:val="tx1">
                      <w14:lumMod w14:val="95000"/>
                      <w14:lumOff w14:val="5000"/>
                    </w14:schemeClr>
                  </w14:solidFill>
                </w14:textFill>
              </w:rPr>
              <w:t>若不满足《油气田钻井固体废物综合利用污染控制要求》(DB6/T3997-2017)相关标准限值要求，则由岩屑处置单位进行进一步处置，直至各污染物浓度均满足《油气田钻井固体废物综合利用污染控制要求》(DB6/T3997-2017)后综合利用。水基钻井岩屑处理工艺流程如图3所示。</w:t>
            </w:r>
          </w:p>
          <w:p w14:paraId="411DE46D">
            <w:pPr>
              <w:pStyle w:val="27"/>
              <w:snapToGrid w:val="0"/>
              <w:spacing w:before="0" w:beforeAutospacing="0" w:after="0" w:afterAutospacing="0" w:line="500" w:lineRule="exact"/>
              <w:jc w:val="center"/>
              <w:rPr>
                <w:rFonts w:hint="eastAsia" w:ascii="黑体" w:eastAsia="黑体" w:cs="黑体"/>
                <w:color w:val="0D0D0D" w:themeColor="text1" w:themeTint="F2"/>
                <w:sz w:val="21"/>
                <w:szCs w:val="21"/>
                <w14:textFill>
                  <w14:solidFill>
                    <w14:schemeClr w14:val="tx1">
                      <w14:lumMod w14:val="95000"/>
                      <w14:lumOff w14:val="5000"/>
                    </w14:schemeClr>
                  </w14:solidFill>
                </w14:textFill>
              </w:rPr>
            </w:pPr>
            <w:r>
              <w:rPr>
                <w:rFonts w:hint="eastAsia"/>
                <w:snapToGrid w:val="0"/>
                <w:color w:val="0D0D0D" w:themeColor="text1" w:themeTint="F2"/>
                <w:kern w:val="2"/>
                <w:lang w:bidi="ar"/>
                <w14:textFill>
                  <w14:solidFill>
                    <w14:schemeClr w14:val="tx1">
                      <w14:lumMod w14:val="95000"/>
                      <w14:lumOff w14:val="5000"/>
                    </w14:schemeClr>
                  </w14:solidFill>
                </w14:textFill>
              </w:rPr>
              <mc:AlternateContent>
                <mc:Choice Requires="wpc">
                  <w:drawing>
                    <wp:anchor distT="0" distB="0" distL="114935" distR="114935" simplePos="0" relativeHeight="251660288" behindDoc="0" locked="0" layoutInCell="1" allowOverlap="1">
                      <wp:simplePos x="0" y="0"/>
                      <wp:positionH relativeFrom="column">
                        <wp:posOffset>76200</wp:posOffset>
                      </wp:positionH>
                      <wp:positionV relativeFrom="paragraph">
                        <wp:posOffset>100330</wp:posOffset>
                      </wp:positionV>
                      <wp:extent cx="4490085" cy="1080135"/>
                      <wp:effectExtent l="0" t="0" r="5715" b="0"/>
                      <wp:wrapTopAndBottom/>
                      <wp:docPr id="36" name="画布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 name="矩形 34"/>
                              <wps:cNvSpPr/>
                              <wps:spPr>
                                <a:xfrm>
                                  <a:off x="1447165" y="93345"/>
                                  <a:ext cx="913130" cy="28130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416CC15">
                                    <w:pPr>
                                      <w:jc w:val="center"/>
                                      <w:rPr>
                                        <w:color w:val="000000"/>
                                        <w:sz w:val="21"/>
                                        <w:szCs w:val="21"/>
                                      </w:rPr>
                                    </w:pPr>
                                    <w:r>
                                      <w:rPr>
                                        <w:rFonts w:hint="eastAsia" w:cs="宋体"/>
                                        <w:color w:val="000000"/>
                                        <w:sz w:val="21"/>
                                        <w:szCs w:val="21"/>
                                        <w:lang w:bidi="ar"/>
                                      </w:rPr>
                                      <w:t>不落地设备</w:t>
                                    </w:r>
                                  </w:p>
                                </w:txbxContent>
                              </wps:txbx>
                              <wps:bodyPr wrap="square" upright="1"/>
                            </wps:wsp>
                            <wps:wsp>
                              <wps:cNvPr id="16" name="矩形 35"/>
                              <wps:cNvSpPr/>
                              <wps:spPr>
                                <a:xfrm>
                                  <a:off x="3183019" y="24702"/>
                                  <a:ext cx="1307308" cy="49143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16F780D">
                                    <w:pPr>
                                      <w:jc w:val="center"/>
                                      <w:rPr>
                                        <w:color w:val="000000"/>
                                        <w:sz w:val="21"/>
                                        <w:szCs w:val="21"/>
                                      </w:rPr>
                                    </w:pPr>
                                    <w:r>
                                      <w:rPr>
                                        <w:rFonts w:hint="eastAsia" w:cs="宋体"/>
                                        <w:color w:val="000000"/>
                                        <w:sz w:val="21"/>
                                        <w:szCs w:val="21"/>
                                        <w:lang w:bidi="ar"/>
                                      </w:rPr>
                                      <w:t>钻井液不落地设备处理后拉运处置</w:t>
                                    </w:r>
                                  </w:p>
                                </w:txbxContent>
                              </wps:txbx>
                              <wps:bodyPr wrap="square" upright="1"/>
                            </wps:wsp>
                            <wps:wsp>
                              <wps:cNvPr id="18" name="直接箭头连接符 37"/>
                              <wps:cNvCnPr/>
                              <wps:spPr>
                                <a:xfrm>
                                  <a:off x="2360114" y="243216"/>
                                  <a:ext cx="822905" cy="0"/>
                                </a:xfrm>
                                <a:prstGeom prst="straightConnector1">
                                  <a:avLst/>
                                </a:prstGeom>
                                <a:ln w="6350" cap="flat" cmpd="sng">
                                  <a:solidFill>
                                    <a:srgbClr val="000000"/>
                                  </a:solidFill>
                                  <a:prstDash val="solid"/>
                                  <a:miter/>
                                  <a:headEnd type="none" w="med" len="med"/>
                                  <a:tailEnd type="arrow" w="med" len="med"/>
                                </a:ln>
                              </wps:spPr>
                              <wps:bodyPr/>
                            </wps:wsp>
                            <wps:wsp>
                              <wps:cNvPr id="29" name="直接箭头连接符 38"/>
                              <wps:cNvCnPr/>
                              <wps:spPr>
                                <a:xfrm flipV="1">
                                  <a:off x="1095106" y="242516"/>
                                  <a:ext cx="341002" cy="2600"/>
                                </a:xfrm>
                                <a:prstGeom prst="straightConnector1">
                                  <a:avLst/>
                                </a:prstGeom>
                                <a:ln w="6350" cap="flat" cmpd="sng">
                                  <a:solidFill>
                                    <a:srgbClr val="000000"/>
                                  </a:solidFill>
                                  <a:prstDash val="solid"/>
                                  <a:miter/>
                                  <a:headEnd type="none" w="med" len="med"/>
                                  <a:tailEnd type="arrow" w="med" len="med"/>
                                </a:ln>
                              </wps:spPr>
                              <wps:bodyPr/>
                            </wps:wsp>
                            <wps:wsp>
                              <wps:cNvPr id="30" name="矩形 39"/>
                              <wps:cNvSpPr/>
                              <wps:spPr>
                                <a:xfrm>
                                  <a:off x="1431708" y="734649"/>
                                  <a:ext cx="1397009" cy="26291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B233DB7">
                                    <w:pPr>
                                      <w:jc w:val="center"/>
                                      <w:rPr>
                                        <w:color w:val="000000"/>
                                        <w:sz w:val="21"/>
                                        <w:szCs w:val="21"/>
                                      </w:rPr>
                                    </w:pPr>
                                    <w:r>
                                      <w:rPr>
                                        <w:rFonts w:hint="eastAsia" w:cs="宋体"/>
                                        <w:color w:val="000000"/>
                                        <w:sz w:val="21"/>
                                        <w:szCs w:val="21"/>
                                        <w:lang w:bidi="ar"/>
                                      </w:rPr>
                                      <w:t>回用于钻井液配置</w:t>
                                    </w:r>
                                  </w:p>
                                </w:txbxContent>
                              </wps:txbx>
                              <wps:bodyPr wrap="square" upright="1"/>
                            </wps:wsp>
                            <wps:wsp>
                              <wps:cNvPr id="31" name="直接箭头连接符 40"/>
                              <wps:cNvCnPr/>
                              <wps:spPr>
                                <a:xfrm flipH="1">
                                  <a:off x="2130212" y="374625"/>
                                  <a:ext cx="600" cy="360024"/>
                                </a:xfrm>
                                <a:prstGeom prst="straightConnector1">
                                  <a:avLst/>
                                </a:prstGeom>
                                <a:ln w="6350" cap="flat" cmpd="sng">
                                  <a:solidFill>
                                    <a:srgbClr val="000000"/>
                                  </a:solidFill>
                                  <a:prstDash val="solid"/>
                                  <a:miter/>
                                  <a:headEnd type="none" w="med" len="med"/>
                                  <a:tailEnd type="arrow" w="med" len="med"/>
                                </a:ln>
                              </wps:spPr>
                              <wps:bodyPr/>
                            </wps:wsp>
                            <wps:wsp>
                              <wps:cNvPr id="32" name="矩形 41"/>
                              <wps:cNvSpPr/>
                              <wps:spPr>
                                <a:xfrm>
                                  <a:off x="2055312" y="414027"/>
                                  <a:ext cx="469203" cy="262917"/>
                                </a:xfrm>
                                <a:prstGeom prst="rect">
                                  <a:avLst/>
                                </a:prstGeom>
                                <a:noFill/>
                                <a:ln w="6350">
                                  <a:noFill/>
                                </a:ln>
                              </wps:spPr>
                              <wps:txbx>
                                <w:txbxContent>
                                  <w:p w14:paraId="2E2AB0FA">
                                    <w:pPr>
                                      <w:jc w:val="center"/>
                                      <w:rPr>
                                        <w:color w:val="000000"/>
                                        <w:sz w:val="21"/>
                                        <w:szCs w:val="21"/>
                                      </w:rPr>
                                    </w:pPr>
                                    <w:r>
                                      <w:rPr>
                                        <w:rFonts w:hint="eastAsia" w:cs="宋体"/>
                                        <w:color w:val="000000"/>
                                        <w:sz w:val="21"/>
                                        <w:szCs w:val="21"/>
                                        <w:lang w:bidi="ar"/>
                                      </w:rPr>
                                      <w:t>液相</w:t>
                                    </w:r>
                                  </w:p>
                                </w:txbxContent>
                              </wps:txbx>
                              <wps:bodyPr wrap="square" upright="1"/>
                            </wps:wsp>
                            <wps:wsp>
                              <wps:cNvPr id="34" name="矩形 42"/>
                              <wps:cNvSpPr/>
                              <wps:spPr>
                                <a:xfrm>
                                  <a:off x="2395014" y="0"/>
                                  <a:ext cx="738505" cy="504133"/>
                                </a:xfrm>
                                <a:prstGeom prst="rect">
                                  <a:avLst/>
                                </a:prstGeom>
                                <a:noFill/>
                                <a:ln w="6350">
                                  <a:noFill/>
                                </a:ln>
                              </wps:spPr>
                              <wps:txbx>
                                <w:txbxContent>
                                  <w:p w14:paraId="07F8029D">
                                    <w:pPr>
                                      <w:jc w:val="center"/>
                                      <w:rPr>
                                        <w:color w:val="000000"/>
                                        <w:sz w:val="21"/>
                                        <w:szCs w:val="21"/>
                                      </w:rPr>
                                    </w:pPr>
                                    <w:r>
                                      <w:rPr>
                                        <w:rFonts w:hint="eastAsia" w:cs="宋体"/>
                                        <w:color w:val="000000"/>
                                        <w:sz w:val="21"/>
                                        <w:szCs w:val="21"/>
                                        <w:lang w:bidi="ar"/>
                                      </w:rPr>
                                      <w:t>水基钻井岩屑</w:t>
                                    </w:r>
                                  </w:p>
                                </w:txbxContent>
                              </wps:txbx>
                              <wps:bodyPr wrap="square" upright="1"/>
                            </wps:wsp>
                            <wps:wsp>
                              <wps:cNvPr id="35" name="矩形 3"/>
                              <wps:cNvSpPr/>
                              <wps:spPr>
                                <a:xfrm>
                                  <a:off x="35999" y="113608"/>
                                  <a:ext cx="1059107" cy="26291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0CB7AC1">
                                    <w:pPr>
                                      <w:jc w:val="center"/>
                                      <w:rPr>
                                        <w:color w:val="000000"/>
                                        <w:sz w:val="21"/>
                                        <w:szCs w:val="21"/>
                                      </w:rPr>
                                    </w:pPr>
                                    <w:r>
                                      <w:rPr>
                                        <w:rFonts w:hint="eastAsia" w:cs="宋体"/>
                                        <w:color w:val="000000"/>
                                        <w:sz w:val="21"/>
                                        <w:szCs w:val="21"/>
                                        <w:lang w:bidi="ar"/>
                                      </w:rPr>
                                      <w:t>钻井液及岩屑</w:t>
                                    </w:r>
                                  </w:p>
                                </w:txbxContent>
                              </wps:txbx>
                              <wps:bodyPr wrap="square" upright="1"/>
                            </wps:wsp>
                          </wpc:wpc>
                        </a:graphicData>
                      </a:graphic>
                    </wp:anchor>
                  </w:drawing>
                </mc:Choice>
                <mc:Fallback>
                  <w:pict>
                    <v:group id="画布 14" o:spid="_x0000_s1026" o:spt="203" style="position:absolute;left:0pt;margin-left:6pt;margin-top:7.9pt;height:85.05pt;width:353.55pt;mso-wrap-distance-bottom:0pt;mso-wrap-distance-top:0pt;z-index:251660288;mso-width-relative:page;mso-height-relative:page;" coordsize="4490085,1080135" editas="canvas" o:gfxdata="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">
                      <o:lock v:ext="edit" aspectratio="f"/>
                      <v:shape id="画布 14" o:spid="_x0000_s1026" style="position:absolute;left:0;top:0;height:1080135;width:4490085;" filled="f" stroked="f" coordsize="21600,21600" o:gfxdata="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">
                        <v:fill on="f" focussize="0,0"/>
                        <v:stroke on="f"/>
                        <v:imagedata o:title=""/>
                        <o:lock v:ext="edit" aspectratio="t"/>
                      </v:shape>
                      <v:rect id="矩形 34" o:spid="_x0000_s1026" o:spt="1" style="position:absolute;left:1447165;top:93345;height:281305;width:913130;" fillcolor="#FFFFFF" filled="t" stroked="t" coordsize="21600,21600" o:gfxdata="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gSTZr1wAAAAkBAAAPAAAA&#10;AAAAAAEAIAAAACIAAABkcnMvZG93bnJldi54bWxQSwECFAAUAAAACACHTuJAtswpiRYCAABCBAAA&#10;DgAAAAAAAAABACAAAAAmAQAAZHJzL2Uyb0RvYy54bWxQSwUGAAAAAAYABgBZAQAArgUAAAAA&#10;">
                        <v:fill on="t" focussize="0,0"/>
                        <v:stroke weight="0.5pt" color="#000000" joinstyle="miter"/>
                        <v:imagedata o:title=""/>
                        <o:lock v:ext="edit" aspectratio="f"/>
                        <v:textbox>
                          <w:txbxContent>
                            <w:p w14:paraId="5416CC15">
                              <w:pPr>
                                <w:jc w:val="center"/>
                                <w:rPr>
                                  <w:color w:val="000000"/>
                                  <w:sz w:val="21"/>
                                  <w:szCs w:val="21"/>
                                </w:rPr>
                              </w:pPr>
                              <w:r>
                                <w:rPr>
                                  <w:rFonts w:hint="eastAsia" w:cs="宋体"/>
                                  <w:color w:val="000000"/>
                                  <w:sz w:val="21"/>
                                  <w:szCs w:val="21"/>
                                  <w:lang w:bidi="ar"/>
                                </w:rPr>
                                <w:t>不落地设备</w:t>
                              </w:r>
                            </w:p>
                          </w:txbxContent>
                        </v:textbox>
                      </v:rect>
                      <v:rect id="矩形 35" o:spid="_x0000_s1026" o:spt="1" style="position:absolute;left:3183019;top:24702;height:491433;width:1307308;" fillcolor="#FFFFFF" filled="t" stroked="t" coordsize="21600,21600" o:gfxdata="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gSTZr1wAAAAkBAAAP&#10;AAAAAAAAAAEAIAAAACIAAABkcnMvZG93bnJldi54bWxQSwECFAAUAAAACACHTuJAljSp8hkCAABD&#10;BAAADgAAAAAAAAABACAAAAAmAQAAZHJzL2Uyb0RvYy54bWxQSwUGAAAAAAYABgBZAQAAsQUAAAAA&#10;">
                        <v:fill on="t" focussize="0,0"/>
                        <v:stroke weight="0.5pt" color="#000000" joinstyle="miter"/>
                        <v:imagedata o:title=""/>
                        <o:lock v:ext="edit" aspectratio="f"/>
                        <v:textbox>
                          <w:txbxContent>
                            <w:p w14:paraId="616F780D">
                              <w:pPr>
                                <w:jc w:val="center"/>
                                <w:rPr>
                                  <w:color w:val="000000"/>
                                  <w:sz w:val="21"/>
                                  <w:szCs w:val="21"/>
                                </w:rPr>
                              </w:pPr>
                              <w:r>
                                <w:rPr>
                                  <w:rFonts w:hint="eastAsia" w:cs="宋体"/>
                                  <w:color w:val="000000"/>
                                  <w:sz w:val="21"/>
                                  <w:szCs w:val="21"/>
                                  <w:lang w:bidi="ar"/>
                                </w:rPr>
                                <w:t>钻井液不落地设备处理后拉运处置</w:t>
                              </w:r>
                            </w:p>
                          </w:txbxContent>
                        </v:textbox>
                      </v:rect>
                      <v:shape id="直接箭头连接符 37" o:spid="_x0000_s1026" o:spt="32" type="#_x0000_t32" style="position:absolute;left:2360114;top:243216;height:0;width:822905;" filled="f" stroked="t" coordsize="21600,21600" o:gfxdata="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ioxv/YAAAACQEAAA8A&#10;AAAAAAAAAQAgAAAAIgAAAGRycy9kb3ducmV2LnhtbFBLAQIUABQAAAAIAIdO4kBbWaSJFwIAAAME&#10;AAAOAAAAAAAAAAEAIAAAACcBAABkcnMvZTJvRG9jLnhtbFBLBQYAAAAABgAGAFkBAACwBQAAAAA=&#10;">
                        <v:fill on="f" focussize="0,0"/>
                        <v:stroke weight="0.5pt" color="#000000" joinstyle="miter" endarrow="open"/>
                        <v:imagedata o:title=""/>
                        <o:lock v:ext="edit" aspectratio="f"/>
                      </v:shape>
                      <v:shape id="直接箭头连接符 38" o:spid="_x0000_s1026" o:spt="32" type="#_x0000_t32" style="position:absolute;left:1095106;top:242516;flip:y;height:2600;width:341002;" filled="f" stroked="t" coordsize="21600,21600" o:gfxdata="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Jqj99LY&#10;AAAACQEAAA8AAAAAAAAAAQAgAAAAIgAAAGRycy9kb3ducmV2LnhtbFBLAQIUABQAAAAIAIdO4kA4&#10;Y9B8IAIAABAEAAAOAAAAAAAAAAEAIAAAACcBAABkcnMvZTJvRG9jLnhtbFBLBQYAAAAABgAGAFkB&#10;AAC5BQAAAAA=&#10;">
                        <v:fill on="f" focussize="0,0"/>
                        <v:stroke weight="0.5pt" color="#000000" joinstyle="miter" endarrow="open"/>
                        <v:imagedata o:title=""/>
                        <o:lock v:ext="edit" aspectratio="f"/>
                      </v:shape>
                      <v:rect id="矩形 39" o:spid="_x0000_s1026" o:spt="1" style="position:absolute;left:1431708;top:734649;height:262917;width:1397009;" fillcolor="#FFFFFF" filled="t" stroked="t" coordsize="21600,21600" o:gfxdata="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Ek2a9cAAAAJAQAADwAA&#10;AAAAAAABACAAAAAiAAAAZHJzL2Rvd25yZXYueG1sUEsBAhQAFAAAAAgAh07iQO/D5/wXAgAARAQA&#10;AA4AAAAAAAAAAQAgAAAAJgEAAGRycy9lMm9Eb2MueG1sUEsFBgAAAAAGAAYAWQEAAK8FAAAAAA==&#10;">
                        <v:fill on="t" focussize="0,0"/>
                        <v:stroke weight="0.5pt" color="#000000" joinstyle="miter"/>
                        <v:imagedata o:title=""/>
                        <o:lock v:ext="edit" aspectratio="f"/>
                        <v:textbox>
                          <w:txbxContent>
                            <w:p w14:paraId="7B233DB7">
                              <w:pPr>
                                <w:jc w:val="center"/>
                                <w:rPr>
                                  <w:color w:val="000000"/>
                                  <w:sz w:val="21"/>
                                  <w:szCs w:val="21"/>
                                </w:rPr>
                              </w:pPr>
                              <w:r>
                                <w:rPr>
                                  <w:rFonts w:hint="eastAsia" w:cs="宋体"/>
                                  <w:color w:val="000000"/>
                                  <w:sz w:val="21"/>
                                  <w:szCs w:val="21"/>
                                  <w:lang w:bidi="ar"/>
                                </w:rPr>
                                <w:t>回用于钻井液配置</w:t>
                              </w:r>
                            </w:p>
                          </w:txbxContent>
                        </v:textbox>
                      </v:rect>
                      <v:shape id="直接箭头连接符 40" o:spid="_x0000_s1026" o:spt="32" type="#_x0000_t32" style="position:absolute;left:2130212;top:374625;flip:x;height:360024;width:600;" filled="f" stroked="t" coordsize="21600,21600" o:gfxdata="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ao/fS2AAAAAkBAAAP&#10;AAAAAAAAAAEAIAAAACIAAABkcnMvZG93bnJldi54bWxQSwECFAAUAAAACACHTuJAg+oAoRgCAAAP&#10;BAAADgAAAAAAAAABACAAAAAnAQAAZHJzL2Uyb0RvYy54bWxQSwUGAAAAAAYABgBZAQAAsQUAAAAA&#10;">
                        <v:fill on="f" focussize="0,0"/>
                        <v:stroke weight="0.5pt" color="#000000" joinstyle="miter" endarrow="open"/>
                        <v:imagedata o:title=""/>
                        <o:lock v:ext="edit" aspectratio="f"/>
                      </v:shape>
                      <v:rect id="矩形 41" o:spid="_x0000_s1026" o:spt="1" style="position:absolute;left:2055312;top:414027;height:262917;width:469203;" filled="f" stroked="f" coordsize="21600,21600" o:gfxdata="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Y5rrdoAAAAJAQAADwAAAAAAAAABACAAAAAiAAAAZHJzL2Rvd25yZXYu&#10;eG1sUEsBAhQAFAAAAAgAh07iQCXj7PPAAQAAZAMAAA4AAAAAAAAAAQAgAAAAKQEAAGRycy9lMm9E&#10;b2MueG1sUEsFBgAAAAAGAAYAWQEAAFsFAAAAAA==&#10;">
                        <v:fill on="f" focussize="0,0"/>
                        <v:stroke on="f" weight="0.5pt"/>
                        <v:imagedata o:title=""/>
                        <o:lock v:ext="edit" aspectratio="f"/>
                        <v:textbox>
                          <w:txbxContent>
                            <w:p w14:paraId="2E2AB0FA">
                              <w:pPr>
                                <w:jc w:val="center"/>
                                <w:rPr>
                                  <w:color w:val="000000"/>
                                  <w:sz w:val="21"/>
                                  <w:szCs w:val="21"/>
                                </w:rPr>
                              </w:pPr>
                              <w:r>
                                <w:rPr>
                                  <w:rFonts w:hint="eastAsia" w:cs="宋体"/>
                                  <w:color w:val="000000"/>
                                  <w:sz w:val="21"/>
                                  <w:szCs w:val="21"/>
                                  <w:lang w:bidi="ar"/>
                                </w:rPr>
                                <w:t>液相</w:t>
                              </w:r>
                            </w:p>
                          </w:txbxContent>
                        </v:textbox>
                      </v:rect>
                      <v:rect id="矩形 42" o:spid="_x0000_s1026" o:spt="1" style="position:absolute;left:2395014;top:0;height:504133;width:738505;" filled="f" stroked="f" coordsize="21600,21600" o:gfxdata="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Y5rrdoAAAAJAQAADwAAAAAAAAABACAAAAAiAAAAZHJzL2Rvd25yZXYueG1s&#10;UEsBAhQAFAAAAAgAh07iQAd0KlW9AQAAXwMAAA4AAAAAAAAAAQAgAAAAKQEAAGRycy9lMm9Eb2Mu&#10;eG1sUEsFBgAAAAAGAAYAWQEAAFgFAAAAAA==&#10;">
                        <v:fill on="f" focussize="0,0"/>
                        <v:stroke on="f" weight="0.5pt"/>
                        <v:imagedata o:title=""/>
                        <o:lock v:ext="edit" aspectratio="f"/>
                        <v:textbox>
                          <w:txbxContent>
                            <w:p w14:paraId="07F8029D">
                              <w:pPr>
                                <w:jc w:val="center"/>
                                <w:rPr>
                                  <w:color w:val="000000"/>
                                  <w:sz w:val="21"/>
                                  <w:szCs w:val="21"/>
                                </w:rPr>
                              </w:pPr>
                              <w:r>
                                <w:rPr>
                                  <w:rFonts w:hint="eastAsia" w:cs="宋体"/>
                                  <w:color w:val="000000"/>
                                  <w:sz w:val="21"/>
                                  <w:szCs w:val="21"/>
                                  <w:lang w:bidi="ar"/>
                                </w:rPr>
                                <w:t>水基钻井岩屑</w:t>
                              </w:r>
                            </w:p>
                          </w:txbxContent>
                        </v:textbox>
                      </v:rect>
                      <v:rect id="矩形 3" o:spid="_x0000_s1026" o:spt="1" style="position:absolute;left:35999;top:113608;height:262917;width:1059107;" fillcolor="#FFFFFF" filled="t" stroked="t" coordsize="21600,21600" o:gfxdata="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BJNmvXAAAACQEAAA8AAAAA&#10;AAAAAQAgAAAAIgAAAGRycy9kb3ducmV2LnhtbFBLAQIUABQAAAAIAIdO4kBGFZL2FQIAAEEEAAAO&#10;AAAAAAAAAAEAIAAAACYBAABkcnMvZTJvRG9jLnhtbFBLBQYAAAAABgAGAFkBAACtBQAAAAA=&#10;">
                        <v:fill on="t" focussize="0,0"/>
                        <v:stroke weight="0.5pt" color="#000000" joinstyle="miter"/>
                        <v:imagedata o:title=""/>
                        <o:lock v:ext="edit" aspectratio="f"/>
                        <v:textbox>
                          <w:txbxContent>
                            <w:p w14:paraId="30CB7AC1">
                              <w:pPr>
                                <w:jc w:val="center"/>
                                <w:rPr>
                                  <w:color w:val="000000"/>
                                  <w:sz w:val="21"/>
                                  <w:szCs w:val="21"/>
                                </w:rPr>
                              </w:pPr>
                              <w:r>
                                <w:rPr>
                                  <w:rFonts w:hint="eastAsia" w:cs="宋体"/>
                                  <w:color w:val="000000"/>
                                  <w:sz w:val="21"/>
                                  <w:szCs w:val="21"/>
                                  <w:lang w:bidi="ar"/>
                                </w:rPr>
                                <w:t>钻井液及岩屑</w:t>
                              </w:r>
                            </w:p>
                          </w:txbxContent>
                        </v:textbox>
                      </v:rect>
                      <w10:wrap type="topAndBottom"/>
                    </v:group>
                  </w:pict>
                </mc:Fallback>
              </mc:AlternateContent>
            </w:r>
            <w:r>
              <w:rPr>
                <w:rFonts w:hint="eastAsia" w:ascii="黑体" w:eastAsia="黑体" w:cs="黑体"/>
                <w:color w:val="0D0D0D" w:themeColor="text1" w:themeTint="F2"/>
                <w:sz w:val="21"/>
                <w:szCs w:val="21"/>
                <w14:textFill>
                  <w14:solidFill>
                    <w14:schemeClr w14:val="tx1">
                      <w14:lumMod w14:val="95000"/>
                      <w14:lumOff w14:val="5000"/>
                    </w14:schemeClr>
                  </w14:solidFill>
                </w14:textFill>
              </w:rPr>
              <w:t>图3  水基钻井岩屑处理工艺流程图</w:t>
            </w:r>
          </w:p>
          <w:bookmarkEnd w:id="142"/>
          <w:p w14:paraId="3DF75669">
            <w:pPr>
              <w:pStyle w:val="38"/>
              <w:ind w:firstLine="480"/>
              <w:rPr>
                <w:rFonts w:hint="eastAsia"/>
                <w:lang w:bidi="ar"/>
              </w:rPr>
            </w:pPr>
            <w:r>
              <w:rPr>
                <w:rFonts w:hint="eastAsia"/>
                <w:lang w:bidi="ar"/>
              </w:rPr>
              <w:t>（2）油基钻井岩屑</w:t>
            </w:r>
          </w:p>
          <w:p w14:paraId="54BADD80">
            <w:pPr>
              <w:pStyle w:val="38"/>
              <w:ind w:firstLine="480"/>
              <w:rPr>
                <w:rFonts w:hint="eastAsia"/>
                <w:lang w:bidi="ar"/>
              </w:rPr>
            </w:pPr>
            <w:bookmarkStart w:id="145" w:name="_Hlk183349504"/>
            <w:r>
              <w:rPr>
                <w:rFonts w:hint="eastAsia"/>
                <w:lang w:bidi="ar"/>
              </w:rPr>
              <w:t>二开至五开采用油基钻井液，钻井时井筒返排的钻井液及岩屑经不落地设备进行初步分离，液相回用于油基钻井液配置</w:t>
            </w:r>
            <w:bookmarkEnd w:id="145"/>
            <w:r>
              <w:rPr>
                <w:rFonts w:hint="eastAsia"/>
                <w:lang w:bidi="ar"/>
              </w:rPr>
              <w:t>；固相再由甩干机进行第一次固液分离，然后由离心机对甩干机排出的液体进行第二次固液分离，从而实现深度分离，分离出的液相回用于油基钻井液配置，</w:t>
            </w:r>
            <w:bookmarkStart w:id="146" w:name="_Hlk183358274"/>
            <w:r>
              <w:rPr>
                <w:rFonts w:hint="eastAsia"/>
                <w:lang w:bidi="ar"/>
              </w:rPr>
              <w:t>分离出的固相（即油基钻井岩屑）属于HW08类危险废物（废物代码：071-002-08），采用专用储罐进行收集，</w:t>
            </w:r>
            <w:bookmarkStart w:id="147" w:name="_Hlk69139460"/>
            <w:r>
              <w:rPr>
                <w:rFonts w:hint="eastAsia"/>
                <w:lang w:bidi="ar"/>
              </w:rPr>
              <w:t>定期交由有相应危险废物处置资质的单位接收、转运和处置</w:t>
            </w:r>
            <w:bookmarkEnd w:id="147"/>
            <w:r>
              <w:rPr>
                <w:rFonts w:hint="eastAsia"/>
                <w:lang w:bidi="ar"/>
              </w:rPr>
              <w:t>。</w:t>
            </w:r>
            <w:bookmarkEnd w:id="146"/>
            <w:r>
              <w:rPr>
                <w:rFonts w:hint="eastAsia"/>
                <w:lang w:bidi="ar"/>
              </w:rPr>
              <w:t>油基钻井岩屑处理工艺流程如图3所示。油基钻井岩屑临时贮存在岩屑专用储罐内，储罐底部铺设防渗膜，油基钻井岩屑在井场临时贮存应满足《危险废物贮存污染控制标准》（GB18597-2023）相关要求。</w:t>
            </w:r>
          </w:p>
          <w:p w14:paraId="1FD04BCC">
            <w:pPr>
              <w:snapToGrid w:val="0"/>
              <w:spacing w:line="480" w:lineRule="exact"/>
              <w:jc w:val="center"/>
              <w:rPr>
                <w:rFonts w:hint="eastAsia" w:ascii="黑体" w:hAnsi="黑体" w:eastAsia="黑体" w:cs="黑体"/>
                <w:sz w:val="21"/>
                <w:szCs w:val="21"/>
              </w:rPr>
            </w:pPr>
            <w:r>
              <mc:AlternateContent>
                <mc:Choice Requires="wpg">
                  <w:drawing>
                    <wp:anchor distT="0" distB="0" distL="114300" distR="114300" simplePos="0" relativeHeight="251662336" behindDoc="0" locked="0" layoutInCell="1" allowOverlap="1">
                      <wp:simplePos x="0" y="0"/>
                      <wp:positionH relativeFrom="column">
                        <wp:posOffset>178435</wp:posOffset>
                      </wp:positionH>
                      <wp:positionV relativeFrom="paragraph">
                        <wp:posOffset>15240</wp:posOffset>
                      </wp:positionV>
                      <wp:extent cx="4585970" cy="2401570"/>
                      <wp:effectExtent l="0" t="0" r="5080" b="17780"/>
                      <wp:wrapNone/>
                      <wp:docPr id="15" name="组合 15"/>
                      <wp:cNvGraphicFramePr/>
                      <a:graphic xmlns:a="http://schemas.openxmlformats.org/drawingml/2006/main">
                        <a:graphicData uri="http://schemas.microsoft.com/office/word/2010/wordprocessingGroup">
                          <wpg:wgp>
                            <wpg:cNvGrpSpPr/>
                            <wpg:grpSpPr>
                              <a:xfrm>
                                <a:off x="0" y="0"/>
                                <a:ext cx="4585970" cy="2401570"/>
                                <a:chOff x="5379" y="789805"/>
                                <a:chExt cx="7222" cy="3782"/>
                              </a:xfrm>
                            </wpg:grpSpPr>
                            <pic:pic xmlns:pic="http://schemas.openxmlformats.org/drawingml/2006/picture">
                              <pic:nvPicPr>
                                <pic:cNvPr id="83" name="图片 1" descr="IMG_256"/>
                                <pic:cNvPicPr>
                                  <a:picLocks noChangeAspect="1"/>
                                </pic:cNvPicPr>
                              </pic:nvPicPr>
                              <pic:blipFill>
                                <a:blip r:embed="rId14"/>
                                <a:stretch>
                                  <a:fillRect/>
                                </a:stretch>
                              </pic:blipFill>
                              <pic:spPr>
                                <a:xfrm>
                                  <a:off x="5379" y="789805"/>
                                  <a:ext cx="7223" cy="3783"/>
                                </a:xfrm>
                                <a:prstGeom prst="rect">
                                  <a:avLst/>
                                </a:prstGeom>
                                <a:noFill/>
                                <a:ln w="9525">
                                  <a:noFill/>
                                </a:ln>
                              </pic:spPr>
                            </pic:pic>
                            <wps:wsp>
                              <wps:cNvPr id="13" name="文本框 16"/>
                              <wps:cNvSpPr txBox="1"/>
                              <wps:spPr>
                                <a:xfrm>
                                  <a:off x="7303" y="790743"/>
                                  <a:ext cx="5067" cy="1650"/>
                                </a:xfrm>
                                <a:prstGeom prst="rect">
                                  <a:avLst/>
                                </a:prstGeom>
                                <a:noFill/>
                                <a:ln w="19050" cap="flat" cmpd="sng">
                                  <a:solidFill>
                                    <a:srgbClr val="00B0F0"/>
                                  </a:solidFill>
                                  <a:prstDash val="dash"/>
                                  <a:miter/>
                                  <a:headEnd type="none" w="med" len="med"/>
                                  <a:tailEnd type="none" w="med" len="med"/>
                                </a:ln>
                              </wps:spPr>
                              <wps:txbx>
                                <w:txbxContent>
                                  <w:p w14:paraId="4D76F46D"/>
                                </w:txbxContent>
                              </wps:txbx>
                              <wps:bodyPr wrap="square" upright="1">
                                <a:noAutofit/>
                              </wps:bodyPr>
                            </wps:wsp>
                            <wps:wsp>
                              <wps:cNvPr id="11" name="文本框 15"/>
                              <wps:cNvSpPr txBox="1"/>
                              <wps:spPr>
                                <a:xfrm>
                                  <a:off x="10252" y="790349"/>
                                  <a:ext cx="1636" cy="513"/>
                                </a:xfrm>
                                <a:prstGeom prst="rect">
                                  <a:avLst/>
                                </a:prstGeom>
                                <a:noFill/>
                                <a:ln w="6350">
                                  <a:noFill/>
                                </a:ln>
                              </wps:spPr>
                              <wps:txbx>
                                <w:txbxContent>
                                  <w:p w14:paraId="7BA57110">
                                    <w:pPr>
                                      <w:snapToGrid w:val="0"/>
                                      <w:rPr>
                                        <w:b/>
                                        <w:bCs/>
                                        <w:color w:val="00B0F0"/>
                                      </w:rPr>
                                    </w:pPr>
                                    <w:r>
                                      <w:rPr>
                                        <w:rFonts w:hint="eastAsia" w:cs="宋体"/>
                                        <w:b/>
                                        <w:bCs/>
                                        <w:color w:val="00B0F0"/>
                                        <w:lang w:bidi="ar"/>
                                      </w:rPr>
                                      <w:t>不落地设备</w:t>
                                    </w:r>
                                  </w:p>
                                </w:txbxContent>
                              </wps:txbx>
                              <wps:bodyPr wrap="square" upright="1"/>
                            </wps:wsp>
                          </wpg:wgp>
                        </a:graphicData>
                      </a:graphic>
                    </wp:anchor>
                  </w:drawing>
                </mc:Choice>
                <mc:Fallback>
                  <w:pict>
                    <v:group id="_x0000_s1026" o:spid="_x0000_s1026" o:spt="203" style="position:absolute;left:0pt;margin-left:14.05pt;margin-top:1.2pt;height:189.1pt;width:361.1pt;z-index:251662336;mso-width-relative:page;mso-height-relative:page;" coordorigin="5379,789805" coordsize="7222,3782" o:gfxdata="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">
                      <o:lock v:ext="edit" aspectratio="f"/>
                      <v:shape id="图片 1" o:spid="_x0000_s1026" o:spt="75" alt="IMG_256" type="#_x0000_t75" style="position:absolute;left:5379;top:789805;height:3783;width:7223;" filled="f" o:preferrelative="t" stroked="f" coordsize="21600,21600" o:gfxdata="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xX/MvQAA&#10;ANsAAAAPAAAAAAAAAAEAIAAAACIAAABkcnMvZG93bnJldi54bWxQSwECFAAUAAAACACHTuJAMy8F&#10;njsAAAA5AAAAEAAAAAAAAAABACAAAAAMAQAAZHJzL3NoYXBleG1sLnhtbFBLBQYAAAAABgAGAFsB&#10;AAC2AwAAAAA=&#10;">
                        <v:fill on="f" focussize="0,0"/>
                        <v:stroke on="f"/>
                        <v:imagedata r:id="rId14" o:title=""/>
                        <o:lock v:ext="edit" aspectratio="t"/>
                      </v:shape>
                      <v:shape id="文本框 16" o:spid="_x0000_s1026" o:spt="202" type="#_x0000_t202" style="position:absolute;left:7303;top:790743;height:1650;width:5067;" filled="f" stroked="t" coordsize="21600,21600" o:gfxdata="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3+9qa/&#10;AAAA2wAAAA8AAAAAAAAAAQAgAAAAIgAAAGRycy9kb3ducmV2LnhtbFBLAQIUABQAAAAIAIdO4kAz&#10;LwWeOwAAADkAAAAQAAAAAAAAAAEAIAAAAA4BAABkcnMvc2hhcGV4bWwueG1sUEsFBgAAAAAGAAYA&#10;WwEAALgDAAAAAA==&#10;">
                        <v:fill on="f" focussize="0,0"/>
                        <v:stroke weight="1.5pt" color="#00B0F0" joinstyle="miter" dashstyle="dash"/>
                        <v:imagedata o:title=""/>
                        <o:lock v:ext="edit" aspectratio="f"/>
                        <v:textbox>
                          <w:txbxContent>
                            <w:p w14:paraId="4D76F46D"/>
                          </w:txbxContent>
                        </v:textbox>
                      </v:shape>
                      <v:shape id="文本框 15" o:spid="_x0000_s1026" o:spt="202" type="#_x0000_t202" style="position:absolute;left:10252;top:790349;height:513;width:1636;" filled="f" stroked="f" coordsize="21600,21600" o:gfxdata="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aOwb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7BA57110">
                              <w:pPr>
                                <w:snapToGrid w:val="0"/>
                                <w:rPr>
                                  <w:b/>
                                  <w:bCs/>
                                  <w:color w:val="00B0F0"/>
                                </w:rPr>
                              </w:pPr>
                              <w:r>
                                <w:rPr>
                                  <w:rFonts w:hint="eastAsia" w:cs="宋体"/>
                                  <w:b/>
                                  <w:bCs/>
                                  <w:color w:val="00B0F0"/>
                                  <w:lang w:bidi="ar"/>
                                </w:rPr>
                                <w:t>不落地设备</w:t>
                              </w:r>
                            </w:p>
                          </w:txbxContent>
                        </v:textbox>
                      </v:shape>
                    </v:group>
                  </w:pict>
                </mc:Fallback>
              </mc:AlternateContent>
            </w:r>
            <w:r>
              <w:rPr>
                <w:rFonts w:hint="eastAsia" w:ascii="黑体" w:hAnsi="黑体" w:eastAsia="黑体" w:cs="黑体"/>
                <w:sz w:val="21"/>
                <w:szCs w:val="21"/>
              </w:rPr>
              <w:t>图</w:t>
            </w:r>
            <w:r>
              <w:rPr>
                <w:rFonts w:ascii="黑体" w:hAnsi="黑体" w:eastAsia="黑体" w:cs="黑体"/>
                <w:sz w:val="21"/>
                <w:szCs w:val="21"/>
              </w:rPr>
              <w:t>5</w:t>
            </w:r>
            <w:r>
              <w:rPr>
                <w:rFonts w:hint="eastAsia" w:ascii="黑体" w:hAnsi="黑体" w:eastAsia="黑体" w:cs="黑体"/>
                <w:sz w:val="21"/>
                <w:szCs w:val="21"/>
              </w:rPr>
              <w:t xml:space="preserve">  </w:t>
            </w:r>
          </w:p>
          <w:p w14:paraId="14F891DA">
            <w:pPr>
              <w:snapToGrid w:val="0"/>
              <w:spacing w:line="480" w:lineRule="exact"/>
              <w:jc w:val="center"/>
              <w:rPr>
                <w:rFonts w:hint="eastAsia" w:ascii="黑体" w:hAnsi="黑体" w:eastAsia="黑体" w:cs="黑体"/>
                <w:sz w:val="21"/>
                <w:szCs w:val="21"/>
              </w:rPr>
            </w:pPr>
          </w:p>
          <w:p w14:paraId="1F000947">
            <w:pPr>
              <w:snapToGrid w:val="0"/>
              <w:spacing w:line="480" w:lineRule="exact"/>
              <w:jc w:val="center"/>
              <w:rPr>
                <w:rFonts w:hint="eastAsia" w:ascii="黑体" w:hAnsi="黑体" w:eastAsia="黑体" w:cs="黑体"/>
                <w:sz w:val="21"/>
                <w:szCs w:val="21"/>
              </w:rPr>
            </w:pPr>
          </w:p>
          <w:p w14:paraId="5F709B4B">
            <w:pPr>
              <w:snapToGrid w:val="0"/>
              <w:spacing w:line="480" w:lineRule="exact"/>
              <w:jc w:val="center"/>
              <w:rPr>
                <w:rFonts w:hint="eastAsia" w:ascii="黑体" w:hAnsi="黑体" w:eastAsia="黑体" w:cs="黑体"/>
                <w:sz w:val="21"/>
                <w:szCs w:val="21"/>
              </w:rPr>
            </w:pPr>
          </w:p>
          <w:p w14:paraId="7E02766B">
            <w:pPr>
              <w:snapToGrid w:val="0"/>
              <w:spacing w:line="480" w:lineRule="exact"/>
              <w:jc w:val="center"/>
              <w:rPr>
                <w:rFonts w:hint="eastAsia" w:ascii="黑体" w:hAnsi="黑体" w:eastAsia="黑体" w:cs="黑体"/>
                <w:sz w:val="21"/>
                <w:szCs w:val="21"/>
              </w:rPr>
            </w:pPr>
          </w:p>
          <w:p w14:paraId="3F85CF79">
            <w:pPr>
              <w:snapToGrid w:val="0"/>
              <w:spacing w:line="480" w:lineRule="exact"/>
              <w:jc w:val="center"/>
              <w:rPr>
                <w:rFonts w:hint="eastAsia" w:ascii="黑体" w:hAnsi="黑体" w:eastAsia="黑体" w:cs="黑体"/>
                <w:sz w:val="21"/>
                <w:szCs w:val="21"/>
              </w:rPr>
            </w:pPr>
          </w:p>
          <w:p w14:paraId="0B751E51">
            <w:pPr>
              <w:snapToGrid w:val="0"/>
              <w:spacing w:line="480" w:lineRule="exact"/>
              <w:jc w:val="center"/>
              <w:rPr>
                <w:rFonts w:hint="eastAsia" w:ascii="黑体" w:hAnsi="黑体" w:eastAsia="黑体" w:cs="黑体"/>
                <w:sz w:val="21"/>
                <w:szCs w:val="21"/>
              </w:rPr>
            </w:pPr>
          </w:p>
          <w:p w14:paraId="2718B63C">
            <w:pPr>
              <w:snapToGrid w:val="0"/>
              <w:spacing w:line="480" w:lineRule="exact"/>
              <w:jc w:val="center"/>
              <w:rPr>
                <w:rFonts w:hint="eastAsia" w:ascii="黑体" w:hAnsi="黑体" w:eastAsia="黑体" w:cs="黑体"/>
                <w:sz w:val="21"/>
                <w:szCs w:val="21"/>
              </w:rPr>
            </w:pPr>
          </w:p>
          <w:p w14:paraId="33A580AB">
            <w:pPr>
              <w:pStyle w:val="38"/>
              <w:ind w:firstLine="420"/>
              <w:jc w:val="center"/>
              <w:rPr>
                <w:rFonts w:hint="eastAsia" w:ascii="黑体" w:hAnsi="黑体" w:eastAsia="黑体" w:cs="黑体"/>
                <w:sz w:val="21"/>
                <w:szCs w:val="21"/>
              </w:rPr>
            </w:pPr>
            <w:r>
              <w:rPr>
                <w:rFonts w:ascii="黑体" w:hAnsi="黑体" w:eastAsia="黑体" w:cs="黑体"/>
                <w:sz w:val="21"/>
                <w:szCs w:val="21"/>
              </w:rPr>
              <w:t>图</w:t>
            </w:r>
            <w:r>
              <w:rPr>
                <w:rFonts w:ascii="黑体" w:hAnsi="黑体" w:eastAsia="黑体" w:cs="黑体"/>
                <w:sz w:val="21"/>
                <w:szCs w:val="21"/>
              </w:rPr>
              <w:fldChar w:fldCharType="begin"/>
            </w:r>
            <w:r>
              <w:rPr>
                <w:rFonts w:ascii="黑体" w:hAnsi="黑体" w:eastAsia="黑体" w:cs="黑体"/>
                <w:sz w:val="21"/>
                <w:szCs w:val="21"/>
              </w:rPr>
              <w:instrText xml:space="preserve"> SEQ 图 \* ARABIC </w:instrText>
            </w:r>
            <w:r>
              <w:rPr>
                <w:rFonts w:ascii="黑体" w:hAnsi="黑体" w:eastAsia="黑体" w:cs="黑体"/>
                <w:sz w:val="21"/>
                <w:szCs w:val="21"/>
              </w:rPr>
              <w:fldChar w:fldCharType="separate"/>
            </w:r>
            <w:r>
              <w:rPr>
                <w:rFonts w:hint="eastAsia" w:ascii="黑体" w:hAnsi="黑体" w:eastAsia="黑体" w:cs="黑体"/>
                <w:sz w:val="21"/>
                <w:szCs w:val="21"/>
              </w:rPr>
              <w:t>1</w:t>
            </w:r>
            <w:r>
              <w:rPr>
                <w:rFonts w:ascii="黑体" w:hAnsi="黑体" w:eastAsia="黑体" w:cs="黑体"/>
                <w:sz w:val="21"/>
                <w:szCs w:val="21"/>
              </w:rPr>
              <w:fldChar w:fldCharType="end"/>
            </w:r>
            <w:r>
              <w:rPr>
                <w:rFonts w:hint="eastAsia" w:ascii="黑体" w:hAnsi="黑体" w:eastAsia="黑体" w:cs="黑体"/>
                <w:sz w:val="21"/>
                <w:szCs w:val="21"/>
              </w:rPr>
              <w:t xml:space="preserve">    油基钻井岩屑处理工艺流程图</w:t>
            </w:r>
          </w:p>
          <w:p w14:paraId="7ACAD47C">
            <w:pPr>
              <w:pStyle w:val="38"/>
              <w:ind w:firstLine="480"/>
              <w:rPr>
                <w:rFonts w:hint="eastAsia" w:cs="宋体"/>
                <w:color w:val="0D0D0D" w:themeColor="text1" w:themeTint="F2"/>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（3）</w:t>
            </w:r>
            <w:r>
              <w:rPr>
                <w:rFonts w:hint="eastAsia" w:cs="宋体"/>
                <w:color w:val="0D0D0D" w:themeColor="text1" w:themeTint="F2"/>
                <w:kern w:val="2"/>
                <w:lang w:bidi="ar"/>
                <w14:textFill>
                  <w14:solidFill>
                    <w14:schemeClr w14:val="tx1">
                      <w14:lumMod w14:val="95000"/>
                      <w14:lumOff w14:val="5000"/>
                    </w14:schemeClr>
                  </w14:solidFill>
                </w14:textFill>
              </w:rPr>
              <w:t>沾油废防渗材料</w:t>
            </w:r>
          </w:p>
          <w:p w14:paraId="52469235">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施工结束后清理场地时产生的未沾油防渗材料由施工单位集中回收利用，沾油废防渗材料（废物代码为900-249-08，危险特性为毒性和易燃性）分区暂存在井场设置的危险废物贮存点，定期由具有相应危险废物处置资质的单位进行接收、转运和处置。</w:t>
            </w:r>
          </w:p>
          <w:p w14:paraId="7863CA26">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（4）废润滑油、废润滑油桶</w:t>
            </w:r>
          </w:p>
          <w:p w14:paraId="274F1E46">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施工过程中机械、设备检修和维护过程中产生的废润滑油、废润滑油桶分区暂存在井场设置的危险废物贮存点，定期由具有相应危险废物处置资质的单位进行接收、转运和处置。</w:t>
            </w:r>
            <w:bookmarkEnd w:id="140"/>
          </w:p>
          <w:p w14:paraId="1FB58296">
            <w:pPr>
              <w:pStyle w:val="38"/>
              <w:ind w:firstLine="480"/>
              <w:rPr>
                <w:rFonts w:hint="eastAsia"/>
              </w:rPr>
            </w:pPr>
            <w:bookmarkStart w:id="148" w:name="_Hlk213898811"/>
            <w:r>
              <w:t>（</w:t>
            </w:r>
            <w:r>
              <w:rPr>
                <w:rFonts w:hint="eastAsia"/>
              </w:rPr>
              <w:t>5</w:t>
            </w:r>
            <w:r>
              <w:t>）</w:t>
            </w:r>
            <w:r>
              <w:rPr>
                <w:rFonts w:hint="eastAsia"/>
              </w:rPr>
              <w:t>废弃含油抹布及劳保用品</w:t>
            </w:r>
          </w:p>
          <w:p w14:paraId="115F6E31">
            <w:pPr>
              <w:pStyle w:val="38"/>
              <w:ind w:firstLine="480"/>
              <w:rPr>
                <w:rFonts w:hint="eastAsia"/>
              </w:rPr>
            </w:pPr>
            <w:r>
              <w:rPr>
                <w:rFonts w:hint="eastAsia"/>
              </w:rPr>
              <w:t>钻试过程井场中会产生废弃的含油抹布、劳保用品，属于《国家危险废物名录》（2025年版）中的HW49其他废物，废物代码为900-041-49（危险特性：毒性、感染性），分区暂存在井场设置的危险废物贮存点，定期由具有相应危险废物处置资质的单位进行接收、转运和处置。</w:t>
            </w:r>
          </w:p>
          <w:p w14:paraId="214930AF">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（6）危险废物贮存点</w:t>
            </w:r>
          </w:p>
          <w:p w14:paraId="0FDD6778">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在井场内设置一座临时危险废物暂存点，其选址符合《危险废物贮存污染控制标准》（GB18597-2023）的选址要求，建设过程中应严格按照《危险废物贮存污染控制标准》（GB18597-2023）中的相关                                                                                                                                                                                                                                                                                                                                                                                                                                                                                                                                                                                                                                                                                                                                                                                                                                                                                                                                                                                                                                                                                                 要求建设，具体要求如下：</w:t>
            </w:r>
          </w:p>
          <w:p w14:paraId="3BD71B6B">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①贮存设施应根据危险废物的形态、物理化学性质、包装形式和污染物迁移途径，采取必要的防风、防晒、防雨、防漏、防渗、防腐以及其他环境污染防治措施，不应露天堆放危险废物。</w:t>
            </w:r>
          </w:p>
          <w:p w14:paraId="4643B3E2">
            <w:pPr>
              <w:pStyle w:val="14"/>
              <w:rPr>
                <w:rFonts w:hint="eastAsia" w:ascii="宋体" w:hAnsi="宋体" w:cs="宋体"/>
                <w:color w:val="0D0D0D" w:themeColor="text1" w:themeTint="F2"/>
                <w:sz w:val="24"/>
                <w14:textFill>
                  <w14:solidFill>
                    <w14:schemeClr w14:val="tx1">
                      <w14:lumMod w14:val="95000"/>
                      <w14:lumOff w14:val="5000"/>
                    </w14:schemeClr>
                  </w14:solidFill>
                </w14:textFill>
              </w:rPr>
            </w:pPr>
            <w:r>
              <w:rPr>
                <w:rFonts w:hint="eastAsia" w:ascii="宋体" w:hAnsi="宋体" w:cs="宋体"/>
                <w:color w:val="0D0D0D" w:themeColor="text1" w:themeTint="F2"/>
                <w:sz w:val="24"/>
                <w14:textFill>
                  <w14:solidFill>
                    <w14:schemeClr w14:val="tx1">
                      <w14:lumMod w14:val="95000"/>
                      <w14:lumOff w14:val="5000"/>
                    </w14:schemeClr>
                  </w14:solidFill>
                </w14:textFill>
              </w:rPr>
              <w:t>②贮存设施应根据危险废物的类别、数量、形态、物理化学性质和污染防治等要求设置必要的贮存分区，避免不相容的危险废物接触、混合。</w:t>
            </w:r>
          </w:p>
          <w:p w14:paraId="2E58C10A">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③贮存设施地面与裙脚应采取表面防渗措施；表面防渗材料应与所接触的物料或污染物相容，可采用抗渗混凝土、高密度聚乙烯膜、钠基膨润土防水毯或其他防渗性能等效的材料。</w:t>
            </w:r>
          </w:p>
          <w:p w14:paraId="1DF2719B">
            <w:pPr>
              <w:pStyle w:val="38"/>
              <w:ind w:firstLine="472"/>
              <w:rPr>
                <w:rFonts w:hint="eastAsia"/>
                <w:color w:val="0D0D0D" w:themeColor="text1" w:themeTint="F2"/>
                <w:spacing w:val="-2"/>
                <w14:textFill>
                  <w14:solidFill>
                    <w14:schemeClr w14:val="tx1">
                      <w14:lumMod w14:val="95000"/>
                      <w14:lumOff w14:val="5000"/>
                    </w14:schemeClr>
                  </w14:solidFill>
                </w14:textFill>
              </w:rPr>
            </w:pPr>
            <w:r>
              <w:rPr>
                <w:rFonts w:hint="eastAsia"/>
                <w:color w:val="0D0D0D" w:themeColor="text1" w:themeTint="F2"/>
                <w:spacing w:val="-2"/>
                <w14:textFill>
                  <w14:solidFill>
                    <w14:schemeClr w14:val="tx1">
                      <w14:lumMod w14:val="95000"/>
                      <w14:lumOff w14:val="5000"/>
                    </w14:schemeClr>
                  </w14:solidFill>
                </w14:textFill>
              </w:rPr>
              <w:t>④同一贮存设施采用相同的防渗、防腐工艺（包括防渗、防腐结构或材料），防渗、防腐材料应覆盖所有可能与废物及其渗滤液、渗漏液等接触的构筑物表面；贮存设施应采取技术和管理措施防止无关人员进入。</w:t>
            </w:r>
          </w:p>
          <w:p w14:paraId="78FCFA08">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⑤容器和包装物污染控制要求</w:t>
            </w:r>
          </w:p>
          <w:p w14:paraId="1C1103FD">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废润滑油采用桶装，容器材质、内衬应与盛装的危险废物相容；容器满足相应的防渗、防漏、防腐和强度等要求；容器内部应留有适当的空间，以适应因温度变化等可能引发的收缩和膨胀，防止其导致容器渗漏或永久变形；容器外表面应保持清洁。</w:t>
            </w:r>
          </w:p>
          <w:p w14:paraId="53D2B6C8">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⑥贮存过程污染控制要求</w:t>
            </w:r>
          </w:p>
          <w:p w14:paraId="55BB077F">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废润滑油、废润滑油桶和沾油废防渗材料分类堆放贮存，废润滑油装入桶内贮存，桶顶部带盖。</w:t>
            </w:r>
          </w:p>
          <w:p w14:paraId="031B821C">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⑦贮存环境管理要求</w:t>
            </w:r>
          </w:p>
          <w:p w14:paraId="515B2006">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危险废物存入贮存设施前应对危险废物类别和特性与危险废物标签等危险废物识别标志的一致性进行核验，不一致的或类别、特性不明的不应存入；应定期检查危险废物的贮存状况，及时清理贮存设施地面，更换破损泄漏的危险废物贮存容器，保证堆存危险废物的防雨、防风、防扬尘等设施功能完好；贮存设施所有者或运营者应建立贮存设施环境管理制度、管理人员岗位职责制度、设施运行操作制度、人员岗位培训制度等。</w:t>
            </w:r>
          </w:p>
          <w:bookmarkEnd w:id="148"/>
          <w:p w14:paraId="2FE85455">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（7）危废处置能力分析</w:t>
            </w:r>
          </w:p>
          <w:p w14:paraId="7EF81CAA">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油田勘探开发相关危废处置单位大多集中在克拉玛依市，市域内分布有多家油田危废处置单位，本次列举4家具有相应处理资质及处理能力的危废处理单位，其经营范围及处理规模等基本信息见下表。</w:t>
            </w:r>
          </w:p>
          <w:p w14:paraId="0F709328">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建设单位可根据需求及各危废处置单位接纳能力选择满足本项目危险废物处理需要的处置单位。</w:t>
            </w:r>
          </w:p>
          <w:p w14:paraId="2BEA1B20">
            <w:pPr>
              <w:pStyle w:val="8"/>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表</w:t>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w:instrText>
            </w:r>
            <w:r>
              <w:rPr>
                <w:rFonts w:hint="eastAsia"/>
                <w:color w:val="0D0D0D" w:themeColor="text1" w:themeTint="F2"/>
                <w14:textFill>
                  <w14:solidFill>
                    <w14:schemeClr w14:val="tx1">
                      <w14:lumMod w14:val="95000"/>
                      <w14:lumOff w14:val="5000"/>
                    </w14:schemeClr>
                  </w14:solidFill>
                </w14:textFill>
              </w:rPr>
              <w:instrText xml:space="preserve">SEQ 表 \* ARABIC</w:instrText>
            </w:r>
            <w:r>
              <w:rPr>
                <w:color w:val="0D0D0D" w:themeColor="text1" w:themeTint="F2"/>
                <w14:textFill>
                  <w14:solidFill>
                    <w14:schemeClr w14:val="tx1">
                      <w14:lumMod w14:val="95000"/>
                      <w14:lumOff w14:val="5000"/>
                    </w14:schemeClr>
                  </w14:solidFill>
                </w14:textFill>
              </w:rPr>
              <w:instrText xml:space="preserve"> </w:instrText>
            </w:r>
            <w:r>
              <w:rPr>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24</w:t>
            </w:r>
            <w:r>
              <w:rPr>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 xml:space="preserve">    </w:t>
            </w:r>
            <w:r>
              <w:rPr>
                <w:rFonts w:hint="eastAsia"/>
                <w:color w:val="0D0D0D" w:themeColor="text1" w:themeTint="F2"/>
                <w:lang w:bidi="ar"/>
                <w14:textFill>
                  <w14:solidFill>
                    <w14:schemeClr w14:val="tx1">
                      <w14:lumMod w14:val="95000"/>
                      <w14:lumOff w14:val="5000"/>
                    </w14:schemeClr>
                  </w14:solidFill>
                </w14:textFill>
              </w:rPr>
              <w:t>危废处理单位一览表</w:t>
            </w:r>
          </w:p>
          <w:tbl>
            <w:tblPr>
              <w:tblStyle w:val="10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549"/>
              <w:gridCol w:w="1917"/>
              <w:gridCol w:w="1232"/>
              <w:gridCol w:w="2053"/>
              <w:gridCol w:w="1232"/>
              <w:gridCol w:w="1038"/>
            </w:tblGrid>
            <w:tr w14:paraId="5A27EA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42" w:type="pct"/>
                  <w:tcMar>
                    <w:left w:w="0" w:type="dxa"/>
                    <w:right w:w="0" w:type="dxa"/>
                  </w:tcMar>
                  <w:vAlign w:val="center"/>
                </w:tcPr>
                <w:p w14:paraId="214DA67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序号</w:t>
                  </w:r>
                </w:p>
              </w:tc>
              <w:tc>
                <w:tcPr>
                  <w:tcW w:w="1195" w:type="pct"/>
                  <w:tcMar>
                    <w:left w:w="0" w:type="dxa"/>
                    <w:right w:w="0" w:type="dxa"/>
                  </w:tcMar>
                  <w:vAlign w:val="center"/>
                </w:tcPr>
                <w:p w14:paraId="3AF806A9">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单位名称</w:t>
                  </w:r>
                </w:p>
              </w:tc>
              <w:tc>
                <w:tcPr>
                  <w:tcW w:w="768" w:type="pct"/>
                  <w:tcMar>
                    <w:left w:w="0" w:type="dxa"/>
                    <w:right w:w="0" w:type="dxa"/>
                  </w:tcMar>
                  <w:vAlign w:val="center"/>
                </w:tcPr>
                <w:p w14:paraId="58245CA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许可证号</w:t>
                  </w:r>
                </w:p>
              </w:tc>
              <w:tc>
                <w:tcPr>
                  <w:tcW w:w="1280" w:type="pct"/>
                  <w:tcMar>
                    <w:left w:w="0" w:type="dxa"/>
                    <w:right w:w="0" w:type="dxa"/>
                  </w:tcMar>
                  <w:vAlign w:val="center"/>
                </w:tcPr>
                <w:p w14:paraId="06037C04">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经营类别</w:t>
                  </w:r>
                </w:p>
              </w:tc>
              <w:tc>
                <w:tcPr>
                  <w:tcW w:w="768" w:type="pct"/>
                  <w:tcMar>
                    <w:left w:w="0" w:type="dxa"/>
                    <w:right w:w="0" w:type="dxa"/>
                  </w:tcMar>
                  <w:vAlign w:val="center"/>
                </w:tcPr>
                <w:p w14:paraId="4EB956E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危废处理规模（t</w:t>
                  </w:r>
                  <w:r>
                    <w:rPr>
                      <w:color w:val="0D0D0D" w:themeColor="text1" w:themeTint="F2"/>
                      <w14:textFill>
                        <w14:solidFill>
                          <w14:schemeClr w14:val="tx1">
                            <w14:lumMod w14:val="95000"/>
                            <w14:lumOff w14:val="5000"/>
                          </w14:schemeClr>
                        </w14:solidFill>
                      </w14:textFill>
                    </w:rPr>
                    <w:t>/a</w:t>
                  </w:r>
                  <w:r>
                    <w:rPr>
                      <w:rFonts w:hint="eastAsia"/>
                      <w:color w:val="0D0D0D" w:themeColor="text1" w:themeTint="F2"/>
                      <w14:textFill>
                        <w14:solidFill>
                          <w14:schemeClr w14:val="tx1">
                            <w14:lumMod w14:val="95000"/>
                            <w14:lumOff w14:val="5000"/>
                          </w14:schemeClr>
                        </w14:solidFill>
                      </w14:textFill>
                    </w:rPr>
                    <w:t>）</w:t>
                  </w:r>
                </w:p>
              </w:tc>
              <w:tc>
                <w:tcPr>
                  <w:tcW w:w="648" w:type="pct"/>
                  <w:tcMar>
                    <w:left w:w="0" w:type="dxa"/>
                    <w:right w:w="0" w:type="dxa"/>
                  </w:tcMar>
                  <w:vAlign w:val="center"/>
                </w:tcPr>
                <w:p w14:paraId="3747D7A0">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经营方式</w:t>
                  </w:r>
                </w:p>
              </w:tc>
            </w:tr>
            <w:tr w14:paraId="65F780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42" w:type="pct"/>
                  <w:tcMar>
                    <w:left w:w="0" w:type="dxa"/>
                    <w:right w:w="0" w:type="dxa"/>
                  </w:tcMar>
                  <w:vAlign w:val="center"/>
                </w:tcPr>
                <w:p w14:paraId="486372C6">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1</w:t>
                  </w:r>
                </w:p>
              </w:tc>
              <w:tc>
                <w:tcPr>
                  <w:tcW w:w="1195" w:type="pct"/>
                  <w:tcMar>
                    <w:left w:w="0" w:type="dxa"/>
                    <w:right w:w="0" w:type="dxa"/>
                  </w:tcMar>
                  <w:vAlign w:val="center"/>
                </w:tcPr>
                <w:p w14:paraId="2A36F40B">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克拉玛依顺通环保科技有限责任公司</w:t>
                  </w:r>
                </w:p>
              </w:tc>
              <w:tc>
                <w:tcPr>
                  <w:tcW w:w="768" w:type="pct"/>
                  <w:tcMar>
                    <w:left w:w="0" w:type="dxa"/>
                    <w:right w:w="0" w:type="dxa"/>
                  </w:tcMar>
                  <w:vAlign w:val="center"/>
                </w:tcPr>
                <w:p w14:paraId="193D02DF">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6502040039</w:t>
                  </w:r>
                </w:p>
              </w:tc>
              <w:tc>
                <w:tcPr>
                  <w:tcW w:w="1280" w:type="pct"/>
                  <w:tcMar>
                    <w:left w:w="0" w:type="dxa"/>
                    <w:right w:w="0" w:type="dxa"/>
                  </w:tcMar>
                  <w:vAlign w:val="center"/>
                </w:tcPr>
                <w:p w14:paraId="54A3D351">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HW08（含</w:t>
                  </w:r>
                  <w:r>
                    <w:rPr>
                      <w:color w:val="0D0D0D" w:themeColor="text1" w:themeTint="F2"/>
                      <w14:textFill>
                        <w14:solidFill>
                          <w14:schemeClr w14:val="tx1">
                            <w14:lumMod w14:val="95000"/>
                            <w14:lumOff w14:val="5000"/>
                          </w14:schemeClr>
                        </w14:solidFill>
                      </w14:textFill>
                    </w:rPr>
                    <w:t>071-002-08、900-249-08、900-217-08</w:t>
                  </w:r>
                  <w:r>
                    <w:rPr>
                      <w:rFonts w:hint="eastAsia"/>
                      <w:color w:val="0D0D0D" w:themeColor="text1" w:themeTint="F2"/>
                      <w14:textFill>
                        <w14:solidFill>
                          <w14:schemeClr w14:val="tx1">
                            <w14:lumMod w14:val="95000"/>
                            <w14:lumOff w14:val="5000"/>
                          </w14:schemeClr>
                        </w14:solidFill>
                      </w14:textFill>
                    </w:rPr>
                    <w:t>）、HW49（900-041-49）</w:t>
                  </w:r>
                </w:p>
              </w:tc>
              <w:tc>
                <w:tcPr>
                  <w:tcW w:w="768" w:type="pct"/>
                  <w:tcMar>
                    <w:left w:w="0" w:type="dxa"/>
                    <w:right w:w="0" w:type="dxa"/>
                  </w:tcMar>
                  <w:vAlign w:val="center"/>
                </w:tcPr>
                <w:p w14:paraId="2BEEAE02">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1880000</w:t>
                  </w:r>
                </w:p>
              </w:tc>
              <w:tc>
                <w:tcPr>
                  <w:tcW w:w="648" w:type="pct"/>
                  <w:tcMar>
                    <w:left w:w="0" w:type="dxa"/>
                    <w:right w:w="0" w:type="dxa"/>
                  </w:tcMar>
                  <w:vAlign w:val="center"/>
                </w:tcPr>
                <w:p w14:paraId="7E96458F">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收集、贮存、处置</w:t>
                  </w:r>
                </w:p>
              </w:tc>
            </w:tr>
            <w:tr w14:paraId="69CB7FD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42" w:type="pct"/>
                  <w:tcMar>
                    <w:left w:w="0" w:type="dxa"/>
                    <w:right w:w="0" w:type="dxa"/>
                  </w:tcMar>
                  <w:vAlign w:val="center"/>
                </w:tcPr>
                <w:p w14:paraId="62F84B5C">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w:t>
                  </w:r>
                </w:p>
              </w:tc>
              <w:tc>
                <w:tcPr>
                  <w:tcW w:w="1195" w:type="pct"/>
                  <w:tcMar>
                    <w:left w:w="0" w:type="dxa"/>
                    <w:right w:w="0" w:type="dxa"/>
                  </w:tcMar>
                  <w:vAlign w:val="center"/>
                </w:tcPr>
                <w:p w14:paraId="6A70040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克拉玛依沃森环保科技有限公司</w:t>
                  </w:r>
                </w:p>
              </w:tc>
              <w:tc>
                <w:tcPr>
                  <w:tcW w:w="768" w:type="pct"/>
                  <w:tcMar>
                    <w:left w:w="0" w:type="dxa"/>
                    <w:right w:w="0" w:type="dxa"/>
                  </w:tcMar>
                  <w:vAlign w:val="center"/>
                </w:tcPr>
                <w:p w14:paraId="66585BAF">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6502040041</w:t>
                  </w:r>
                </w:p>
              </w:tc>
              <w:tc>
                <w:tcPr>
                  <w:tcW w:w="1280" w:type="pct"/>
                  <w:tcMar>
                    <w:left w:w="0" w:type="dxa"/>
                    <w:right w:w="0" w:type="dxa"/>
                  </w:tcMar>
                  <w:vAlign w:val="center"/>
                </w:tcPr>
                <w:p w14:paraId="66C2372B">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除HW01、HW10、HW15、HW29以外</w:t>
                  </w:r>
                </w:p>
              </w:tc>
              <w:tc>
                <w:tcPr>
                  <w:tcW w:w="768" w:type="pct"/>
                  <w:tcMar>
                    <w:left w:w="0" w:type="dxa"/>
                    <w:right w:w="0" w:type="dxa"/>
                  </w:tcMar>
                  <w:vAlign w:val="center"/>
                </w:tcPr>
                <w:p w14:paraId="43CB4A5B">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51900</w:t>
                  </w:r>
                </w:p>
              </w:tc>
              <w:tc>
                <w:tcPr>
                  <w:tcW w:w="648" w:type="pct"/>
                  <w:tcMar>
                    <w:left w:w="0" w:type="dxa"/>
                    <w:right w:w="0" w:type="dxa"/>
                  </w:tcMar>
                  <w:vAlign w:val="center"/>
                </w:tcPr>
                <w:p w14:paraId="68F067D0">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收集、贮存、处置</w:t>
                  </w:r>
                </w:p>
              </w:tc>
            </w:tr>
            <w:tr w14:paraId="56B3BE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42" w:type="pct"/>
                  <w:tcMar>
                    <w:left w:w="0" w:type="dxa"/>
                    <w:right w:w="0" w:type="dxa"/>
                  </w:tcMar>
                  <w:vAlign w:val="center"/>
                </w:tcPr>
                <w:p w14:paraId="3EF41673">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3</w:t>
                  </w:r>
                </w:p>
              </w:tc>
              <w:tc>
                <w:tcPr>
                  <w:tcW w:w="1195" w:type="pct"/>
                  <w:tcMar>
                    <w:left w:w="0" w:type="dxa"/>
                    <w:right w:w="0" w:type="dxa"/>
                  </w:tcMar>
                  <w:vAlign w:val="center"/>
                </w:tcPr>
                <w:p w14:paraId="350E0E39">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克拉玛依博达生态环保科技有限责任公司</w:t>
                  </w:r>
                </w:p>
              </w:tc>
              <w:tc>
                <w:tcPr>
                  <w:tcW w:w="768" w:type="pct"/>
                  <w:tcMar>
                    <w:left w:w="0" w:type="dxa"/>
                    <w:right w:w="0" w:type="dxa"/>
                  </w:tcMar>
                  <w:vAlign w:val="center"/>
                </w:tcPr>
                <w:p w14:paraId="77446F61">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6502040117</w:t>
                  </w:r>
                </w:p>
              </w:tc>
              <w:tc>
                <w:tcPr>
                  <w:tcW w:w="1280" w:type="pct"/>
                  <w:tcMar>
                    <w:left w:w="0" w:type="dxa"/>
                    <w:right w:w="0" w:type="dxa"/>
                  </w:tcMar>
                  <w:vAlign w:val="center"/>
                </w:tcPr>
                <w:p w14:paraId="1771D1CE">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HW08（071-002-08、900-217-08、900-249-08）</w:t>
                  </w:r>
                  <w:r>
                    <w:rPr>
                      <w:rFonts w:hint="eastAsia"/>
                      <w:color w:val="0D0D0D" w:themeColor="text1" w:themeTint="F2"/>
                      <w14:textFill>
                        <w14:solidFill>
                          <w14:schemeClr w14:val="tx1">
                            <w14:lumMod w14:val="95000"/>
                            <w14:lumOff w14:val="5000"/>
                          </w14:schemeClr>
                        </w14:solidFill>
                      </w14:textFill>
                    </w:rPr>
                    <w:t>、HW49（900-041-49）、HW13</w:t>
                  </w:r>
                </w:p>
              </w:tc>
              <w:tc>
                <w:tcPr>
                  <w:tcW w:w="768" w:type="pct"/>
                  <w:tcMar>
                    <w:left w:w="0" w:type="dxa"/>
                    <w:right w:w="0" w:type="dxa"/>
                  </w:tcMar>
                  <w:vAlign w:val="center"/>
                </w:tcPr>
                <w:p w14:paraId="048A7F2A">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1385000</w:t>
                  </w:r>
                </w:p>
              </w:tc>
              <w:tc>
                <w:tcPr>
                  <w:tcW w:w="648" w:type="pct"/>
                  <w:tcMar>
                    <w:left w:w="0" w:type="dxa"/>
                    <w:right w:w="0" w:type="dxa"/>
                  </w:tcMar>
                  <w:vAlign w:val="center"/>
                </w:tcPr>
                <w:p w14:paraId="503D31FE">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收集、贮存、处置</w:t>
                  </w:r>
                </w:p>
              </w:tc>
            </w:tr>
            <w:tr w14:paraId="1E0E65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42" w:type="pct"/>
                  <w:tcMar>
                    <w:left w:w="0" w:type="dxa"/>
                    <w:right w:w="0" w:type="dxa"/>
                  </w:tcMar>
                  <w:vAlign w:val="center"/>
                </w:tcPr>
                <w:p w14:paraId="48AF97C2">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4</w:t>
                  </w:r>
                </w:p>
              </w:tc>
              <w:tc>
                <w:tcPr>
                  <w:tcW w:w="1195" w:type="pct"/>
                  <w:tcMar>
                    <w:left w:w="0" w:type="dxa"/>
                    <w:right w:w="0" w:type="dxa"/>
                  </w:tcMar>
                  <w:vAlign w:val="center"/>
                </w:tcPr>
                <w:p w14:paraId="135DC046">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克拉玛依金鑫油田环保工程有限公司</w:t>
                  </w:r>
                </w:p>
              </w:tc>
              <w:tc>
                <w:tcPr>
                  <w:tcW w:w="768" w:type="pct"/>
                  <w:tcMar>
                    <w:left w:w="0" w:type="dxa"/>
                    <w:right w:w="0" w:type="dxa"/>
                  </w:tcMar>
                  <w:vAlign w:val="center"/>
                </w:tcPr>
                <w:p w14:paraId="0EA60C42">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6502030052</w:t>
                  </w:r>
                </w:p>
              </w:tc>
              <w:tc>
                <w:tcPr>
                  <w:tcW w:w="1280" w:type="pct"/>
                  <w:tcMar>
                    <w:left w:w="0" w:type="dxa"/>
                    <w:right w:w="0" w:type="dxa"/>
                  </w:tcMar>
                  <w:vAlign w:val="center"/>
                </w:tcPr>
                <w:p w14:paraId="1330F6C1">
                  <w:pPr>
                    <w:pStyle w:val="42"/>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HW08（</w:t>
                  </w:r>
                  <w:r>
                    <w:rPr>
                      <w:rFonts w:hint="eastAsia"/>
                      <w:color w:val="0D0D0D" w:themeColor="text1" w:themeTint="F2"/>
                      <w14:textFill>
                        <w14:solidFill>
                          <w14:schemeClr w14:val="tx1">
                            <w14:lumMod w14:val="95000"/>
                            <w14:lumOff w14:val="5000"/>
                          </w14:schemeClr>
                        </w14:solidFill>
                      </w14:textFill>
                    </w:rPr>
                    <w:t>含</w:t>
                  </w:r>
                  <w:r>
                    <w:rPr>
                      <w:color w:val="0D0D0D" w:themeColor="text1" w:themeTint="F2"/>
                      <w14:textFill>
                        <w14:solidFill>
                          <w14:schemeClr w14:val="tx1">
                            <w14:lumMod w14:val="95000"/>
                            <w14:lumOff w14:val="5000"/>
                          </w14:schemeClr>
                        </w14:solidFill>
                      </w14:textFill>
                    </w:rPr>
                    <w:t>071-002-08）</w:t>
                  </w:r>
                </w:p>
              </w:tc>
              <w:tc>
                <w:tcPr>
                  <w:tcW w:w="768" w:type="pct"/>
                  <w:tcMar>
                    <w:left w:w="0" w:type="dxa"/>
                    <w:right w:w="0" w:type="dxa"/>
                  </w:tcMar>
                  <w:vAlign w:val="center"/>
                </w:tcPr>
                <w:p w14:paraId="5876F51F">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8</w:t>
                  </w:r>
                  <w:r>
                    <w:rPr>
                      <w:color w:val="0D0D0D" w:themeColor="text1" w:themeTint="F2"/>
                      <w14:textFill>
                        <w14:solidFill>
                          <w14:schemeClr w14:val="tx1">
                            <w14:lumMod w14:val="95000"/>
                            <w14:lumOff w14:val="5000"/>
                          </w14:schemeClr>
                        </w14:solidFill>
                      </w14:textFill>
                    </w:rPr>
                    <w:t>0000</w:t>
                  </w:r>
                </w:p>
              </w:tc>
              <w:tc>
                <w:tcPr>
                  <w:tcW w:w="648" w:type="pct"/>
                  <w:tcMar>
                    <w:left w:w="0" w:type="dxa"/>
                    <w:right w:w="0" w:type="dxa"/>
                  </w:tcMar>
                  <w:vAlign w:val="center"/>
                </w:tcPr>
                <w:p w14:paraId="66A68A24">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收集、贮存、处置</w:t>
                  </w:r>
                </w:p>
              </w:tc>
            </w:tr>
          </w:tbl>
          <w:p w14:paraId="2963C0A3">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（8）生活垃圾</w:t>
            </w:r>
          </w:p>
          <w:p w14:paraId="2E72C061">
            <w:pPr>
              <w:pStyle w:val="38"/>
              <w:ind w:firstLine="480"/>
              <w:rPr>
                <w:rFonts w:hint="eastAsia"/>
                <w:bCs/>
                <w:color w:val="0D0D0D" w:themeColor="text1" w:themeTint="F2"/>
                <w14:textFill>
                  <w14:solidFill>
                    <w14:schemeClr w14:val="tx1">
                      <w14:lumMod w14:val="95000"/>
                      <w14:lumOff w14:val="5000"/>
                    </w14:schemeClr>
                  </w14:solidFill>
                </w14:textFill>
              </w:rPr>
            </w:pPr>
            <w:r>
              <w:rPr>
                <w:rFonts w:hint="eastAsia"/>
                <w:bCs/>
                <w:color w:val="0D0D0D" w:themeColor="text1" w:themeTint="F2"/>
                <w14:textFill>
                  <w14:solidFill>
                    <w14:schemeClr w14:val="tx1">
                      <w14:lumMod w14:val="95000"/>
                      <w14:lumOff w14:val="5000"/>
                    </w14:schemeClr>
                  </w14:solidFill>
                </w14:textFill>
              </w:rPr>
              <w:t>井场和生活营地设置生活垃圾收集箱，箱底铺设防渗膜，上部遮盖篷布，集中收集后清运至呼图壁县生活垃圾填埋场。</w:t>
            </w:r>
          </w:p>
          <w:p w14:paraId="077DE889">
            <w:pPr>
              <w:pStyle w:val="38"/>
              <w:ind w:firstLine="480"/>
              <w:rPr>
                <w:rFonts w:hint="eastAsia"/>
                <w:bCs/>
                <w:color w:val="0D0D0D" w:themeColor="text1" w:themeTint="F2"/>
                <w14:textFill>
                  <w14:solidFill>
                    <w14:schemeClr w14:val="tx1">
                      <w14:lumMod w14:val="95000"/>
                      <w14:lumOff w14:val="5000"/>
                    </w14:schemeClr>
                  </w14:solidFill>
                </w14:textFill>
              </w:rPr>
            </w:pPr>
            <w:r>
              <w:rPr>
                <w:rFonts w:hint="eastAsia"/>
                <w:bCs/>
                <w:color w:val="0D0D0D" w:themeColor="text1" w:themeTint="F2"/>
                <w14:textFill>
                  <w14:solidFill>
                    <w14:schemeClr w14:val="tx1">
                      <w14:lumMod w14:val="95000"/>
                      <w14:lumOff w14:val="5000"/>
                    </w14:schemeClr>
                  </w14:solidFill>
                </w14:textFill>
              </w:rPr>
              <w:t>呼图壁县生活垃圾填埋场位于大丰镇北部约1</w:t>
            </w:r>
            <w:r>
              <w:rPr>
                <w:bCs/>
                <w:color w:val="0D0D0D" w:themeColor="text1" w:themeTint="F2"/>
                <w14:textFill>
                  <w14:solidFill>
                    <w14:schemeClr w14:val="tx1">
                      <w14:lumMod w14:val="95000"/>
                      <w14:lumOff w14:val="5000"/>
                    </w14:schemeClr>
                  </w14:solidFill>
                </w14:textFill>
              </w:rPr>
              <w:t>5</w:t>
            </w:r>
            <w:r>
              <w:rPr>
                <w:rFonts w:hint="eastAsia"/>
                <w:bCs/>
                <w:color w:val="0D0D0D" w:themeColor="text1" w:themeTint="F2"/>
                <w14:textFill>
                  <w14:solidFill>
                    <w14:schemeClr w14:val="tx1">
                      <w14:lumMod w14:val="95000"/>
                      <w14:lumOff w14:val="5000"/>
                    </w14:schemeClr>
                  </w14:solidFill>
                </w14:textFill>
              </w:rPr>
              <w:t>km，地理坐标为，建于2</w:t>
            </w:r>
            <w:r>
              <w:rPr>
                <w:bCs/>
                <w:color w:val="0D0D0D" w:themeColor="text1" w:themeTint="F2"/>
                <w14:textFill>
                  <w14:solidFill>
                    <w14:schemeClr w14:val="tx1">
                      <w14:lumMod w14:val="95000"/>
                      <w14:lumOff w14:val="5000"/>
                    </w14:schemeClr>
                  </w14:solidFill>
                </w14:textFill>
              </w:rPr>
              <w:t>013</w:t>
            </w:r>
            <w:r>
              <w:rPr>
                <w:rFonts w:hint="eastAsia"/>
                <w:bCs/>
                <w:color w:val="0D0D0D" w:themeColor="text1" w:themeTint="F2"/>
                <w14:textFill>
                  <w14:solidFill>
                    <w14:schemeClr w14:val="tx1">
                      <w14:lumMod w14:val="95000"/>
                      <w14:lumOff w14:val="5000"/>
                    </w14:schemeClr>
                  </w14:solidFill>
                </w14:textFill>
              </w:rPr>
              <w:t>年，设计库容5</w:t>
            </w:r>
            <w:r>
              <w:rPr>
                <w:bCs/>
                <w:color w:val="0D0D0D" w:themeColor="text1" w:themeTint="F2"/>
                <w14:textFill>
                  <w14:solidFill>
                    <w14:schemeClr w14:val="tx1">
                      <w14:lumMod w14:val="95000"/>
                      <w14:lumOff w14:val="5000"/>
                    </w14:schemeClr>
                  </w14:solidFill>
                </w14:textFill>
              </w:rPr>
              <w:t>4.18</w:t>
            </w:r>
            <w:r>
              <w:rPr>
                <w:rFonts w:hint="eastAsia"/>
                <w:bCs/>
                <w:color w:val="0D0D0D" w:themeColor="text1" w:themeTint="F2"/>
                <w14:textFill>
                  <w14:solidFill>
                    <w14:schemeClr w14:val="tx1">
                      <w14:lumMod w14:val="95000"/>
                      <w14:lumOff w14:val="5000"/>
                    </w14:schemeClr>
                  </w14:solidFill>
                </w14:textFill>
              </w:rPr>
              <w:t>万m</w:t>
            </w:r>
            <w:r>
              <w:rPr>
                <w:bCs/>
                <w:color w:val="0D0D0D" w:themeColor="text1" w:themeTint="F2"/>
                <w:vertAlign w:val="superscript"/>
                <w14:textFill>
                  <w14:solidFill>
                    <w14:schemeClr w14:val="tx1">
                      <w14:lumMod w14:val="95000"/>
                      <w14:lumOff w14:val="5000"/>
                    </w14:schemeClr>
                  </w14:solidFill>
                </w14:textFill>
              </w:rPr>
              <w:t>3</w:t>
            </w:r>
            <w:r>
              <w:rPr>
                <w:rFonts w:hint="eastAsia"/>
                <w:bCs/>
                <w:color w:val="0D0D0D" w:themeColor="text1" w:themeTint="F2"/>
                <w14:textFill>
                  <w14:solidFill>
                    <w14:schemeClr w14:val="tx1">
                      <w14:lumMod w14:val="95000"/>
                      <w14:lumOff w14:val="5000"/>
                    </w14:schemeClr>
                  </w14:solidFill>
                </w14:textFill>
              </w:rPr>
              <w:t>，设计使用年限1</w:t>
            </w:r>
            <w:r>
              <w:rPr>
                <w:bCs/>
                <w:color w:val="0D0D0D" w:themeColor="text1" w:themeTint="F2"/>
                <w14:textFill>
                  <w14:solidFill>
                    <w14:schemeClr w14:val="tx1">
                      <w14:lumMod w14:val="95000"/>
                      <w14:lumOff w14:val="5000"/>
                    </w14:schemeClr>
                  </w14:solidFill>
                </w14:textFill>
              </w:rPr>
              <w:t>6</w:t>
            </w:r>
            <w:r>
              <w:rPr>
                <w:rFonts w:hint="eastAsia"/>
                <w:bCs/>
                <w:color w:val="0D0D0D" w:themeColor="text1" w:themeTint="F2"/>
                <w14:textFill>
                  <w14:solidFill>
                    <w14:schemeClr w14:val="tx1">
                      <w14:lumMod w14:val="95000"/>
                      <w14:lumOff w14:val="5000"/>
                    </w14:schemeClr>
                  </w14:solidFill>
                </w14:textFill>
              </w:rPr>
              <w:t>年，目前已服役9年，仍在使用年限内。本项目施工期生活垃圾产生量较少，约7t，相对于该垃圾填埋场的库容所占比例很小，依托可行。</w:t>
            </w:r>
          </w:p>
          <w:bookmarkEnd w:id="141"/>
          <w:p w14:paraId="3CC6AA9D">
            <w:pPr>
              <w:pStyle w:val="38"/>
              <w:ind w:firstLine="480"/>
              <w:rPr>
                <w:rFonts w:hint="eastAsia"/>
                <w:color w:val="0D0D0D" w:themeColor="text1" w:themeTint="F2"/>
                <w14:textFill>
                  <w14:solidFill>
                    <w14:schemeClr w14:val="tx1">
                      <w14:lumMod w14:val="95000"/>
                      <w14:lumOff w14:val="5000"/>
                    </w14:schemeClr>
                  </w14:solidFill>
                </w14:textFill>
              </w:rPr>
            </w:pPr>
            <w:bookmarkStart w:id="149" w:name="_Hlk136792721"/>
            <w:r>
              <w:rPr>
                <w:rFonts w:hint="eastAsia"/>
                <w:color w:val="0D0D0D" w:themeColor="text1" w:themeTint="F2"/>
                <w14:textFill>
                  <w14:solidFill>
                    <w14:schemeClr w14:val="tx1">
                      <w14:lumMod w14:val="95000"/>
                      <w14:lumOff w14:val="5000"/>
                    </w14:schemeClr>
                  </w14:solidFill>
                </w14:textFill>
              </w:rPr>
              <w:t>（9）建筑垃圾</w:t>
            </w:r>
          </w:p>
          <w:p w14:paraId="2C8C1F5B">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bCs/>
                <w:color w:val="0D0D0D" w:themeColor="text1" w:themeTint="F2"/>
                <w14:textFill>
                  <w14:solidFill>
                    <w14:schemeClr w14:val="tx1">
                      <w14:lumMod w14:val="95000"/>
                      <w14:lumOff w14:val="5000"/>
                    </w14:schemeClr>
                  </w14:solidFill>
                </w14:textFill>
              </w:rPr>
              <w:t>建筑垃圾优先回收利用，无法回收利用的由钻井队负责清运</w:t>
            </w:r>
            <w:r>
              <w:rPr>
                <w:rFonts w:hint="eastAsia"/>
                <w:color w:val="0D0D0D" w:themeColor="text1" w:themeTint="F2"/>
                <w14:textFill>
                  <w14:solidFill>
                    <w14:schemeClr w14:val="tx1">
                      <w14:lumMod w14:val="95000"/>
                      <w14:lumOff w14:val="5000"/>
                    </w14:schemeClr>
                  </w14:solidFill>
                </w14:textFill>
              </w:rPr>
              <w:t>。</w:t>
            </w:r>
          </w:p>
          <w:p w14:paraId="169BA321">
            <w:pPr>
              <w:pStyle w:val="38"/>
              <w:ind w:firstLine="480"/>
              <w:rPr>
                <w:rFonts w:hint="eastAsia"/>
                <w:color w:val="0D0D0D" w:themeColor="text1" w:themeTint="F2"/>
                <w14:textFill>
                  <w14:solidFill>
                    <w14:schemeClr w14:val="tx1">
                      <w14:lumMod w14:val="95000"/>
                      <w14:lumOff w14:val="5000"/>
                    </w14:schemeClr>
                  </w14:solidFill>
                </w14:textFill>
              </w:rPr>
            </w:pPr>
            <w:bookmarkStart w:id="150" w:name="_Hlk183361156"/>
            <w:r>
              <w:rPr>
                <w:rFonts w:hint="eastAsia"/>
                <w:color w:val="0D0D0D" w:themeColor="text1" w:themeTint="F2"/>
                <w:lang w:bidi="ar"/>
                <w14:textFill>
                  <w14:solidFill>
                    <w14:schemeClr w14:val="tx1">
                      <w14:lumMod w14:val="95000"/>
                      <w14:lumOff w14:val="5000"/>
                    </w14:schemeClr>
                  </w14:solidFill>
                </w14:textFill>
              </w:rPr>
              <w:t>（10）一般工业固体废物环境管理要求</w:t>
            </w:r>
          </w:p>
          <w:p w14:paraId="6BCDDDE3">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①建设单位应落实污染环境防治责任制度，建立健全工业固体废物产生、收集、贮存、运输、利用、处置全过程的污染环境防治责任制度。建立工业固体废物管理台账，如实记录产生工业固体废物的种类、数量、流向、贮存、利用、处置等信息，实现工业固体废物可追溯、可查询。</w:t>
            </w:r>
          </w:p>
          <w:p w14:paraId="53C63072">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②建设单位应与具有相应具有固体废物处置资质的单位签订书面合同，在合同中约定污染防治要求，由受托方负责处置水基岩屑。</w:t>
            </w:r>
          </w:p>
          <w:p w14:paraId="753D5D4D">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lang w:bidi="ar"/>
                <w14:textFill>
                  <w14:solidFill>
                    <w14:schemeClr w14:val="tx1">
                      <w14:lumMod w14:val="95000"/>
                      <w14:lumOff w14:val="5000"/>
                    </w14:schemeClr>
                  </w14:solidFill>
                </w14:textFill>
              </w:rPr>
              <w:t>（11）</w:t>
            </w:r>
            <w:bookmarkStart w:id="151" w:name="_Hlk183363774"/>
            <w:r>
              <w:rPr>
                <w:rFonts w:hint="eastAsia" w:ascii="宋体" w:hAnsi="宋体" w:cs="宋体"/>
                <w:color w:val="0D0D0D" w:themeColor="text1" w:themeTint="F2"/>
                <w:lang w:bidi="ar"/>
                <w14:textFill>
                  <w14:solidFill>
                    <w14:schemeClr w14:val="tx1">
                      <w14:lumMod w14:val="95000"/>
                      <w14:lumOff w14:val="5000"/>
                    </w14:schemeClr>
                  </w14:solidFill>
                </w14:textFill>
              </w:rPr>
              <w:t>危险废物环境管理要求</w:t>
            </w:r>
            <w:bookmarkEnd w:id="151"/>
          </w:p>
          <w:bookmarkEnd w:id="150"/>
          <w:p w14:paraId="4E3155A6">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建设单位及施工单位应对</w:t>
            </w:r>
            <w:r>
              <w:rPr>
                <w:color w:val="0D0D0D" w:themeColor="text1" w:themeTint="F2"/>
                <w:lang w:bidi="ar"/>
                <w14:textFill>
                  <w14:solidFill>
                    <w14:schemeClr w14:val="tx1">
                      <w14:lumMod w14:val="95000"/>
                      <w14:lumOff w14:val="5000"/>
                    </w14:schemeClr>
                  </w14:solidFill>
                </w14:textFill>
              </w:rPr>
              <w:t>油基钻井岩屑、</w:t>
            </w:r>
            <w:r>
              <w:rPr>
                <w:rFonts w:hint="eastAsia"/>
                <w:color w:val="0D0D0D" w:themeColor="text1" w:themeTint="F2"/>
                <w:lang w:bidi="ar"/>
                <w14:textFill>
                  <w14:solidFill>
                    <w14:schemeClr w14:val="tx1">
                      <w14:lumMod w14:val="95000"/>
                      <w14:lumOff w14:val="5000"/>
                    </w14:schemeClr>
                  </w14:solidFill>
                </w14:textFill>
              </w:rPr>
              <w:t>废润滑油、废润滑油桶和沾油的废防渗材料按照《危险废物环境管理指南  陆上石油天然气开采》中的危险废物环境管理要求进行管理，具体如下：</w:t>
            </w:r>
          </w:p>
          <w:p w14:paraId="55AF92C0">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①落实污染环境防治责任制度，建立健全工业危险废物产生、收集、贮存、运输、利用、处置全过程的污染环境防治责任制度。</w:t>
            </w:r>
          </w:p>
          <w:p w14:paraId="4B9DBA99">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②落实危险废物识别标志制度，按照《环境保护图形标志 固体废物贮存（处置）场》（GB15562.2）、《危险废物识别标志设置技术规范》（HJ1276-2022）等有关规定，对危险废物的容器和收集、贮存、危险废物的场所设置危险废物识别标志。</w:t>
            </w:r>
          </w:p>
          <w:p w14:paraId="7D0C5A2B">
            <w:pPr>
              <w:pStyle w:val="38"/>
              <w:ind w:firstLine="480"/>
              <w:rPr>
                <w:rFonts w:hint="eastAsia" w:cs="宋体"/>
                <w:color w:val="0D0D0D" w:themeColor="text1" w:themeTint="F2"/>
                <w14:textFill>
                  <w14:solidFill>
                    <w14:schemeClr w14:val="tx1">
                      <w14:lumMod w14:val="95000"/>
                      <w14:lumOff w14:val="5000"/>
                    </w14:schemeClr>
                  </w14:solidFill>
                </w14:textFill>
              </w:rPr>
            </w:pPr>
            <w:r>
              <w:rPr>
                <w:rFonts w:hint="eastAsia" w:cs="宋体"/>
                <w:color w:val="0D0D0D" w:themeColor="text1" w:themeTint="F2"/>
                <w14:textFill>
                  <w14:solidFill>
                    <w14:schemeClr w14:val="tx1">
                      <w14:lumMod w14:val="95000"/>
                      <w14:lumOff w14:val="5000"/>
                    </w14:schemeClr>
                  </w14:solidFill>
                </w14:textFill>
              </w:rPr>
              <w:t>③落实危险废物管理计划制度，按照《</w:t>
            </w:r>
            <w:r>
              <w:fldChar w:fldCharType="begin"/>
            </w:r>
            <w:r>
              <w:instrText xml:space="preserve"> HYPERLINK "https://www.mee.gov.cn/gkml/hbb/bgg/201601/W020160128385366835993.pdf" </w:instrText>
            </w:r>
            <w:r>
              <w:fldChar w:fldCharType="separate"/>
            </w:r>
            <w:r>
              <w:rPr>
                <w:rFonts w:hint="eastAsia" w:cs="宋体"/>
                <w:color w:val="0D0D0D" w:themeColor="text1" w:themeTint="F2"/>
                <w14:textFill>
                  <w14:solidFill>
                    <w14:schemeClr w14:val="tx1">
                      <w14:lumMod w14:val="95000"/>
                      <w14:lumOff w14:val="5000"/>
                    </w14:schemeClr>
                  </w14:solidFill>
                </w14:textFill>
              </w:rPr>
              <w:t>危险废物管理计划和</w:t>
            </w:r>
            <w:r>
              <w:rPr>
                <w:rFonts w:hint="eastAsia" w:cs="宋体"/>
                <w:color w:val="0D0D0D" w:themeColor="text1" w:themeTint="F2"/>
                <w14:textFill>
                  <w14:solidFill>
                    <w14:schemeClr w14:val="tx1">
                      <w14:lumMod w14:val="95000"/>
                      <w14:lumOff w14:val="5000"/>
                    </w14:schemeClr>
                  </w14:solidFill>
                </w14:textFill>
              </w:rPr>
              <w:fldChar w:fldCharType="end"/>
            </w:r>
            <w:r>
              <w:rPr>
                <w:rFonts w:hint="eastAsia" w:cs="宋体"/>
                <w:color w:val="0D0D0D" w:themeColor="text1" w:themeTint="F2"/>
                <w14:textFill>
                  <w14:solidFill>
                    <w14:schemeClr w14:val="tx1">
                      <w14:lumMod w14:val="95000"/>
                      <w14:lumOff w14:val="5000"/>
                    </w14:schemeClr>
                  </w14:solidFill>
                </w14:textFill>
              </w:rPr>
              <w:t>管理台账制定技术导则》（HJ1119-2022）等有关要求制定危险废物管理计划，并报所在地生态环境主管部门备案。</w:t>
            </w:r>
          </w:p>
          <w:p w14:paraId="5DEC149D">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④落实危险废物管理台账及申报制度，建立危险废物管理台账，如实记录有关信息，并通过国家危险废物信息管理系统向所在地生态环境主管部门申报危险废物的种类、产生量、流向、贮存、处置等有关资料。</w:t>
            </w:r>
          </w:p>
          <w:p w14:paraId="44DFA194">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bookmarkStart w:id="152" w:name="_Hlk213895135"/>
            <w:r>
              <w:rPr>
                <w:rFonts w:hint="eastAsia" w:ascii="宋体" w:hAnsi="宋体" w:cs="宋体"/>
                <w:color w:val="0D0D0D" w:themeColor="text1" w:themeTint="F2"/>
                <w14:textFill>
                  <w14:solidFill>
                    <w14:schemeClr w14:val="tx1">
                      <w14:lumMod w14:val="95000"/>
                      <w14:lumOff w14:val="5000"/>
                    </w14:schemeClr>
                  </w14:solidFill>
                </w14:textFill>
              </w:rPr>
              <w:t>⑤落实危险废物转移联单制度，转移危险废物的，应当按照《危险废物转移管理办法》的有关规定填写、运行危险废物转移联单。</w:t>
            </w:r>
          </w:p>
          <w:p w14:paraId="5F2AFF5C">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危险废物运输应由持有危险废物经营许可证的单位按照其许可证的经营范围组织实施，承担危险废物运输的单位应获得交通运输部门颁发的危险货物运输资质；危险废物公路运输应按照《道路危险货物运输管理规定》(交通部令〔2005年〕第9号)、JT617以及JT618执行；运输单位承运危险废物时，应在危险废物包装上按照GB18597附录A设置标志；危险废物公路运输时，运输车辆应按GB13392设置车辆标志；危险废物运输时的中转、装卸过程应遵守如下技术要求：卸载区的工作人员应熟悉废物的危险特性，并配备适当的个人防护装备；卸载区应配备必要的消防设备和设施，并设置明显的指示标志；危险废物装卸区应设置隔离设施，液态废物卸载区应设置收集槽和缓冲罐。</w:t>
            </w:r>
          </w:p>
          <w:bookmarkEnd w:id="149"/>
          <w:bookmarkEnd w:id="152"/>
          <w:p w14:paraId="4DACB9BE">
            <w:pPr>
              <w:pStyle w:val="38"/>
              <w:ind w:firstLine="480"/>
              <w:rPr>
                <w:rFonts w:hint="eastAsia" w:cs="宋体"/>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上述固体废物处置措施均为技术可行和稳定可靠的成熟措施，钻试工程产生的固体废物均得到妥善处置，不会对环境造成不利影响。</w:t>
            </w:r>
          </w:p>
          <w:p w14:paraId="3ADCAB0E">
            <w:pPr>
              <w:snapToGrid w:val="0"/>
              <w:spacing w:line="48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r>
              <w:rPr>
                <w:rFonts w:hint="eastAsia" w:ascii="宋体" w:hAnsi="宋体" w:cs="宋体"/>
                <w:b/>
                <w:bCs/>
                <w:color w:val="0D0D0D" w:themeColor="text1" w:themeTint="F2"/>
                <w14:textFill>
                  <w14:solidFill>
                    <w14:schemeClr w14:val="tx1">
                      <w14:lumMod w14:val="95000"/>
                      <w14:lumOff w14:val="5000"/>
                    </w14:schemeClr>
                  </w14:solidFill>
                </w14:textFill>
              </w:rPr>
              <w:t>8、环境风险应急措施及应急要求</w:t>
            </w:r>
          </w:p>
          <w:p w14:paraId="3E9B0556">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s="宋体"/>
                <w:color w:val="0D0D0D" w:themeColor="text1" w:themeTint="F2"/>
                <w14:textFill>
                  <w14:solidFill>
                    <w14:schemeClr w14:val="tx1">
                      <w14:lumMod w14:val="95000"/>
                      <w14:lumOff w14:val="5000"/>
                    </w14:schemeClr>
                  </w14:solidFill>
                </w14:textFill>
              </w:rPr>
              <w:t>（1）</w:t>
            </w:r>
            <w:r>
              <w:rPr>
                <w:rFonts w:hint="eastAsia"/>
                <w:color w:val="0D0D0D" w:themeColor="text1" w:themeTint="F2"/>
                <w14:textFill>
                  <w14:solidFill>
                    <w14:schemeClr w14:val="tx1">
                      <w14:lumMod w14:val="95000"/>
                      <w14:lumOff w14:val="5000"/>
                    </w14:schemeClr>
                  </w14:solidFill>
                </w14:textFill>
              </w:rPr>
              <w:t>建设单位以及施工钻井队结合行业作业规范，设置有专职安全环保管理人员，把安全、环境管理纳入生产管理的各个环节，对防止事故的发生能起到非常积极的作用。</w:t>
            </w:r>
          </w:p>
          <w:p w14:paraId="5C28987F">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bookmarkStart w:id="153" w:name="_Hlk213898909"/>
            <w:r>
              <w:rPr>
                <w:rFonts w:hint="eastAsia" w:ascii="宋体" w:hAnsi="宋体" w:cs="宋体"/>
                <w:color w:val="0D0D0D" w:themeColor="text1" w:themeTint="F2"/>
                <w14:textFill>
                  <w14:solidFill>
                    <w14:schemeClr w14:val="tx1">
                      <w14:lumMod w14:val="95000"/>
                      <w14:lumOff w14:val="5000"/>
                    </w14:schemeClr>
                  </w14:solidFill>
                </w14:textFill>
              </w:rPr>
              <w:t>（2）井喷环境风险防范措施</w:t>
            </w:r>
          </w:p>
          <w:p w14:paraId="1C6F1B54">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①设有井控装置，钻井工程中各岗位必须严格分工，定期对井控装置进行维护、保养、检查，保证井控装置及工具灵活可用、始终处于待命状态；落实溢流监测岗位、关井操作岗位和钻井队干部值班制度。</w:t>
            </w:r>
          </w:p>
          <w:p w14:paraId="6D781B29">
            <w:pPr>
              <w:pStyle w:val="38"/>
              <w:ind w:firstLine="472"/>
              <w:rPr>
                <w:rFonts w:hint="eastAsia"/>
                <w:color w:val="0D0D0D" w:themeColor="text1" w:themeTint="F2"/>
                <w:spacing w:val="-2"/>
                <w14:textFill>
                  <w14:solidFill>
                    <w14:schemeClr w14:val="tx1">
                      <w14:lumMod w14:val="95000"/>
                      <w14:lumOff w14:val="5000"/>
                    </w14:schemeClr>
                  </w14:solidFill>
                </w14:textFill>
              </w:rPr>
            </w:pPr>
            <w:r>
              <w:rPr>
                <w:rFonts w:hint="eastAsia"/>
                <w:color w:val="0D0D0D" w:themeColor="text1" w:themeTint="F2"/>
                <w:spacing w:val="-2"/>
                <w14:textFill>
                  <w14:solidFill>
                    <w14:schemeClr w14:val="tx1">
                      <w14:lumMod w14:val="95000"/>
                      <w14:lumOff w14:val="5000"/>
                    </w14:schemeClr>
                  </w14:solidFill>
                </w14:textFill>
              </w:rPr>
              <w:t>②钻开油层后：落实专人坐岗，观察井口和循环池液面变化，发现溢流立即正确关井，疑似溢流立即关井检查；加强溢流预兆显示的观察，及时发现溢流；钻开油层后，每次起下钻（离上次活动时间超过5d）对闸板防喷器及手动锁紧装置开关活动一次。每次试压后应对井控装置固定螺栓进行紧固。起钻杆时每3～5柱向环空灌满钻井液，起钻挺要连续灌浆，作好记录、校核，若灌入钻井液量大于或小于应灌入量，均应停止起钻作业，进行观察，如有溢流，应立即关井求压。如有井漏，应及时采取相应措施。安排专人观察出口管钻井液返出情况，严禁在空井情况下检修设备；钻开油层后，所有车辆应停放在距井口以外30m，必须进入距井口30m以内的车辆，应安装阻火器，车头朝外停放。</w:t>
            </w:r>
          </w:p>
          <w:p w14:paraId="33B6F632">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③溢流处理和压井措施：最大允许关井压力应考虑井口装置额定工作压力、套管抗内压强度的80%和薄弱地层破裂压力所允许的关井压力。在允许关井套压内严禁放喷。天然气溢流不允许长时间关井而不作处理。在等候加重材料或在加重过程中，应采取井筒压力控制措施防止井口压力过高。空井溢流关井后，根据溢流的严重程度，可采用置换法和压回法等方法进行处理。</w:t>
            </w:r>
          </w:p>
          <w:p w14:paraId="0D0FB136">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④测井、固井、完井等作业时，要严格执行安全操作规程和井控措施，避免发生井下复杂情况和井喷失控事故。电测前井内情况应正常、稳定；测井队到井后应向井队了解井况，确认油气上窜安全作业时间，若电测时间超过等值时间，应中途通井循环再电测。测井队专用剪切工具应放置在钻台上，随时处于待命状态。发生溢流征兆应立即停止电测，尽快起出井内电缆，当危及井控安全时，立即实施剪断电缆并关井。由钻井队队长决定何时切断电缆并进行关井作业，测井队队长负责实施剪断电缆工作。不允许用关闭环形防喷器的方法起电缆。</w:t>
            </w:r>
          </w:p>
          <w:p w14:paraId="2E0E1E50">
            <w:pPr>
              <w:pStyle w:val="38"/>
              <w:ind w:firstLine="480"/>
              <w:rPr>
                <w:rFonts w:hint="eastAsia"/>
                <w:color w:val="0D0D0D" w:themeColor="text1" w:themeTint="F2"/>
                <w14:textFill>
                  <w14:solidFill>
                    <w14:schemeClr w14:val="tx1">
                      <w14:lumMod w14:val="95000"/>
                      <w14:lumOff w14:val="5000"/>
                    </w14:schemeClr>
                  </w14:solidFill>
                </w14:textFill>
              </w:rPr>
            </w:pPr>
            <w:bookmarkStart w:id="154" w:name="_Hlk183350582"/>
            <w:bookmarkStart w:id="155" w:name="_Hlk208334182"/>
            <w:r>
              <w:rPr>
                <w:rFonts w:hint="eastAsia"/>
                <w:color w:val="0D0D0D" w:themeColor="text1" w:themeTint="F2"/>
                <w:lang w:bidi="ar"/>
                <w14:textFill>
                  <w14:solidFill>
                    <w14:schemeClr w14:val="tx1">
                      <w14:lumMod w14:val="95000"/>
                      <w14:lumOff w14:val="5000"/>
                    </w14:schemeClr>
                  </w14:solidFill>
                </w14:textFill>
              </w:rPr>
              <w:t>⑤一旦发生井喷突发事件，应立即启动相应的环境突发事件专项应急预案，立即关闭井口切断污染源，根据需要建设应急放喷池（20m×10m），控制原油污染面积，对放喷液进行集中收集处理，同时及时通知可能受影响的人员进行疏散；切断一切可能扩大污染范围的环节，严防污染区域的扩大。采取围、堵等措施限制固体废弃物和溢油扩散范围；</w:t>
            </w:r>
            <w:bookmarkStart w:id="156" w:name="_Hlk183363993"/>
            <w:r>
              <w:rPr>
                <w:rFonts w:hint="eastAsia"/>
                <w:color w:val="0D0D0D" w:themeColor="text1" w:themeTint="F2"/>
                <w:lang w:bidi="ar"/>
                <w14:textFill>
                  <w14:solidFill>
                    <w14:schemeClr w14:val="tx1">
                      <w14:lumMod w14:val="95000"/>
                      <w14:lumOff w14:val="5000"/>
                    </w14:schemeClr>
                  </w14:solidFill>
                </w14:textFill>
              </w:rPr>
              <w:t>将溢油最大限度地回收，对少量确实无法回收的油以及受污染的土壤形成的落地油，采用铲除油泥层等有效方法，落地油集中收集后不在井场贮存，直接交由具有相应危废处置资质的单位进行接收、转运和处置，以降低残油对生态环境的污染程度；</w:t>
            </w:r>
            <w:bookmarkEnd w:id="156"/>
            <w:r>
              <w:rPr>
                <w:rFonts w:hint="eastAsia"/>
                <w:color w:val="0D0D0D" w:themeColor="text1" w:themeTint="F2"/>
                <w:lang w:bidi="ar"/>
                <w14:textFill>
                  <w14:solidFill>
                    <w14:schemeClr w14:val="tx1">
                      <w14:lumMod w14:val="95000"/>
                      <w14:lumOff w14:val="5000"/>
                    </w14:schemeClr>
                  </w14:solidFill>
                </w14:textFill>
              </w:rPr>
              <w:t>同时迅速布点监测，在第一时间确定污染物种类和浓度，出具监测数据，评估污染物转移、扩散速率；对污染状况进行跟踪调查，根据监测数据分析，预测污染迁移强度、速度和影响范围，及时调整对策。</w:t>
            </w:r>
            <w:bookmarkEnd w:id="154"/>
          </w:p>
          <w:bookmarkEnd w:id="155"/>
          <w:p w14:paraId="6EADB7A7">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⑥试油期产生的伴生气气量不稳定，不具备回收利用条件，经放喷管线充分燃烧后排放；建设单位应定期检查伴生气燃烧设备，加强燃烧设备的运营维护，确保伴生气充分燃烧，减少污染物的排放。</w:t>
            </w:r>
            <w:bookmarkEnd w:id="153"/>
          </w:p>
          <w:p w14:paraId="196B84A5">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（3）储罐泄漏防范措施</w:t>
            </w:r>
          </w:p>
          <w:p w14:paraId="4CCC74E6">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①选用质量、防腐措施合格的储罐。安装过程中焊接要经过100%的探伤，安装时应选择刚性不燃的坚固基础作为罐体基础。储罐在投用前，必须严格按照《压力容器安全技术监察规程》进行强度和气密性试验。</w:t>
            </w:r>
          </w:p>
          <w:p w14:paraId="5AAD75EB">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②储罐区应严格用火管理，采用有效的避雷装置和接地装置等防止雷电的措施。</w:t>
            </w:r>
          </w:p>
          <w:p w14:paraId="4B919475">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③加强储罐和管线接口的检查工作，防止腐蚀穿孔。定期进行壁厚检测，腐蚀余量低于规定的允许值时，要及时进行检修和更换。</w:t>
            </w:r>
          </w:p>
          <w:p w14:paraId="2AF92F69">
            <w:pPr>
              <w:pStyle w:val="38"/>
              <w:ind w:firstLine="480"/>
              <w:rPr>
                <w:rFonts w:hint="eastAsia"/>
                <w:color w:val="0D0D0D" w:themeColor="text1" w:themeTint="F2"/>
                <w14:textFill>
                  <w14:solidFill>
                    <w14:schemeClr w14:val="tx1">
                      <w14:lumMod w14:val="95000"/>
                      <w14:lumOff w14:val="5000"/>
                    </w14:schemeClr>
                  </w14:solidFill>
                </w14:textFill>
              </w:rPr>
            </w:pPr>
            <w:bookmarkStart w:id="157" w:name="_Hlk183350612"/>
            <w:r>
              <w:rPr>
                <w:rFonts w:hint="eastAsia"/>
                <w:color w:val="0D0D0D" w:themeColor="text1" w:themeTint="F2"/>
                <w:lang w:bidi="ar"/>
                <w14:textFill>
                  <w14:solidFill>
                    <w14:schemeClr w14:val="tx1">
                      <w14:lumMod w14:val="95000"/>
                      <w14:lumOff w14:val="5000"/>
                    </w14:schemeClr>
                  </w14:solidFill>
                </w14:textFill>
              </w:rPr>
              <w:t>④</w:t>
            </w:r>
            <w:bookmarkStart w:id="158" w:name="_Hlk183364061"/>
            <w:r>
              <w:rPr>
                <w:rFonts w:hint="eastAsia"/>
                <w:color w:val="0D0D0D" w:themeColor="text1" w:themeTint="F2"/>
                <w:lang w:bidi="ar"/>
                <w14:textFill>
                  <w14:solidFill>
                    <w14:schemeClr w14:val="tx1">
                      <w14:lumMod w14:val="95000"/>
                      <w14:lumOff w14:val="5000"/>
                    </w14:schemeClr>
                  </w14:solidFill>
                </w14:textFill>
              </w:rPr>
              <w:t>井场各类储罐、特别是油类物质及危险废物储罐底部均应铺设符合要求的防渗材料，一旦发生泄漏须及时发现并采取有效的堵漏措施，同时对产生的落地油集中收集，不在井场贮存，直接交由具有相应危废处置资质的单位进行接收、转运和处置；加强储罐运输环节的管理，避免出现储罐泄漏风险事故发生。</w:t>
            </w:r>
            <w:bookmarkEnd w:id="157"/>
            <w:bookmarkEnd w:id="158"/>
          </w:p>
          <w:p w14:paraId="349C9FFE">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⑤加强消防安全管理</w:t>
            </w:r>
          </w:p>
          <w:p w14:paraId="77B2ACBC">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定期进行消防培训与实战演练，要求岗位工作人员具有较强的消防安全意识，加强巡检，确保无异常情况出现。</w:t>
            </w:r>
          </w:p>
          <w:p w14:paraId="1C99A3DB">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⑥柴油泄漏事故应急处置措施</w:t>
            </w:r>
          </w:p>
          <w:p w14:paraId="4D2FD044">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发生柴油泄漏事故时，根据泄漏情形采取应急处置措施，如关闭阀门、封堵泄漏点等措施；若罐体破裂，无法封堵，则利用围堰拦截泄漏油品，及时采取油品回收措施；发生火灾、爆炸事故时，应及时疏散人员，根据现场指挥确定紧急集合点（一般选择事故发生时的上风向）。</w:t>
            </w:r>
          </w:p>
          <w:p w14:paraId="3E559406">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（4）井漏防范措施</w:t>
            </w:r>
          </w:p>
          <w:p w14:paraId="741C836B">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①建立、健全各项安全管理制度以及配套的工艺、设备安全操作规程并严格执行，确保施工质量，防漏、防窜，做好防腐工作。</w:t>
            </w:r>
          </w:p>
          <w:p w14:paraId="04EA8687">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②操作人员应密切注意设备运行状况，发现管件破裂刺漏等问题及时处理；作业现场应配备消防设备以备应急救援。</w:t>
            </w:r>
          </w:p>
          <w:p w14:paraId="343796D3">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③严格要求套管下入深度、确保固井质量。</w:t>
            </w:r>
          </w:p>
          <w:p w14:paraId="53A1F5D1">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④工程施工单位需具备相应资质，加强对施工现场的安全组织管理和监督。</w:t>
            </w:r>
          </w:p>
          <w:p w14:paraId="0760329D">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（5）硫化氢防范措施</w:t>
            </w:r>
          </w:p>
          <w:p w14:paraId="108262CA">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①在钻井、试油作业过程中配备便携式硫化氢监测仪，做好硫化氢监测预警工作，并制定防硫化氢应急预案。当监测到硫化氢浓度大于75mg/m</w:t>
            </w:r>
            <w:r>
              <w:rPr>
                <w:rFonts w:hint="eastAsia"/>
                <w:color w:val="0D0D0D" w:themeColor="text1" w:themeTint="F2"/>
                <w:vertAlign w:val="superscript"/>
                <w14:textFill>
                  <w14:solidFill>
                    <w14:schemeClr w14:val="tx1">
                      <w14:lumMod w14:val="95000"/>
                      <w14:lumOff w14:val="5000"/>
                    </w14:schemeClr>
                  </w14:solidFill>
                </w14:textFill>
              </w:rPr>
              <w:t>3</w:t>
            </w:r>
            <w:r>
              <w:rPr>
                <w:rFonts w:hint="eastAsia"/>
                <w:color w:val="0D0D0D" w:themeColor="text1" w:themeTint="F2"/>
                <w14:textFill>
                  <w14:solidFill>
                    <w14:schemeClr w14:val="tx1">
                      <w14:lumMod w14:val="95000"/>
                      <w14:lumOff w14:val="5000"/>
                    </w14:schemeClr>
                  </w14:solidFill>
                </w14:textFill>
              </w:rPr>
              <w:t>（50ppm）时，按照含硫油气井作业规程执行。</w:t>
            </w:r>
          </w:p>
          <w:p w14:paraId="7514AA3C">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②钻井期在作业现场显著位置设置5处风向标；试油期设置2处风向标，并在不同方向上划定2个紧急集合点，并规划撤离路线，发生紧急情况时向上风向撤离。</w:t>
            </w:r>
          </w:p>
          <w:p w14:paraId="34D3AB3F">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（6）物料运输环境风险防范措施</w:t>
            </w:r>
          </w:p>
          <w:p w14:paraId="49B55DFD">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①加强各类储罐运输环节的管理，避免出现储罐泄漏风险事故发生。危险废物在储存、转移、处理过程中应严格执行《危险废物转移管理办法》（</w:t>
            </w:r>
            <w:r>
              <w:rPr>
                <w:rFonts w:hint="eastAsia"/>
                <w:color w:val="0D0D0D" w:themeColor="text1" w:themeTint="F2"/>
                <w:lang w:val="en-US" w:eastAsia="zh-CN"/>
                <w14:textFill>
                  <w14:solidFill>
                    <w14:schemeClr w14:val="tx1">
                      <w14:lumMod w14:val="95000"/>
                      <w14:lumOff w14:val="5000"/>
                    </w14:schemeClr>
                  </w14:solidFill>
                </w14:textFill>
              </w:rPr>
              <w:t>交通运输</w:t>
            </w:r>
            <w:bookmarkStart w:id="172" w:name="_GoBack"/>
            <w:bookmarkEnd w:id="172"/>
            <w:r>
              <w:rPr>
                <w:rFonts w:hint="eastAsia"/>
                <w:color w:val="0D0D0D" w:themeColor="text1" w:themeTint="F2"/>
                <w14:textFill>
                  <w14:solidFill>
                    <w14:schemeClr w14:val="tx1">
                      <w14:lumMod w14:val="95000"/>
                      <w14:lumOff w14:val="5000"/>
                    </w14:schemeClr>
                  </w14:solidFill>
                </w14:textFill>
              </w:rPr>
              <w:t>部令第23号）并制定内部转移、转运制度。确保危险废物的运输安全可靠，减少或避免运输过程中的二次污染和可能造成的环境风险。</w:t>
            </w:r>
          </w:p>
          <w:p w14:paraId="4DE39A29">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②加强对运输车辆的保养及维护，确保车辆正常运行，避免发生燃油滴漏；燃油等危化品、危险废物运输车辆及驾驶员应具有相应的运输资质；行驶至河流段时应低速、慢行，平稳通过。</w:t>
            </w:r>
          </w:p>
          <w:p w14:paraId="5A5A64E2">
            <w:pPr>
              <w:pStyle w:val="38"/>
              <w:ind w:firstLine="480"/>
              <w:rPr>
                <w:rFonts w:hint="eastAsia"/>
              </w:rPr>
            </w:pPr>
            <w:r>
              <w:rPr>
                <w:rFonts w:hint="eastAsia" w:cs="宋体"/>
              </w:rPr>
              <w:t>（7）</w:t>
            </w:r>
            <w:r>
              <w:rPr>
                <w:rFonts w:hint="eastAsia"/>
              </w:rPr>
              <w:t>油基钻井岩屑环境风险防范措施</w:t>
            </w:r>
          </w:p>
          <w:p w14:paraId="58DD250A">
            <w:pPr>
              <w:pStyle w:val="38"/>
              <w:ind w:firstLine="480"/>
              <w:rPr>
                <w:rFonts w:hint="eastAsia"/>
              </w:rPr>
            </w:pPr>
            <w:r>
              <w:rPr>
                <w:rFonts w:hint="eastAsia"/>
              </w:rPr>
              <w:t>存放油基钻井液、油基钻井岩屑作业区域及方罐储存区下部铺防渗膜，四周设置围堰，顶部应满足防风、防晒、防雨的要求。</w:t>
            </w:r>
            <w:r>
              <w:rPr>
                <w:rFonts w:hint="eastAsia" w:cs="宋体"/>
              </w:rPr>
              <w:t>油基钻井岩屑需使用专用收集罐收集后交资质单位处理，其收集、贮存应符合《陆上石油天然气开采含油污泥处理处置及污染控制技术规范》（SY/T7300-2016）、《危险废物贮存污染控制标准》（GB18597-2023）相关规定要求，</w:t>
            </w:r>
            <w:r>
              <w:rPr>
                <w:rFonts w:hint="eastAsia"/>
              </w:rPr>
              <w:t>运输过程中应依据《危险废物收集贮存运输技术规范》（HJ2025-2012）的要求进行管理；转移过程中应按《危险废物转移管理办法》办理危险废物转移联单。</w:t>
            </w:r>
          </w:p>
          <w:p w14:paraId="03D96347">
            <w:pPr>
              <w:adjustRightInd w:val="0"/>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bCs/>
                <w:color w:val="0D0D0D" w:themeColor="text1" w:themeTint="F2"/>
                <w:kern w:val="0"/>
                <w14:textFill>
                  <w14:solidFill>
                    <w14:schemeClr w14:val="tx1">
                      <w14:lumMod w14:val="95000"/>
                      <w14:lumOff w14:val="5000"/>
                    </w14:schemeClr>
                  </w14:solidFill>
                </w14:textFill>
              </w:rPr>
              <w:t>（8）</w:t>
            </w:r>
            <w:r>
              <w:rPr>
                <w:rFonts w:hint="eastAsia" w:ascii="宋体" w:hAnsi="宋体" w:cs="宋体"/>
                <w:color w:val="0D0D0D" w:themeColor="text1" w:themeTint="F2"/>
                <w14:textFill>
                  <w14:solidFill>
                    <w14:schemeClr w14:val="tx1">
                      <w14:lumMod w14:val="95000"/>
                      <w14:lumOff w14:val="5000"/>
                    </w14:schemeClr>
                  </w14:solidFill>
                </w14:textFill>
              </w:rPr>
              <w:t>环境风险应急预案</w:t>
            </w:r>
          </w:p>
          <w:p w14:paraId="45C2522A">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本项目归属中国石油新疆油田分公司勘探事业部管辖，应将项目实施区域纳入《中国石油新疆油田分公司勘探事业部突发环境事件应急预案》。</w:t>
            </w:r>
          </w:p>
          <w:p w14:paraId="4AD6F803">
            <w:pPr>
              <w:adjustRightInd w:val="0"/>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（9）结论</w:t>
            </w:r>
          </w:p>
          <w:p w14:paraId="364997D2">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期发生风险事故的概率较小，且制定了较为周全的风险事故防范措施和事故应急预案，当发生风险事故时立即启动事故应急预案，确保事故不扩大，避免对周边环境造成较大危害。在采取严格的安全防护和风险防范措施后，环境风险可控。</w:t>
            </w:r>
          </w:p>
          <w:p w14:paraId="4AE734E6">
            <w:pPr>
              <w:pStyle w:val="38"/>
              <w:ind w:firstLine="480"/>
              <w:rPr>
                <w:rFonts w:hint="eastAsia"/>
                <w:color w:val="0D0D0D" w:themeColor="text1" w:themeTint="F2"/>
                <w14:textFill>
                  <w14:solidFill>
                    <w14:schemeClr w14:val="tx1">
                      <w14:lumMod w14:val="95000"/>
                      <w14:lumOff w14:val="5000"/>
                    </w14:schemeClr>
                  </w14:solidFill>
                </w14:textFill>
              </w:rPr>
            </w:pPr>
            <w:bookmarkStart w:id="159" w:name="_Hlk213894950"/>
            <w:r>
              <w:rPr>
                <w:rFonts w:hint="eastAsia"/>
                <w:color w:val="0D0D0D" w:themeColor="text1" w:themeTint="F2"/>
                <w14:textFill>
                  <w14:solidFill>
                    <w14:schemeClr w14:val="tx1">
                      <w14:lumMod w14:val="95000"/>
                      <w14:lumOff w14:val="5000"/>
                    </w14:schemeClr>
                  </w14:solidFill>
                </w14:textFill>
              </w:rPr>
              <w:t>本项目环境风险简单分析一览表见下表。</w:t>
            </w:r>
          </w:p>
          <w:p w14:paraId="37ACDE72">
            <w:pPr>
              <w:pStyle w:val="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表</w:t>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w:instrText>
            </w:r>
            <w:r>
              <w:rPr>
                <w:rFonts w:hint="eastAsia"/>
                <w:color w:val="0D0D0D" w:themeColor="text1" w:themeTint="F2"/>
                <w14:textFill>
                  <w14:solidFill>
                    <w14:schemeClr w14:val="tx1">
                      <w14:lumMod w14:val="95000"/>
                      <w14:lumOff w14:val="5000"/>
                    </w14:schemeClr>
                  </w14:solidFill>
                </w14:textFill>
              </w:rPr>
              <w:instrText xml:space="preserve">SEQ 表 \* ARABIC</w:instrText>
            </w:r>
            <w:r>
              <w:rPr>
                <w:color w:val="0D0D0D" w:themeColor="text1" w:themeTint="F2"/>
                <w14:textFill>
                  <w14:solidFill>
                    <w14:schemeClr w14:val="tx1">
                      <w14:lumMod w14:val="95000"/>
                      <w14:lumOff w14:val="5000"/>
                    </w14:schemeClr>
                  </w14:solidFill>
                </w14:textFill>
              </w:rPr>
              <w:instrText xml:space="preserve"> </w:instrText>
            </w:r>
            <w:r>
              <w:rPr>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25</w:t>
            </w:r>
            <w:r>
              <w:rPr>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 xml:space="preserve">    环境风险简单分析一览表</w:t>
            </w:r>
          </w:p>
          <w:tbl>
            <w:tblPr>
              <w:tblStyle w:val="29"/>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505"/>
              <w:gridCol w:w="6398"/>
            </w:tblGrid>
            <w:tr w14:paraId="634BB0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05" w:type="dxa"/>
                  <w:vAlign w:val="center"/>
                </w:tcPr>
                <w:p w14:paraId="7DDE7EC5">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建设项目名称</w:t>
                  </w:r>
                </w:p>
              </w:tc>
              <w:tc>
                <w:tcPr>
                  <w:tcW w:w="6398" w:type="dxa"/>
                  <w:vAlign w:val="center"/>
                </w:tcPr>
                <w:p w14:paraId="63C3A2DC">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曙探1井勘探钻探工程</w:t>
                  </w:r>
                </w:p>
              </w:tc>
            </w:tr>
            <w:tr w14:paraId="7789EB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05" w:type="dxa"/>
                  <w:vAlign w:val="center"/>
                </w:tcPr>
                <w:p w14:paraId="69C9C0D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建设地点</w:t>
                  </w:r>
                </w:p>
              </w:tc>
              <w:tc>
                <w:tcPr>
                  <w:tcW w:w="6398" w:type="dxa"/>
                  <w:vAlign w:val="center"/>
                </w:tcPr>
                <w:p w14:paraId="7BF816A7">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新疆维吾尔自治区昌吉回族自治州呼图壁县</w:t>
                  </w:r>
                  <w:r>
                    <w:rPr>
                      <w:color w:val="0D0D0D" w:themeColor="text1" w:themeTint="F2"/>
                      <w14:textFill>
                        <w14:solidFill>
                          <w14:schemeClr w14:val="tx1">
                            <w14:lumMod w14:val="95000"/>
                            <w14:lumOff w14:val="5000"/>
                          </w14:schemeClr>
                        </w14:solidFill>
                      </w14:textFill>
                    </w:rPr>
                    <w:t>石梯子哈萨克族乡白杨河村</w:t>
                  </w:r>
                </w:p>
              </w:tc>
            </w:tr>
            <w:tr w14:paraId="1ECBD2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05" w:type="dxa"/>
                  <w:vAlign w:val="center"/>
                </w:tcPr>
                <w:p w14:paraId="012F5BB3">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地理坐标</w:t>
                  </w:r>
                </w:p>
              </w:tc>
              <w:tc>
                <w:tcPr>
                  <w:tcW w:w="6398" w:type="dxa"/>
                  <w:vAlign w:val="center"/>
                </w:tcPr>
                <w:p w14:paraId="10DD8F36">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坐标：</w:t>
                  </w:r>
                </w:p>
              </w:tc>
            </w:tr>
            <w:tr w14:paraId="077417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05" w:type="dxa"/>
                  <w:vAlign w:val="center"/>
                </w:tcPr>
                <w:p w14:paraId="0C5378D9">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主要危险物质及分布</w:t>
                  </w:r>
                </w:p>
              </w:tc>
              <w:tc>
                <w:tcPr>
                  <w:tcW w:w="6398" w:type="dxa"/>
                  <w:vAlign w:val="center"/>
                </w:tcPr>
                <w:p w14:paraId="794FDA3C">
                  <w:pPr>
                    <w:pStyle w:val="42"/>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主要危险物质为柴油、白油、原油、伴生气（主要成分为天然气）、伴生气中可能存在的少量硫化氢和危险废物（油基钻井岩屑、废润滑油、废润滑油桶、沾油废防渗材料）。</w:t>
                  </w:r>
                </w:p>
              </w:tc>
            </w:tr>
            <w:tr w14:paraId="74563F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05" w:type="dxa"/>
                  <w:vAlign w:val="center"/>
                </w:tcPr>
                <w:p w14:paraId="0BAC3C88">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环境影响途径及危害后果</w:t>
                  </w:r>
                </w:p>
              </w:tc>
              <w:tc>
                <w:tcPr>
                  <w:tcW w:w="6398" w:type="dxa"/>
                  <w:vAlign w:val="center"/>
                </w:tcPr>
                <w:p w14:paraId="699AD7D0">
                  <w:pPr>
                    <w:pStyle w:val="42"/>
                    <w:jc w:val="both"/>
                    <w:rPr>
                      <w:rFonts w:hint="eastAsia"/>
                      <w:color w:val="0D0D0D" w:themeColor="text1" w:themeTint="F2"/>
                      <w14:textFill>
                        <w14:solidFill>
                          <w14:schemeClr w14:val="tx1">
                            <w14:lumMod w14:val="95000"/>
                            <w14:lumOff w14:val="5000"/>
                          </w14:schemeClr>
                        </w14:solidFill>
                      </w14:textFill>
                    </w:rPr>
                  </w:pPr>
                  <w:r>
                    <w:rPr>
                      <w:rFonts w:hint="eastAsia"/>
                      <w:bCs/>
                      <w:color w:val="0D0D0D" w:themeColor="text1" w:themeTint="F2"/>
                      <w14:textFill>
                        <w14:solidFill>
                          <w14:schemeClr w14:val="tx1">
                            <w14:lumMod w14:val="95000"/>
                            <w14:lumOff w14:val="5000"/>
                          </w14:schemeClr>
                        </w14:solidFill>
                      </w14:textFill>
                    </w:rPr>
                    <w:t>柴油储罐、采出液储罐、废水储罐、钻井液储罐、废润滑油桶等发生破损造成柴油/采出液/废水/废润滑油/水基钻井液泄漏以及井喷事故造成采出液泄漏，柴油/采出液/废水/废润滑油/水基钻井液等泄漏后污染土壤，污染物有可能通过包气带渗漏进入地下含水层，污染土壤和地下水；泄漏的柴油/采出液/废润滑油若遇明火，发生火灾、爆炸，污染大气环境。</w:t>
                  </w:r>
                </w:p>
              </w:tc>
            </w:tr>
            <w:tr w14:paraId="437B09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05" w:type="dxa"/>
                  <w:vAlign w:val="center"/>
                </w:tcPr>
                <w:p w14:paraId="2BCBEB8D">
                  <w:pPr>
                    <w:pStyle w:val="42"/>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环境风险防范措施要求</w:t>
                  </w:r>
                </w:p>
              </w:tc>
              <w:tc>
                <w:tcPr>
                  <w:tcW w:w="6398" w:type="dxa"/>
                  <w:vAlign w:val="center"/>
                </w:tcPr>
                <w:p w14:paraId="4918477B">
                  <w:pPr>
                    <w:pStyle w:val="42"/>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①施工时应严格执行相关风险防范措施和规章制度，严禁违规操作加强设备维修与巡检，避免储罐泄漏事故的发生；②在井口安装井控装置，杜绝井喷的发生；③定期检查固井质量，发现固井质量不合格应及时采取措施，保证固井质量合格；④加强各类储罐及放喷管线的日常管理及安全检查；⑤加强施工期管理，严禁油田施工人员和车辆随意进入临时占地以外的区域；⑥应将本项目纳入《中国石油新疆油田分公司勘探事业部突发环境事件应急预案》。</w:t>
                  </w:r>
                </w:p>
              </w:tc>
            </w:tr>
            <w:bookmarkEnd w:id="159"/>
          </w:tbl>
          <w:p w14:paraId="33F5745D">
            <w:pPr>
              <w:pStyle w:val="38"/>
              <w:ind w:firstLine="480"/>
              <w:rPr>
                <w:rFonts w:hint="eastAsia"/>
                <w:color w:val="0D0D0D" w:themeColor="text1" w:themeTint="F2"/>
                <w14:textFill>
                  <w14:solidFill>
                    <w14:schemeClr w14:val="tx1">
                      <w14:lumMod w14:val="95000"/>
                      <w14:lumOff w14:val="5000"/>
                    </w14:schemeClr>
                  </w14:solidFill>
                </w14:textFill>
              </w:rPr>
            </w:pPr>
          </w:p>
        </w:tc>
      </w:tr>
      <w:tr w14:paraId="77E5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367" w:type="pct"/>
            <w:vAlign w:val="center"/>
          </w:tcPr>
          <w:p w14:paraId="7D3FB737">
            <w:pPr>
              <w:adjustRightInd w:val="0"/>
              <w:snapToGrid w:val="0"/>
              <w:spacing w:line="48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bCs/>
                <w:color w:val="0D0D0D" w:themeColor="text1" w:themeTint="F2"/>
                <w:spacing w:val="10"/>
                <w14:textFill>
                  <w14:solidFill>
                    <w14:schemeClr w14:val="tx1">
                      <w14:lumMod w14:val="95000"/>
                      <w14:lumOff w14:val="5000"/>
                    </w14:schemeClr>
                  </w14:solidFill>
                </w14:textFill>
              </w:rPr>
              <w:t>运营期生态环境保护措施</w:t>
            </w:r>
          </w:p>
        </w:tc>
        <w:tc>
          <w:tcPr>
            <w:tcW w:w="4633" w:type="pct"/>
            <w:vAlign w:val="center"/>
          </w:tcPr>
          <w:p w14:paraId="1064AE06">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根据试采结果决定新钻井是否转为生产井，若可转为生产井，则应当在产能开发建设前对其开展环境影响评价工作，编制环境影响评价文件；</w:t>
            </w:r>
            <w:bookmarkStart w:id="160" w:name="_Hlk213899059"/>
            <w:r>
              <w:rPr>
                <w:rFonts w:hint="eastAsia"/>
                <w:color w:val="0D0D0D" w:themeColor="text1" w:themeTint="F2"/>
                <w14:textFill>
                  <w14:solidFill>
                    <w14:schemeClr w14:val="tx1">
                      <w14:lumMod w14:val="95000"/>
                      <w14:lumOff w14:val="5000"/>
                    </w14:schemeClr>
                  </w14:solidFill>
                </w14:textFill>
              </w:rPr>
              <w:t>若不具备转产条件，则应根据《废弃井封井回填技术指南（试行）》</w:t>
            </w:r>
            <w:bookmarkStart w:id="161" w:name="OLE_LINK124"/>
            <w:r>
              <w:rPr>
                <w:rFonts w:hint="eastAsia"/>
                <w:color w:val="0D0D0D" w:themeColor="text1" w:themeTint="F2"/>
                <w14:textFill>
                  <w14:solidFill>
                    <w14:schemeClr w14:val="tx1">
                      <w14:lumMod w14:val="95000"/>
                      <w14:lumOff w14:val="5000"/>
                    </w14:schemeClr>
                  </w14:solidFill>
                </w14:textFill>
              </w:rPr>
              <w:t>《废弃井及长停井处置指南》（SY/T6646-2017）</w:t>
            </w:r>
            <w:bookmarkEnd w:id="161"/>
            <w:bookmarkStart w:id="162" w:name="OLE_LINK123"/>
            <w:r>
              <w:rPr>
                <w:rFonts w:hint="eastAsia"/>
                <w:color w:val="0D0D0D" w:themeColor="text1" w:themeTint="F2"/>
                <w14:textFill>
                  <w14:solidFill>
                    <w14:schemeClr w14:val="tx1">
                      <w14:lumMod w14:val="95000"/>
                      <w14:lumOff w14:val="5000"/>
                    </w14:schemeClr>
                  </w14:solidFill>
                </w14:textFill>
              </w:rPr>
              <w:t>、《陆上石油天然气生产环境保护推荐做法》（SY/T6628-2005）</w:t>
            </w:r>
            <w:bookmarkEnd w:id="162"/>
            <w:r>
              <w:rPr>
                <w:rFonts w:hint="eastAsia"/>
                <w:color w:val="0D0D0D" w:themeColor="text1" w:themeTint="F2"/>
                <w14:textFill>
                  <w14:solidFill>
                    <w14:schemeClr w14:val="tx1">
                      <w14:lumMod w14:val="95000"/>
                      <w14:lumOff w14:val="5000"/>
                    </w14:schemeClr>
                  </w14:solidFill>
                </w14:textFill>
              </w:rPr>
              <w:t>、《矿山生态环境保护与恢复治理技术规范（试行）》（HJ651-2013）和中国石油新疆油田分公司的</w:t>
            </w:r>
            <w:bookmarkStart w:id="163" w:name="OLE_LINK131"/>
            <w:r>
              <w:rPr>
                <w:rFonts w:hint="eastAsia"/>
                <w:color w:val="0D0D0D" w:themeColor="text1" w:themeTint="F2"/>
                <w14:textFill>
                  <w14:solidFill>
                    <w14:schemeClr w14:val="tx1">
                      <w14:lumMod w14:val="95000"/>
                      <w14:lumOff w14:val="5000"/>
                    </w14:schemeClr>
                  </w14:solidFill>
                </w14:textFill>
              </w:rPr>
              <w:t>相关要求对新钻井进行封堵，并拆除相关设施，确保无土壤及地下水环境污染遗留问题、废弃物均得到妥善处置，制定生态恢复方案</w:t>
            </w:r>
            <w:bookmarkEnd w:id="163"/>
            <w:r>
              <w:rPr>
                <w:rFonts w:hint="eastAsia"/>
                <w:color w:val="0D0D0D" w:themeColor="text1" w:themeTint="F2"/>
                <w14:textFill>
                  <w14:solidFill>
                    <w14:schemeClr w14:val="tx1">
                      <w14:lumMod w14:val="95000"/>
                      <w14:lumOff w14:val="5000"/>
                    </w14:schemeClr>
                  </w14:solidFill>
                </w14:textFill>
              </w:rPr>
              <w:t>，并做好以下生态保护措施：</w:t>
            </w:r>
          </w:p>
          <w:p w14:paraId="0174C52B">
            <w:pPr>
              <w:pStyle w:val="38"/>
              <w:ind w:firstLine="480"/>
              <w:rPr>
                <w:rFonts w:hint="eastAsia"/>
                <w:color w:val="0D0D0D" w:themeColor="text1" w:themeTint="F2"/>
                <w14:textFill>
                  <w14:solidFill>
                    <w14:schemeClr w14:val="tx1">
                      <w14:lumMod w14:val="95000"/>
                      <w14:lumOff w14:val="5000"/>
                    </w14:schemeClr>
                  </w14:solidFill>
                </w14:textFill>
              </w:rPr>
            </w:pPr>
            <w:bookmarkStart w:id="164" w:name="_Hlk140836626"/>
            <w:r>
              <w:rPr>
                <w:rFonts w:hint="eastAsia"/>
                <w:color w:val="0D0D0D" w:themeColor="text1" w:themeTint="F2"/>
                <w14:textFill>
                  <w14:solidFill>
                    <w14:schemeClr w14:val="tx1">
                      <w14:lumMod w14:val="95000"/>
                      <w14:lumOff w14:val="5000"/>
                    </w14:schemeClr>
                  </w14:solidFill>
                </w14:textFill>
              </w:rPr>
              <w:t>（1）封井</w:t>
            </w:r>
            <w:r>
              <w:rPr>
                <w:color w:val="0D0D0D" w:themeColor="text1" w:themeTint="F2"/>
                <w14:textFill>
                  <w14:solidFill>
                    <w14:schemeClr w14:val="tx1">
                      <w14:lumMod w14:val="95000"/>
                      <w14:lumOff w14:val="5000"/>
                    </w14:schemeClr>
                  </w14:solidFill>
                </w14:textFill>
              </w:rPr>
              <w:t>材料应无污染，不得使用可能对地下水造成污染的材料</w:t>
            </w:r>
            <w:r>
              <w:rPr>
                <w:rFonts w:hint="eastAsia"/>
                <w:color w:val="0D0D0D" w:themeColor="text1" w:themeTint="F2"/>
                <w14:textFill>
                  <w14:solidFill>
                    <w14:schemeClr w14:val="tx1">
                      <w14:lumMod w14:val="95000"/>
                      <w14:lumOff w14:val="5000"/>
                    </w14:schemeClr>
                  </w14:solidFill>
                </w14:textFill>
              </w:rPr>
              <w:t>。</w:t>
            </w:r>
          </w:p>
          <w:p w14:paraId="77BCC3CE">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w:t>
            </w:r>
            <w:r>
              <w:rPr>
                <w:color w:val="0D0D0D" w:themeColor="text1" w:themeTint="F2"/>
                <w14:textFill>
                  <w14:solidFill>
                    <w14:schemeClr w14:val="tx1">
                      <w14:lumMod w14:val="95000"/>
                      <w14:lumOff w14:val="5000"/>
                    </w14:schemeClr>
                  </w14:solidFill>
                </w14:textFill>
              </w:rPr>
              <w:t>应开展井盖封堵或密闭填充，</w:t>
            </w:r>
            <w:r>
              <w:rPr>
                <w:rFonts w:hint="eastAsia"/>
                <w:color w:val="0D0D0D" w:themeColor="text1" w:themeTint="F2"/>
                <w14:textFill>
                  <w14:solidFill>
                    <w14:schemeClr w14:val="tx1">
                      <w14:lumMod w14:val="95000"/>
                      <w14:lumOff w14:val="5000"/>
                    </w14:schemeClr>
                  </w14:solidFill>
                </w14:textFill>
              </w:rPr>
              <w:t>对废弃井进行封井回填并做好井口处置，</w:t>
            </w:r>
            <w:r>
              <w:rPr>
                <w:color w:val="0D0D0D" w:themeColor="text1" w:themeTint="F2"/>
                <w14:textFill>
                  <w14:solidFill>
                    <w14:schemeClr w14:val="tx1">
                      <w14:lumMod w14:val="95000"/>
                      <w14:lumOff w14:val="5000"/>
                    </w14:schemeClr>
                  </w14:solidFill>
                </w14:textFill>
              </w:rPr>
              <w:t>确保地表污染物不进入井内，各层位地下水不连通</w:t>
            </w:r>
            <w:r>
              <w:rPr>
                <w:rFonts w:hint="eastAsia"/>
                <w:color w:val="0D0D0D" w:themeColor="text1" w:themeTint="F2"/>
                <w14:textFill>
                  <w14:solidFill>
                    <w14:schemeClr w14:val="tx1">
                      <w14:lumMod w14:val="95000"/>
                      <w14:lumOff w14:val="5000"/>
                    </w14:schemeClr>
                  </w14:solidFill>
                </w14:textFill>
              </w:rPr>
              <w:t>。</w:t>
            </w:r>
          </w:p>
          <w:p w14:paraId="1FB0B717">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（3）</w:t>
            </w:r>
            <w:r>
              <w:rPr>
                <w:color w:val="0D0D0D" w:themeColor="text1" w:themeTint="F2"/>
                <w14:textFill>
                  <w14:solidFill>
                    <w14:schemeClr w14:val="tx1">
                      <w14:lumMod w14:val="95000"/>
                      <w14:lumOff w14:val="5000"/>
                    </w14:schemeClr>
                  </w14:solidFill>
                </w14:textFill>
              </w:rPr>
              <w:t>确保封井质量合格</w:t>
            </w:r>
            <w:r>
              <w:rPr>
                <w:rFonts w:hint="eastAsia"/>
                <w:color w:val="0D0D0D" w:themeColor="text1" w:themeTint="F2"/>
                <w14:textFill>
                  <w14:solidFill>
                    <w14:schemeClr w14:val="tx1">
                      <w14:lumMod w14:val="95000"/>
                      <w14:lumOff w14:val="5000"/>
                    </w14:schemeClr>
                  </w14:solidFill>
                </w14:textFill>
              </w:rPr>
              <w:t>。</w:t>
            </w:r>
          </w:p>
          <w:p w14:paraId="3B063326">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（4）封井作业结束后及时清理作业现场</w:t>
            </w:r>
            <w:r>
              <w:rPr>
                <w:color w:val="0D0D0D" w:themeColor="text1" w:themeTint="F2"/>
                <w14:textFill>
                  <w14:solidFill>
                    <w14:schemeClr w14:val="tx1">
                      <w14:lumMod w14:val="95000"/>
                      <w14:lumOff w14:val="5000"/>
                    </w14:schemeClr>
                  </w14:solidFill>
                </w14:textFill>
              </w:rPr>
              <w:t>，各</w:t>
            </w:r>
            <w:r>
              <w:rPr>
                <w:rFonts w:hint="eastAsia"/>
                <w:color w:val="0D0D0D" w:themeColor="text1" w:themeTint="F2"/>
                <w14:textFill>
                  <w14:solidFill>
                    <w14:schemeClr w14:val="tx1">
                      <w14:lumMod w14:val="95000"/>
                      <w14:lumOff w14:val="5000"/>
                    </w14:schemeClr>
                  </w14:solidFill>
                </w14:textFill>
              </w:rPr>
              <w:t>个</w:t>
            </w:r>
            <w:r>
              <w:rPr>
                <w:color w:val="0D0D0D" w:themeColor="text1" w:themeTint="F2"/>
                <w14:textFill>
                  <w14:solidFill>
                    <w14:schemeClr w14:val="tx1">
                      <w14:lumMod w14:val="95000"/>
                      <w14:lumOff w14:val="5000"/>
                    </w14:schemeClr>
                  </w14:solidFill>
                </w14:textFill>
              </w:rPr>
              <w:t>建构筑物和基础设施应全部拆除</w:t>
            </w: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做到“工完、料尽、场地清”，确保采取的封井措施有效可行</w:t>
            </w: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各</w:t>
            </w:r>
            <w:r>
              <w:rPr>
                <w:rFonts w:hint="eastAsia"/>
                <w:color w:val="0D0D0D" w:themeColor="text1" w:themeTint="F2"/>
                <w14:textFill>
                  <w14:solidFill>
                    <w14:schemeClr w14:val="tx1">
                      <w14:lumMod w14:val="95000"/>
                      <w14:lumOff w14:val="5000"/>
                    </w14:schemeClr>
                  </w14:solidFill>
                </w14:textFill>
              </w:rPr>
              <w:t>个</w:t>
            </w:r>
            <w:r>
              <w:rPr>
                <w:color w:val="0D0D0D" w:themeColor="text1" w:themeTint="F2"/>
                <w14:textFill>
                  <w14:solidFill>
                    <w14:schemeClr w14:val="tx1">
                      <w14:lumMod w14:val="95000"/>
                      <w14:lumOff w14:val="5000"/>
                    </w14:schemeClr>
                  </w14:solidFill>
                </w14:textFill>
              </w:rPr>
              <w:t>建构筑物和基础设施</w:t>
            </w:r>
            <w:r>
              <w:rPr>
                <w:rFonts w:hint="eastAsia"/>
                <w:color w:val="0D0D0D" w:themeColor="text1" w:themeTint="F2"/>
                <w14:textFill>
                  <w14:solidFill>
                    <w14:schemeClr w14:val="tx1">
                      <w14:lumMod w14:val="95000"/>
                      <w14:lumOff w14:val="5000"/>
                    </w14:schemeClr>
                  </w14:solidFill>
                </w14:textFill>
              </w:rPr>
              <w:t>拆除过程中会产生一定扬尘，应避开大风天气施工。</w:t>
            </w:r>
            <w:bookmarkEnd w:id="160"/>
            <w:bookmarkEnd w:id="164"/>
          </w:p>
        </w:tc>
      </w:tr>
      <w:tr w14:paraId="6989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7" w:type="pct"/>
            <w:vAlign w:val="center"/>
          </w:tcPr>
          <w:p w14:paraId="2B174975">
            <w:pPr>
              <w:adjustRightInd w:val="0"/>
              <w:snapToGrid w:val="0"/>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bCs/>
                <w:color w:val="0D0D0D" w:themeColor="text1" w:themeTint="F2"/>
                <w14:textFill>
                  <w14:solidFill>
                    <w14:schemeClr w14:val="tx1">
                      <w14:lumMod w14:val="95000"/>
                      <w14:lumOff w14:val="5000"/>
                    </w14:schemeClr>
                  </w14:solidFill>
                </w14:textFill>
              </w:rPr>
              <w:t>其他</w:t>
            </w:r>
          </w:p>
        </w:tc>
        <w:tc>
          <w:tcPr>
            <w:tcW w:w="4633" w:type="pct"/>
            <w:vAlign w:val="center"/>
          </w:tcPr>
          <w:p w14:paraId="3769E326">
            <w:pPr>
              <w:snapToGrid w:val="0"/>
              <w:spacing w:line="48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r>
              <w:rPr>
                <w:rFonts w:hint="eastAsia" w:ascii="宋体" w:hAnsi="宋体" w:cs="宋体"/>
                <w:b/>
                <w:bCs/>
                <w:color w:val="0D0D0D" w:themeColor="text1" w:themeTint="F2"/>
                <w14:textFill>
                  <w14:solidFill>
                    <w14:schemeClr w14:val="tx1">
                      <w14:lumMod w14:val="95000"/>
                      <w14:lumOff w14:val="5000"/>
                    </w14:schemeClr>
                  </w14:solidFill>
                </w14:textFill>
              </w:rPr>
              <w:t>1、环境管理</w:t>
            </w:r>
          </w:p>
          <w:p w14:paraId="743BF3E1">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项目实施过程中，将根据中国石油新疆油田分公司在环境管理上建立的健康、安全与环境管理体系（HSE管理体系），落实各项环保和安全措施，减少项目开发对周围环境的影响。本报告提出的环境管理主要内容见下</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REF _Ref206183944 \h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表26</w:t>
            </w:r>
            <w:r>
              <w:rPr>
                <w:rFonts w:hint="eastAsia"/>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w:t>
            </w:r>
          </w:p>
          <w:p w14:paraId="36A09C88">
            <w:pPr>
              <w:pStyle w:val="8"/>
              <w:rPr>
                <w:rFonts w:hint="eastAsia"/>
                <w:color w:val="0D0D0D" w:themeColor="text1" w:themeTint="F2"/>
                <w14:textFill>
                  <w14:solidFill>
                    <w14:schemeClr w14:val="tx1">
                      <w14:lumMod w14:val="95000"/>
                      <w14:lumOff w14:val="5000"/>
                    </w14:schemeClr>
                  </w14:solidFill>
                </w14:textFill>
              </w:rPr>
            </w:pPr>
            <w:bookmarkStart w:id="165" w:name="_Ref206183944"/>
            <w:r>
              <w:rPr>
                <w:rFonts w:hint="eastAsia"/>
                <w:color w:val="0D0D0D" w:themeColor="text1" w:themeTint="F2"/>
                <w14:textFill>
                  <w14:solidFill>
                    <w14:schemeClr w14:val="tx1">
                      <w14:lumMod w14:val="95000"/>
                      <w14:lumOff w14:val="5000"/>
                    </w14:schemeClr>
                  </w14:solidFill>
                </w14:textFill>
              </w:rPr>
              <w:t>表</w:t>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w:instrText>
            </w:r>
            <w:r>
              <w:rPr>
                <w:rFonts w:hint="eastAsia"/>
                <w:color w:val="0D0D0D" w:themeColor="text1" w:themeTint="F2"/>
                <w14:textFill>
                  <w14:solidFill>
                    <w14:schemeClr w14:val="tx1">
                      <w14:lumMod w14:val="95000"/>
                      <w14:lumOff w14:val="5000"/>
                    </w14:schemeClr>
                  </w14:solidFill>
                </w14:textFill>
              </w:rPr>
              <w:instrText xml:space="preserve">SEQ 表 \* ARABIC</w:instrText>
            </w:r>
            <w:r>
              <w:rPr>
                <w:color w:val="0D0D0D" w:themeColor="text1" w:themeTint="F2"/>
                <w14:textFill>
                  <w14:solidFill>
                    <w14:schemeClr w14:val="tx1">
                      <w14:lumMod w14:val="95000"/>
                      <w14:lumOff w14:val="5000"/>
                    </w14:schemeClr>
                  </w14:solidFill>
                </w14:textFill>
              </w:rPr>
              <w:instrText xml:space="preserve"> </w:instrText>
            </w:r>
            <w:r>
              <w:rPr>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26</w:t>
            </w:r>
            <w:r>
              <w:rPr>
                <w:color w:val="0D0D0D" w:themeColor="text1" w:themeTint="F2"/>
                <w14:textFill>
                  <w14:solidFill>
                    <w14:schemeClr w14:val="tx1">
                      <w14:lumMod w14:val="95000"/>
                      <w14:lumOff w14:val="5000"/>
                    </w14:schemeClr>
                  </w14:solidFill>
                </w14:textFill>
              </w:rPr>
              <w:fldChar w:fldCharType="end"/>
            </w:r>
            <w:bookmarkEnd w:id="165"/>
            <w:r>
              <w:rPr>
                <w:rFonts w:hint="eastAsia"/>
                <w:color w:val="0D0D0D" w:themeColor="text1" w:themeTint="F2"/>
                <w14:textFill>
                  <w14:solidFill>
                    <w14:schemeClr w14:val="tx1">
                      <w14:lumMod w14:val="95000"/>
                      <w14:lumOff w14:val="5000"/>
                    </w14:schemeClr>
                  </w14:solidFill>
                </w14:textFill>
              </w:rPr>
              <w:t xml:space="preserve">    施工期环境保护行动计划表</w:t>
            </w:r>
          </w:p>
          <w:tbl>
            <w:tblPr>
              <w:tblStyle w:val="29"/>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511"/>
              <w:gridCol w:w="992"/>
              <w:gridCol w:w="6518"/>
            </w:tblGrid>
            <w:tr w14:paraId="089C676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19" w:type="pct"/>
                  <w:tcMar>
                    <w:left w:w="0" w:type="dxa"/>
                    <w:right w:w="0" w:type="dxa"/>
                  </w:tcMar>
                  <w:vAlign w:val="center"/>
                </w:tcPr>
                <w:p w14:paraId="3CD1F50A">
                  <w:pPr>
                    <w:pStyle w:val="42"/>
                    <w:spacing w:line="240" w:lineRule="atLeas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序号</w:t>
                  </w:r>
                </w:p>
              </w:tc>
              <w:tc>
                <w:tcPr>
                  <w:tcW w:w="618" w:type="pct"/>
                  <w:tcMar>
                    <w:left w:w="0" w:type="dxa"/>
                    <w:right w:w="0" w:type="dxa"/>
                  </w:tcMar>
                  <w:vAlign w:val="center"/>
                </w:tcPr>
                <w:p w14:paraId="5DB258BF">
                  <w:pPr>
                    <w:pStyle w:val="42"/>
                    <w:spacing w:line="240" w:lineRule="atLeas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影响因素</w:t>
                  </w:r>
                </w:p>
              </w:tc>
              <w:tc>
                <w:tcPr>
                  <w:tcW w:w="4062" w:type="pct"/>
                  <w:tcMar>
                    <w:left w:w="0" w:type="dxa"/>
                    <w:right w:w="0" w:type="dxa"/>
                  </w:tcMar>
                  <w:vAlign w:val="center"/>
                </w:tcPr>
                <w:p w14:paraId="1E03889B">
                  <w:pPr>
                    <w:pStyle w:val="42"/>
                    <w:spacing w:line="240" w:lineRule="atLeas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环保措施</w:t>
                  </w:r>
                </w:p>
              </w:tc>
            </w:tr>
            <w:tr w14:paraId="19BFEA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19" w:type="pct"/>
                  <w:tcMar>
                    <w:left w:w="0" w:type="dxa"/>
                    <w:right w:w="0" w:type="dxa"/>
                  </w:tcMar>
                  <w:vAlign w:val="center"/>
                </w:tcPr>
                <w:p w14:paraId="7337534C">
                  <w:pPr>
                    <w:pStyle w:val="42"/>
                    <w:spacing w:line="240" w:lineRule="atLeas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w:t>
                  </w:r>
                </w:p>
              </w:tc>
              <w:tc>
                <w:tcPr>
                  <w:tcW w:w="618" w:type="pct"/>
                  <w:tcMar>
                    <w:left w:w="0" w:type="dxa"/>
                    <w:right w:w="0" w:type="dxa"/>
                  </w:tcMar>
                  <w:vAlign w:val="center"/>
                </w:tcPr>
                <w:p w14:paraId="2C8380FF">
                  <w:pPr>
                    <w:pStyle w:val="42"/>
                    <w:spacing w:line="240" w:lineRule="atLeas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大气环境</w:t>
                  </w:r>
                </w:p>
              </w:tc>
              <w:tc>
                <w:tcPr>
                  <w:tcW w:w="4062" w:type="pct"/>
                  <w:tcMar>
                    <w:left w:w="0" w:type="dxa"/>
                    <w:right w:w="0" w:type="dxa"/>
                  </w:tcMar>
                  <w:vAlign w:val="center"/>
                </w:tcPr>
                <w:p w14:paraId="4BF8902D">
                  <w:pPr>
                    <w:pStyle w:val="42"/>
                    <w:spacing w:line="240" w:lineRule="atLeast"/>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施工单位在钻井时应使用符合国家标准的油品，并定期对设备进行保养维护，采出液采用密闭装载方式，柴油储罐采用固定顶罐。</w:t>
                  </w:r>
                </w:p>
              </w:tc>
            </w:tr>
            <w:tr w14:paraId="47E642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19" w:type="pct"/>
                  <w:tcMar>
                    <w:left w:w="0" w:type="dxa"/>
                    <w:right w:w="0" w:type="dxa"/>
                  </w:tcMar>
                  <w:vAlign w:val="center"/>
                </w:tcPr>
                <w:p w14:paraId="72946719">
                  <w:pPr>
                    <w:pStyle w:val="42"/>
                    <w:spacing w:line="240" w:lineRule="atLeas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w:t>
                  </w:r>
                </w:p>
              </w:tc>
              <w:tc>
                <w:tcPr>
                  <w:tcW w:w="618" w:type="pct"/>
                  <w:tcMar>
                    <w:left w:w="0" w:type="dxa"/>
                    <w:right w:w="0" w:type="dxa"/>
                  </w:tcMar>
                  <w:vAlign w:val="center"/>
                </w:tcPr>
                <w:p w14:paraId="42441D2C">
                  <w:pPr>
                    <w:pStyle w:val="42"/>
                    <w:spacing w:line="240" w:lineRule="atLeas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声环境</w:t>
                  </w:r>
                </w:p>
              </w:tc>
              <w:tc>
                <w:tcPr>
                  <w:tcW w:w="4062" w:type="pct"/>
                  <w:tcMar>
                    <w:left w:w="0" w:type="dxa"/>
                    <w:right w:w="0" w:type="dxa"/>
                  </w:tcMar>
                  <w:vAlign w:val="center"/>
                </w:tcPr>
                <w:p w14:paraId="4A1FFAD3">
                  <w:pPr>
                    <w:pStyle w:val="42"/>
                    <w:spacing w:line="240" w:lineRule="atLeast"/>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施工单位应使用低噪声的施工设备、机械，并定期进行检修和维护，使其处于运行良好的状态。</w:t>
                  </w:r>
                </w:p>
              </w:tc>
            </w:tr>
            <w:tr w14:paraId="585CF6D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19" w:type="pct"/>
                  <w:tcMar>
                    <w:left w:w="0" w:type="dxa"/>
                    <w:right w:w="0" w:type="dxa"/>
                  </w:tcMar>
                  <w:vAlign w:val="center"/>
                </w:tcPr>
                <w:p w14:paraId="678B438A">
                  <w:pPr>
                    <w:pStyle w:val="42"/>
                    <w:spacing w:line="240" w:lineRule="atLeas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3</w:t>
                  </w:r>
                </w:p>
              </w:tc>
              <w:tc>
                <w:tcPr>
                  <w:tcW w:w="618" w:type="pct"/>
                  <w:tcMar>
                    <w:left w:w="0" w:type="dxa"/>
                    <w:right w:w="0" w:type="dxa"/>
                  </w:tcMar>
                  <w:vAlign w:val="center"/>
                </w:tcPr>
                <w:p w14:paraId="64AAF9B8">
                  <w:pPr>
                    <w:pStyle w:val="42"/>
                    <w:spacing w:line="240" w:lineRule="atLeas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水环境和土壤环境</w:t>
                  </w:r>
                </w:p>
              </w:tc>
              <w:tc>
                <w:tcPr>
                  <w:tcW w:w="4062" w:type="pct"/>
                  <w:tcMar>
                    <w:left w:w="0" w:type="dxa"/>
                    <w:right w:w="0" w:type="dxa"/>
                  </w:tcMar>
                  <w:vAlign w:val="center"/>
                </w:tcPr>
                <w:p w14:paraId="07941E59">
                  <w:pPr>
                    <w:pStyle w:val="42"/>
                    <w:spacing w:line="240" w:lineRule="atLeast"/>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钻井液采用不落地设备进行处理后回用于钻井液配置，不外排；试油期废水收集至地面储罐后由罐车拉运至采油一厂红山嘴原油处理站采出水处理系统处理；生活污水经临时防渗收集池收集暂存，清运至呼图壁县丰泉污水处理厂。做好关键区域的防渗措施；采用套管与地层隔离开、并在套管与地层之间注入水泥进行固井，且固井质量合格；各类废水和固体废物得到妥善处置。</w:t>
                  </w:r>
                </w:p>
              </w:tc>
            </w:tr>
            <w:tr w14:paraId="611F7FD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19" w:type="pct"/>
                  <w:tcMar>
                    <w:left w:w="0" w:type="dxa"/>
                    <w:right w:w="0" w:type="dxa"/>
                  </w:tcMar>
                  <w:vAlign w:val="center"/>
                </w:tcPr>
                <w:p w14:paraId="0176DDB8">
                  <w:pPr>
                    <w:pStyle w:val="42"/>
                    <w:spacing w:line="240" w:lineRule="atLeas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4</w:t>
                  </w:r>
                </w:p>
              </w:tc>
              <w:tc>
                <w:tcPr>
                  <w:tcW w:w="618" w:type="pct"/>
                  <w:tcMar>
                    <w:left w:w="0" w:type="dxa"/>
                    <w:right w:w="0" w:type="dxa"/>
                  </w:tcMar>
                  <w:vAlign w:val="center"/>
                </w:tcPr>
                <w:p w14:paraId="48248B20">
                  <w:pPr>
                    <w:pStyle w:val="42"/>
                    <w:spacing w:line="240" w:lineRule="atLeas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固体废物</w:t>
                  </w:r>
                </w:p>
              </w:tc>
              <w:tc>
                <w:tcPr>
                  <w:tcW w:w="4062" w:type="pct"/>
                  <w:tcMar>
                    <w:left w:w="0" w:type="dxa"/>
                    <w:right w:w="0" w:type="dxa"/>
                  </w:tcMar>
                  <w:vAlign w:val="center"/>
                </w:tcPr>
                <w:p w14:paraId="3CFA15B4">
                  <w:pPr>
                    <w:pStyle w:val="42"/>
                    <w:spacing w:line="240" w:lineRule="atLeast"/>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生活垃圾由垃圾箱集中收集后定期清运至呼图壁县生活垃圾填埋场。钻井期产生的水基钻井岩屑暂存于水基钻井岩屑方罐中，定期委托岩屑处置单位处置；</w:t>
                  </w:r>
                  <w:r>
                    <w:rPr>
                      <w:color w:val="0D0D0D" w:themeColor="text1" w:themeTint="F2"/>
                      <w14:textFill>
                        <w14:solidFill>
                          <w14:schemeClr w14:val="tx1">
                            <w14:lumMod w14:val="95000"/>
                            <w14:lumOff w14:val="5000"/>
                          </w14:schemeClr>
                        </w14:solidFill>
                      </w14:textFill>
                    </w:rPr>
                    <w:t>油基钻井岩屑暂存于专用储罐，沾油废防渗材料、废润滑油和废润滑油桶分区暂存在井场的危险废物贮存点，油基钻井岩屑</w:t>
                  </w:r>
                  <w:r>
                    <w:rPr>
                      <w:rFonts w:hint="eastAsia"/>
                      <w:color w:val="0D0D0D" w:themeColor="text1" w:themeTint="F2"/>
                      <w14:textFill>
                        <w14:solidFill>
                          <w14:schemeClr w14:val="tx1">
                            <w14:lumMod w14:val="95000"/>
                            <w14:lumOff w14:val="5000"/>
                          </w14:schemeClr>
                        </w14:solidFill>
                      </w14:textFill>
                    </w:rPr>
                    <w:t>、沾油废防渗材料、废润滑油和废润滑油桶定期由具有相应危废处置资质的单位处置。</w:t>
                  </w:r>
                </w:p>
              </w:tc>
            </w:tr>
            <w:tr w14:paraId="4308562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19" w:type="pct"/>
                  <w:tcMar>
                    <w:left w:w="0" w:type="dxa"/>
                    <w:right w:w="0" w:type="dxa"/>
                  </w:tcMar>
                  <w:vAlign w:val="center"/>
                </w:tcPr>
                <w:p w14:paraId="10785910">
                  <w:pPr>
                    <w:pStyle w:val="42"/>
                    <w:spacing w:line="240" w:lineRule="atLeas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5</w:t>
                  </w:r>
                </w:p>
              </w:tc>
              <w:tc>
                <w:tcPr>
                  <w:tcW w:w="618" w:type="pct"/>
                  <w:tcMar>
                    <w:left w:w="0" w:type="dxa"/>
                    <w:right w:w="0" w:type="dxa"/>
                  </w:tcMar>
                  <w:vAlign w:val="center"/>
                </w:tcPr>
                <w:p w14:paraId="73FD7B3F">
                  <w:pPr>
                    <w:pStyle w:val="42"/>
                    <w:spacing w:line="240" w:lineRule="atLeas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生态环境</w:t>
                  </w:r>
                </w:p>
              </w:tc>
              <w:tc>
                <w:tcPr>
                  <w:tcW w:w="4062" w:type="pct"/>
                  <w:tcMar>
                    <w:left w:w="0" w:type="dxa"/>
                    <w:right w:w="0" w:type="dxa"/>
                  </w:tcMar>
                  <w:vAlign w:val="center"/>
                </w:tcPr>
                <w:p w14:paraId="5E6E282E">
                  <w:pPr>
                    <w:pStyle w:val="42"/>
                    <w:spacing w:line="240" w:lineRule="atLeast"/>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用地面积按实际征地面积划定，不得超过规定面积；合理安排施工时间，避免大风天气施工；施工车辆严格按规定路线行驶，严禁随意开道，碾压植被、扰动土壤，严禁破坏植被、捕杀野生动物；施工结束后应对临时占地进行清理、平整，植被自然恢复；对临时占地范围内的生态损失进行经济补偿。</w:t>
                  </w:r>
                </w:p>
              </w:tc>
            </w:tr>
            <w:tr w14:paraId="61479F8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19" w:type="pct"/>
                  <w:tcMar>
                    <w:left w:w="0" w:type="dxa"/>
                    <w:right w:w="0" w:type="dxa"/>
                  </w:tcMar>
                  <w:vAlign w:val="center"/>
                </w:tcPr>
                <w:p w14:paraId="31DD45FF">
                  <w:pPr>
                    <w:pStyle w:val="42"/>
                    <w:spacing w:line="240" w:lineRule="atLeas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6</w:t>
                  </w:r>
                </w:p>
              </w:tc>
              <w:tc>
                <w:tcPr>
                  <w:tcW w:w="618" w:type="pct"/>
                  <w:tcMar>
                    <w:left w:w="0" w:type="dxa"/>
                    <w:right w:w="0" w:type="dxa"/>
                  </w:tcMar>
                  <w:vAlign w:val="center"/>
                </w:tcPr>
                <w:p w14:paraId="10D313D8">
                  <w:pPr>
                    <w:pStyle w:val="42"/>
                    <w:spacing w:line="240" w:lineRule="atLeast"/>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环境管理</w:t>
                  </w:r>
                </w:p>
              </w:tc>
              <w:tc>
                <w:tcPr>
                  <w:tcW w:w="4062" w:type="pct"/>
                  <w:tcMar>
                    <w:left w:w="0" w:type="dxa"/>
                    <w:right w:w="0" w:type="dxa"/>
                  </w:tcMar>
                  <w:vAlign w:val="center"/>
                </w:tcPr>
                <w:p w14:paraId="0CACEE88">
                  <w:pPr>
                    <w:pStyle w:val="42"/>
                    <w:spacing w:line="240" w:lineRule="atLeast"/>
                    <w:jc w:val="both"/>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单位应建立环境保护档案，保存施工前后项目区的影像资料，使施工全过程各类污染物产生、去向和各个污染防治措施及实施情况均记录在案。建设单位要求施工单位在钻井工程开工前进行环保自查，建设单位对施工单位钻井期间进行环保日常检查并做好记录；完工交井前，建设单位主管部门现场验收，合格后方可记录为完工，做到工完料净场地清，并做好记录。</w:t>
                  </w:r>
                </w:p>
              </w:tc>
            </w:tr>
          </w:tbl>
          <w:p w14:paraId="7745D10C">
            <w:pPr>
              <w:spacing w:line="31" w:lineRule="exact"/>
              <w:rPr>
                <w:color w:val="0D0D0D" w:themeColor="text1" w:themeTint="F2"/>
                <w14:textFill>
                  <w14:solidFill>
                    <w14:schemeClr w14:val="tx1">
                      <w14:lumMod w14:val="95000"/>
                      <w14:lumOff w14:val="5000"/>
                    </w14:schemeClr>
                  </w14:solidFill>
                </w14:textFill>
              </w:rPr>
            </w:pPr>
            <w:bookmarkStart w:id="166" w:name="_Hlk183042634"/>
          </w:p>
          <w:p w14:paraId="0A276391">
            <w:pPr>
              <w:pStyle w:val="38"/>
              <w:ind w:firstLine="482"/>
              <w:rPr>
                <w:rFonts w:hint="eastAsia"/>
                <w:b/>
                <w:bCs/>
                <w:color w:val="0D0D0D" w:themeColor="text1" w:themeTint="F2"/>
                <w14:textFill>
                  <w14:solidFill>
                    <w14:schemeClr w14:val="tx1">
                      <w14:lumMod w14:val="95000"/>
                      <w14:lumOff w14:val="5000"/>
                    </w14:schemeClr>
                  </w14:solidFill>
                </w14:textFill>
              </w:rPr>
            </w:pPr>
            <w:r>
              <w:rPr>
                <w:rFonts w:hint="eastAsia"/>
                <w:b/>
                <w:bCs/>
                <w:color w:val="0D0D0D" w:themeColor="text1" w:themeTint="F2"/>
                <w14:textFill>
                  <w14:solidFill>
                    <w14:schemeClr w14:val="tx1">
                      <w14:lumMod w14:val="95000"/>
                      <w14:lumOff w14:val="5000"/>
                    </w14:schemeClr>
                  </w14:solidFill>
                </w14:textFill>
              </w:rPr>
              <w:t>2、环保标识</w:t>
            </w:r>
          </w:p>
          <w:bookmarkEnd w:id="166"/>
          <w:p w14:paraId="5CBC8CBD">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钻井井场为标准化设计，井场进场处应设警示牌，危险废物贮存点应设危险废物标识。示例见下表。</w:t>
            </w:r>
          </w:p>
          <w:p w14:paraId="487012B0">
            <w:pPr>
              <w:pStyle w:val="8"/>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表</w:t>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w:instrText>
            </w:r>
            <w:r>
              <w:rPr>
                <w:rFonts w:hint="eastAsia"/>
                <w:color w:val="0D0D0D" w:themeColor="text1" w:themeTint="F2"/>
                <w14:textFill>
                  <w14:solidFill>
                    <w14:schemeClr w14:val="tx1">
                      <w14:lumMod w14:val="95000"/>
                      <w14:lumOff w14:val="5000"/>
                    </w14:schemeClr>
                  </w14:solidFill>
                </w14:textFill>
              </w:rPr>
              <w:instrText xml:space="preserve">SEQ 表 \* ARABIC</w:instrText>
            </w:r>
            <w:r>
              <w:rPr>
                <w:color w:val="0D0D0D" w:themeColor="text1" w:themeTint="F2"/>
                <w14:textFill>
                  <w14:solidFill>
                    <w14:schemeClr w14:val="tx1">
                      <w14:lumMod w14:val="95000"/>
                      <w14:lumOff w14:val="5000"/>
                    </w14:schemeClr>
                  </w14:solidFill>
                </w14:textFill>
              </w:rPr>
              <w:instrText xml:space="preserve"> </w:instrText>
            </w:r>
            <w:r>
              <w:rPr>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27</w:t>
            </w:r>
            <w:r>
              <w:rPr>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 xml:space="preserve">    危险废物标识</w:t>
            </w:r>
          </w:p>
          <w:tbl>
            <w:tblPr>
              <w:tblStyle w:val="29"/>
              <w:tblW w:w="5000" w:type="pct"/>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97"/>
              <w:gridCol w:w="4124"/>
            </w:tblGrid>
            <w:tr w14:paraId="090C01A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2429" w:type="pct"/>
                  <w:tcBorders>
                    <w:right w:val="single" w:color="auto" w:sz="12" w:space="0"/>
                  </w:tcBorders>
                  <w:vAlign w:val="center"/>
                </w:tcPr>
                <w:p w14:paraId="0E89D696">
                  <w:pPr>
                    <w:pStyle w:val="108"/>
                    <w:ind w:firstLine="480"/>
                    <w:rPr>
                      <w:rFonts w:hint="eastAsia" w:ascii="宋体" w:hAnsi="宋体" w:eastAsia="宋体" w:cs="宋体"/>
                      <w:color w:val="0D0D0D" w:themeColor="text1" w:themeTint="F2"/>
                      <w:sz w:val="24"/>
                      <w14:textFill>
                        <w14:solidFill>
                          <w14:schemeClr w14:val="tx1">
                            <w14:lumMod w14:val="95000"/>
                            <w14:lumOff w14:val="5000"/>
                          </w14:schemeClr>
                        </w14:solidFill>
                      </w14:textFill>
                    </w:rPr>
                  </w:pPr>
                  <w:r>
                    <w:rPr>
                      <w:rFonts w:hint="eastAsia" w:ascii="宋体" w:hAnsi="宋体" w:eastAsia="宋体"/>
                      <w:color w:val="0D0D0D" w:themeColor="text1" w:themeTint="F2"/>
                      <w14:textFill>
                        <w14:solidFill>
                          <w14:schemeClr w14:val="tx1">
                            <w14:lumMod w14:val="95000"/>
                            <w14:lumOff w14:val="5000"/>
                          </w14:schemeClr>
                        </w14:solidFill>
                      </w14:textFill>
                    </w:rPr>
                    <w:t>危险废物</w:t>
                  </w:r>
                </w:p>
              </w:tc>
              <w:tc>
                <w:tcPr>
                  <w:tcW w:w="2571" w:type="pct"/>
                  <w:tcBorders>
                    <w:left w:val="single" w:color="auto" w:sz="12" w:space="0"/>
                  </w:tcBorders>
                  <w:vAlign w:val="center"/>
                </w:tcPr>
                <w:p w14:paraId="58F9FA81">
                  <w:pPr>
                    <w:pStyle w:val="108"/>
                    <w:ind w:firstLine="480"/>
                    <w:rPr>
                      <w:rFonts w:hint="eastAsia" w:ascii="宋体" w:hAnsi="宋体" w:eastAsia="宋体" w:cs="宋体"/>
                      <w:color w:val="0D0D0D" w:themeColor="text1" w:themeTint="F2"/>
                      <w:sz w:val="24"/>
                      <w14:textFill>
                        <w14:solidFill>
                          <w14:schemeClr w14:val="tx1">
                            <w14:lumMod w14:val="95000"/>
                            <w14:lumOff w14:val="5000"/>
                          </w14:schemeClr>
                        </w14:solidFill>
                      </w14:textFill>
                    </w:rPr>
                  </w:pPr>
                  <w:r>
                    <w:rPr>
                      <w:rFonts w:hint="eastAsia" w:ascii="宋体" w:hAnsi="宋体" w:eastAsia="宋体"/>
                      <w:color w:val="0D0D0D" w:themeColor="text1" w:themeTint="F2"/>
                      <w14:textFill>
                        <w14:solidFill>
                          <w14:schemeClr w14:val="tx1">
                            <w14:lumMod w14:val="95000"/>
                            <w14:lumOff w14:val="5000"/>
                          </w14:schemeClr>
                        </w14:solidFill>
                      </w14:textFill>
                    </w:rPr>
                    <w:t>危险废物贮存设施</w:t>
                  </w:r>
                </w:p>
              </w:tc>
            </w:tr>
            <w:tr w14:paraId="1331F1C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 w:hRule="atLeast"/>
              </w:trPr>
              <w:tc>
                <w:tcPr>
                  <w:tcW w:w="2429" w:type="pct"/>
                  <w:tcBorders>
                    <w:right w:val="single" w:color="auto" w:sz="12" w:space="0"/>
                  </w:tcBorders>
                  <w:vAlign w:val="center"/>
                </w:tcPr>
                <w:p w14:paraId="2CA92962">
                  <w:pPr>
                    <w:pStyle w:val="110"/>
                    <w:rPr>
                      <w:rFonts w:hint="eastAsia" w:ascii="宋体" w:hAnsi="宋体" w:cs="宋体"/>
                      <w:color w:val="0D0D0D" w:themeColor="text1" w:themeTint="F2"/>
                      <w:sz w:val="24"/>
                      <w14:textFill>
                        <w14:solidFill>
                          <w14:schemeClr w14:val="tx1">
                            <w14:lumMod w14:val="95000"/>
                            <w14:lumOff w14:val="5000"/>
                          </w14:schemeClr>
                        </w14:solidFill>
                      </w14:textFill>
                    </w:rPr>
                  </w:pPr>
                  <w:r>
                    <w:rPr>
                      <w:rFonts w:ascii="宋体" w:hAnsi="宋体" w:cs="宋体"/>
                      <w:color w:val="0D0D0D" w:themeColor="text1" w:themeTint="F2"/>
                      <w:sz w:val="24"/>
                      <w14:textFill>
                        <w14:solidFill>
                          <w14:schemeClr w14:val="tx1">
                            <w14:lumMod w14:val="95000"/>
                            <w14:lumOff w14:val="5000"/>
                          </w14:schemeClr>
                        </w14:solidFill>
                      </w14:textFill>
                    </w:rPr>
                    <w:drawing>
                      <wp:anchor distT="0" distB="0" distL="0" distR="0" simplePos="0" relativeHeight="251661312" behindDoc="0" locked="0" layoutInCell="1" allowOverlap="1">
                        <wp:simplePos x="0" y="0"/>
                        <wp:positionH relativeFrom="column">
                          <wp:posOffset>518795</wp:posOffset>
                        </wp:positionH>
                        <wp:positionV relativeFrom="paragraph">
                          <wp:posOffset>-58420</wp:posOffset>
                        </wp:positionV>
                        <wp:extent cx="1263650" cy="1123950"/>
                        <wp:effectExtent l="0" t="0" r="12700" b="0"/>
                        <wp:wrapNone/>
                        <wp:docPr id="19527673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67309" name="图片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263650" cy="1123950"/>
                                </a:xfrm>
                                <a:prstGeom prst="rect">
                                  <a:avLst/>
                                </a:prstGeom>
                                <a:noFill/>
                                <a:ln>
                                  <a:noFill/>
                                </a:ln>
                              </pic:spPr>
                            </pic:pic>
                          </a:graphicData>
                        </a:graphic>
                      </wp:anchor>
                    </w:drawing>
                  </w:r>
                </w:p>
              </w:tc>
              <w:tc>
                <w:tcPr>
                  <w:tcW w:w="2571" w:type="pct"/>
                  <w:tcBorders>
                    <w:left w:val="single" w:color="auto" w:sz="12" w:space="0"/>
                  </w:tcBorders>
                  <w:vAlign w:val="center"/>
                </w:tcPr>
                <w:p w14:paraId="70A55EC7">
                  <w:pPr>
                    <w:pStyle w:val="110"/>
                    <w:rPr>
                      <w:rFonts w:hint="eastAsia" w:ascii="宋体" w:hAnsi="宋体" w:cs="宋体"/>
                      <w:color w:val="0D0D0D" w:themeColor="text1" w:themeTint="F2"/>
                      <w:sz w:val="24"/>
                      <w14:textFill>
                        <w14:solidFill>
                          <w14:schemeClr w14:val="tx1">
                            <w14:lumMod w14:val="95000"/>
                            <w14:lumOff w14:val="5000"/>
                          </w14:schemeClr>
                        </w14:solidFill>
                      </w14:textFill>
                    </w:rPr>
                  </w:pPr>
                  <w:r>
                    <w:rPr>
                      <w:rFonts w:ascii="宋体" w:hAnsi="宋体" w:cs="宋体"/>
                      <w:color w:val="0D0D0D" w:themeColor="text1" w:themeTint="F2"/>
                      <w:sz w:val="24"/>
                      <w14:textFill>
                        <w14:solidFill>
                          <w14:schemeClr w14:val="tx1">
                            <w14:lumMod w14:val="95000"/>
                            <w14:lumOff w14:val="5000"/>
                          </w14:schemeClr>
                        </w14:solidFill>
                      </w14:textFill>
                    </w:rPr>
                    <w:drawing>
                      <wp:inline distT="0" distB="0" distL="0" distR="0">
                        <wp:extent cx="1863725" cy="1169035"/>
                        <wp:effectExtent l="0" t="0" r="3175" b="12065"/>
                        <wp:docPr id="2513400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40015"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863725" cy="1169035"/>
                                </a:xfrm>
                                <a:prstGeom prst="rect">
                                  <a:avLst/>
                                </a:prstGeom>
                                <a:noFill/>
                                <a:ln>
                                  <a:noFill/>
                                </a:ln>
                              </pic:spPr>
                            </pic:pic>
                          </a:graphicData>
                        </a:graphic>
                      </wp:inline>
                    </w:drawing>
                  </w:r>
                </w:p>
              </w:tc>
            </w:tr>
          </w:tbl>
          <w:p w14:paraId="7E143D85">
            <w:pPr>
              <w:pStyle w:val="38"/>
              <w:ind w:firstLine="480"/>
              <w:rPr>
                <w:rFonts w:hint="eastAsia"/>
                <w:color w:val="0D0D0D" w:themeColor="text1" w:themeTint="F2"/>
                <w14:textFill>
                  <w14:solidFill>
                    <w14:schemeClr w14:val="tx1">
                      <w14:lumMod w14:val="95000"/>
                      <w14:lumOff w14:val="5000"/>
                    </w14:schemeClr>
                  </w14:solidFill>
                </w14:textFill>
              </w:rPr>
            </w:pPr>
          </w:p>
        </w:tc>
      </w:tr>
      <w:tr w14:paraId="7962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vAlign w:val="center"/>
          </w:tcPr>
          <w:p w14:paraId="4A6985B9">
            <w:pPr>
              <w:adjustRightInd w:val="0"/>
              <w:snapToGrid w:val="0"/>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bCs/>
                <w:color w:val="0D0D0D" w:themeColor="text1" w:themeTint="F2"/>
                <w14:textFill>
                  <w14:solidFill>
                    <w14:schemeClr w14:val="tx1">
                      <w14:lumMod w14:val="95000"/>
                      <w14:lumOff w14:val="5000"/>
                    </w14:schemeClr>
                  </w14:solidFill>
                </w14:textFill>
              </w:rPr>
              <w:t>环保投资</w:t>
            </w:r>
          </w:p>
        </w:tc>
        <w:tc>
          <w:tcPr>
            <w:tcW w:w="4633" w:type="pct"/>
            <w:vAlign w:val="center"/>
          </w:tcPr>
          <w:p w14:paraId="4D3BE060">
            <w:pPr>
              <w:pStyle w:val="38"/>
              <w:ind w:firstLine="480"/>
              <w:rPr>
                <w:rFonts w:hint="eastAsia"/>
                <w:color w:val="0D0D0D" w:themeColor="text1" w:themeTint="F2"/>
                <w14:textFill>
                  <w14:solidFill>
                    <w14:schemeClr w14:val="tx1">
                      <w14:lumMod w14:val="95000"/>
                      <w14:lumOff w14:val="5000"/>
                    </w14:schemeClr>
                  </w14:solidFill>
                </w14:textFill>
              </w:rPr>
            </w:pPr>
            <w:bookmarkStart w:id="167" w:name="_Hlk136795979"/>
            <w:r>
              <w:rPr>
                <w:rFonts w:hint="eastAsia"/>
                <w:color w:val="0D0D0D" w:themeColor="text1" w:themeTint="F2"/>
                <w14:textFill>
                  <w14:solidFill>
                    <w14:schemeClr w14:val="tx1">
                      <w14:lumMod w14:val="95000"/>
                      <w14:lumOff w14:val="5000"/>
                    </w14:schemeClr>
                  </w14:solidFill>
                </w14:textFill>
              </w:rPr>
              <w:t>项目总投资为15000万元，其中环保投资237万元，占总投资的1.58%，详见</w:t>
            </w:r>
            <w:r>
              <w:rPr>
                <w:rFonts w:hint="eastAsia"/>
                <w:color w:val="0D0D0D" w:themeColor="text1" w:themeTint="F2"/>
                <w14:textFill>
                  <w14:solidFill>
                    <w14:schemeClr w14:val="tx1">
                      <w14:lumMod w14:val="95000"/>
                      <w14:lumOff w14:val="5000"/>
                    </w14:schemeClr>
                  </w14:solidFill>
                </w14:textFill>
              </w:rPr>
              <w:fldChar w:fldCharType="begin"/>
            </w:r>
            <w:r>
              <w:rPr>
                <w:rFonts w:hint="eastAsia"/>
                <w:color w:val="0D0D0D" w:themeColor="text1" w:themeTint="F2"/>
                <w14:textFill>
                  <w14:solidFill>
                    <w14:schemeClr w14:val="tx1">
                      <w14:lumMod w14:val="95000"/>
                      <w14:lumOff w14:val="5000"/>
                    </w14:schemeClr>
                  </w14:solidFill>
                </w14:textFill>
              </w:rPr>
              <w:instrText xml:space="preserve"> REF _Ref206185879 \h </w:instrText>
            </w:r>
            <w:r>
              <w:rPr>
                <w:rFonts w:hint="eastAsia"/>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表28</w:t>
            </w:r>
            <w:r>
              <w:rPr>
                <w:rFonts w:hint="eastAsia"/>
                <w:color w:val="0D0D0D" w:themeColor="text1" w:themeTint="F2"/>
                <w14:textFill>
                  <w14:solidFill>
                    <w14:schemeClr w14:val="tx1">
                      <w14:lumMod w14:val="95000"/>
                      <w14:lumOff w14:val="5000"/>
                    </w14:schemeClr>
                  </w14:solidFill>
                </w14:textFill>
              </w:rPr>
              <w:fldChar w:fldCharType="end"/>
            </w:r>
            <w:r>
              <w:rPr>
                <w:rFonts w:hint="eastAsia"/>
                <w:color w:val="0D0D0D" w:themeColor="text1" w:themeTint="F2"/>
                <w14:textFill>
                  <w14:solidFill>
                    <w14:schemeClr w14:val="tx1">
                      <w14:lumMod w14:val="95000"/>
                      <w14:lumOff w14:val="5000"/>
                    </w14:schemeClr>
                  </w14:solidFill>
                </w14:textFill>
              </w:rPr>
              <w:t>。</w:t>
            </w:r>
          </w:p>
          <w:p w14:paraId="0D1B985F">
            <w:pPr>
              <w:pStyle w:val="8"/>
              <w:rPr>
                <w:rFonts w:hint="eastAsia"/>
                <w:color w:val="0D0D0D" w:themeColor="text1" w:themeTint="F2"/>
                <w14:textFill>
                  <w14:solidFill>
                    <w14:schemeClr w14:val="tx1">
                      <w14:lumMod w14:val="95000"/>
                      <w14:lumOff w14:val="5000"/>
                    </w14:schemeClr>
                  </w14:solidFill>
                </w14:textFill>
              </w:rPr>
            </w:pPr>
            <w:bookmarkStart w:id="168" w:name="_Ref206185879"/>
            <w:r>
              <w:rPr>
                <w:rFonts w:hint="eastAsia"/>
                <w:color w:val="0D0D0D" w:themeColor="text1" w:themeTint="F2"/>
                <w14:textFill>
                  <w14:solidFill>
                    <w14:schemeClr w14:val="tx1">
                      <w14:lumMod w14:val="95000"/>
                      <w14:lumOff w14:val="5000"/>
                    </w14:schemeClr>
                  </w14:solidFill>
                </w14:textFill>
              </w:rPr>
              <w:t>表</w:t>
            </w:r>
            <w:r>
              <w:rPr>
                <w:color w:val="0D0D0D" w:themeColor="text1" w:themeTint="F2"/>
                <w14:textFill>
                  <w14:solidFill>
                    <w14:schemeClr w14:val="tx1">
                      <w14:lumMod w14:val="95000"/>
                      <w14:lumOff w14:val="5000"/>
                    </w14:schemeClr>
                  </w14:solidFill>
                </w14:textFill>
              </w:rPr>
              <w:fldChar w:fldCharType="begin"/>
            </w:r>
            <w:r>
              <w:rPr>
                <w:color w:val="0D0D0D" w:themeColor="text1" w:themeTint="F2"/>
                <w14:textFill>
                  <w14:solidFill>
                    <w14:schemeClr w14:val="tx1">
                      <w14:lumMod w14:val="95000"/>
                      <w14:lumOff w14:val="5000"/>
                    </w14:schemeClr>
                  </w14:solidFill>
                </w14:textFill>
              </w:rPr>
              <w:instrText xml:space="preserve"> </w:instrText>
            </w:r>
            <w:r>
              <w:rPr>
                <w:rFonts w:hint="eastAsia"/>
                <w:color w:val="0D0D0D" w:themeColor="text1" w:themeTint="F2"/>
                <w14:textFill>
                  <w14:solidFill>
                    <w14:schemeClr w14:val="tx1">
                      <w14:lumMod w14:val="95000"/>
                      <w14:lumOff w14:val="5000"/>
                    </w14:schemeClr>
                  </w14:solidFill>
                </w14:textFill>
              </w:rPr>
              <w:instrText xml:space="preserve">SEQ 表 \* ARABIC</w:instrText>
            </w:r>
            <w:r>
              <w:rPr>
                <w:color w:val="0D0D0D" w:themeColor="text1" w:themeTint="F2"/>
                <w14:textFill>
                  <w14:solidFill>
                    <w14:schemeClr w14:val="tx1">
                      <w14:lumMod w14:val="95000"/>
                      <w14:lumOff w14:val="5000"/>
                    </w14:schemeClr>
                  </w14:solidFill>
                </w14:textFill>
              </w:rPr>
              <w:instrText xml:space="preserve"> </w:instrText>
            </w:r>
            <w:r>
              <w:rPr>
                <w:color w:val="0D0D0D" w:themeColor="text1" w:themeTint="F2"/>
                <w14:textFill>
                  <w14:solidFill>
                    <w14:schemeClr w14:val="tx1">
                      <w14:lumMod w14:val="95000"/>
                      <w14:lumOff w14:val="5000"/>
                    </w14:schemeClr>
                  </w14:solidFill>
                </w14:textFill>
              </w:rPr>
              <w:fldChar w:fldCharType="separate"/>
            </w:r>
            <w:r>
              <w:rPr>
                <w:rFonts w:hint="eastAsia"/>
                <w:color w:val="0D0D0D" w:themeColor="text1" w:themeTint="F2"/>
                <w14:textFill>
                  <w14:solidFill>
                    <w14:schemeClr w14:val="tx1">
                      <w14:lumMod w14:val="95000"/>
                      <w14:lumOff w14:val="5000"/>
                    </w14:schemeClr>
                  </w14:solidFill>
                </w14:textFill>
              </w:rPr>
              <w:t>28</w:t>
            </w:r>
            <w:r>
              <w:rPr>
                <w:color w:val="0D0D0D" w:themeColor="text1" w:themeTint="F2"/>
                <w14:textFill>
                  <w14:solidFill>
                    <w14:schemeClr w14:val="tx1">
                      <w14:lumMod w14:val="95000"/>
                      <w14:lumOff w14:val="5000"/>
                    </w14:schemeClr>
                  </w14:solidFill>
                </w14:textFill>
              </w:rPr>
              <w:fldChar w:fldCharType="end"/>
            </w:r>
            <w:bookmarkEnd w:id="168"/>
            <w:r>
              <w:rPr>
                <w:rFonts w:hint="eastAsia"/>
                <w:color w:val="0D0D0D" w:themeColor="text1" w:themeTint="F2"/>
                <w14:textFill>
                  <w14:solidFill>
                    <w14:schemeClr w14:val="tx1">
                      <w14:lumMod w14:val="95000"/>
                      <w14:lumOff w14:val="5000"/>
                    </w14:schemeClr>
                  </w14:solidFill>
                </w14:textFill>
              </w:rPr>
              <w:t xml:space="preserve">    </w:t>
            </w:r>
            <w:r>
              <w:rPr>
                <w:color w:val="0D0D0D" w:themeColor="text1" w:themeTint="F2"/>
                <w14:textFill>
                  <w14:solidFill>
                    <w14:schemeClr w14:val="tx1">
                      <w14:lumMod w14:val="95000"/>
                      <w14:lumOff w14:val="5000"/>
                    </w14:schemeClr>
                  </w14:solidFill>
                </w14:textFill>
              </w:rPr>
              <w:t>环保投资</w:t>
            </w:r>
            <w:r>
              <w:rPr>
                <w:rFonts w:hint="eastAsia"/>
                <w:color w:val="0D0D0D" w:themeColor="text1" w:themeTint="F2"/>
                <w14:textFill>
                  <w14:solidFill>
                    <w14:schemeClr w14:val="tx1">
                      <w14:lumMod w14:val="95000"/>
                      <w14:lumOff w14:val="5000"/>
                    </w14:schemeClr>
                  </w14:solidFill>
                </w14:textFill>
              </w:rPr>
              <w:t>一览</w:t>
            </w:r>
            <w:r>
              <w:rPr>
                <w:color w:val="0D0D0D" w:themeColor="text1" w:themeTint="F2"/>
                <w14:textFill>
                  <w14:solidFill>
                    <w14:schemeClr w14:val="tx1">
                      <w14:lumMod w14:val="95000"/>
                      <w14:lumOff w14:val="5000"/>
                    </w14:schemeClr>
                  </w14:solidFill>
                </w14:textFill>
              </w:rPr>
              <w:t>表</w:t>
            </w:r>
          </w:p>
          <w:bookmarkEnd w:id="167"/>
          <w:tbl>
            <w:tblPr>
              <w:tblStyle w:val="2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553"/>
              <w:gridCol w:w="1412"/>
              <w:gridCol w:w="5024"/>
              <w:gridCol w:w="1032"/>
            </w:tblGrid>
            <w:tr w14:paraId="497FAF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1225" w:type="pct"/>
                  <w:gridSpan w:val="2"/>
                  <w:tcMar>
                    <w:left w:w="0" w:type="dxa"/>
                    <w:right w:w="0" w:type="dxa"/>
                  </w:tcMar>
                  <w:vAlign w:val="center"/>
                </w:tcPr>
                <w:p w14:paraId="76B131A6">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工程名称</w:t>
                  </w:r>
                </w:p>
              </w:tc>
              <w:tc>
                <w:tcPr>
                  <w:tcW w:w="3132" w:type="pct"/>
                  <w:tcMar>
                    <w:left w:w="0" w:type="dxa"/>
                    <w:right w:w="0" w:type="dxa"/>
                  </w:tcMar>
                  <w:vAlign w:val="center"/>
                </w:tcPr>
                <w:p w14:paraId="06CAB5E7">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拟采取的环保措施</w:t>
                  </w:r>
                </w:p>
              </w:tc>
              <w:tc>
                <w:tcPr>
                  <w:tcW w:w="643" w:type="pct"/>
                  <w:tcMar>
                    <w:left w:w="0" w:type="dxa"/>
                    <w:right w:w="0" w:type="dxa"/>
                  </w:tcMar>
                  <w:vAlign w:val="center"/>
                </w:tcPr>
                <w:p w14:paraId="29B1177E">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环保投资</w:t>
                  </w:r>
                </w:p>
                <w:p w14:paraId="09DEF593">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（万元）</w:t>
                  </w:r>
                </w:p>
              </w:tc>
            </w:tr>
            <w:tr w14:paraId="39CDC9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45" w:type="pct"/>
                  <w:vMerge w:val="restart"/>
                  <w:tcMar>
                    <w:left w:w="0" w:type="dxa"/>
                    <w:right w:w="0" w:type="dxa"/>
                  </w:tcMar>
                  <w:vAlign w:val="center"/>
                </w:tcPr>
                <w:p w14:paraId="4285CD5C">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bookmarkStart w:id="169" w:name="_Hlk180059680"/>
                  <w:bookmarkStart w:id="170" w:name="_Hlk186826244"/>
                  <w:r>
                    <w:rPr>
                      <w:rFonts w:hint="eastAsia" w:ascii="宋体" w:hAnsi="宋体" w:cs="宋体"/>
                      <w:color w:val="0D0D0D" w:themeColor="text1" w:themeTint="F2"/>
                      <w:sz w:val="21"/>
                      <w:szCs w:val="21"/>
                      <w14:textFill>
                        <w14:solidFill>
                          <w14:schemeClr w14:val="tx1">
                            <w14:lumMod w14:val="95000"/>
                            <w14:lumOff w14:val="5000"/>
                          </w14:schemeClr>
                        </w14:solidFill>
                      </w14:textFill>
                    </w:rPr>
                    <w:t>废气</w:t>
                  </w:r>
                </w:p>
              </w:tc>
              <w:tc>
                <w:tcPr>
                  <w:tcW w:w="880" w:type="pct"/>
                  <w:vAlign w:val="center"/>
                </w:tcPr>
                <w:p w14:paraId="22242B40">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试油伴生气</w:t>
                  </w:r>
                </w:p>
              </w:tc>
              <w:tc>
                <w:tcPr>
                  <w:tcW w:w="3132" w:type="pct"/>
                  <w:tcMar>
                    <w:left w:w="0" w:type="dxa"/>
                    <w:right w:w="0" w:type="dxa"/>
                  </w:tcMar>
                  <w:vAlign w:val="center"/>
                </w:tcPr>
                <w:p w14:paraId="609BEE25">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经排气管线充分燃烧后排放。</w:t>
                  </w:r>
                </w:p>
              </w:tc>
              <w:tc>
                <w:tcPr>
                  <w:tcW w:w="643" w:type="pct"/>
                  <w:tcMar>
                    <w:left w:w="0" w:type="dxa"/>
                    <w:right w:w="0" w:type="dxa"/>
                  </w:tcMar>
                  <w:vAlign w:val="center"/>
                </w:tcPr>
                <w:p w14:paraId="590BEE9C">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5</w:t>
                  </w:r>
                </w:p>
              </w:tc>
            </w:tr>
            <w:tr w14:paraId="57779A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45" w:type="pct"/>
                  <w:vMerge w:val="continue"/>
                  <w:tcMar>
                    <w:left w:w="0" w:type="dxa"/>
                    <w:right w:w="0" w:type="dxa"/>
                  </w:tcMar>
                  <w:vAlign w:val="center"/>
                </w:tcPr>
                <w:p w14:paraId="26B69833">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880" w:type="pct"/>
                  <w:vAlign w:val="center"/>
                </w:tcPr>
                <w:p w14:paraId="45F99852">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color w:val="0D0D0D" w:themeColor="text1" w:themeTint="F2"/>
                      <w:sz w:val="21"/>
                      <w:szCs w:val="21"/>
                      <w14:textFill>
                        <w14:solidFill>
                          <w14:schemeClr w14:val="tx1">
                            <w14:lumMod w14:val="95000"/>
                            <w14:lumOff w14:val="5000"/>
                          </w14:schemeClr>
                        </w14:solidFill>
                      </w14:textFill>
                    </w:rPr>
                    <w:t>施工扬尘</w:t>
                  </w:r>
                </w:p>
              </w:tc>
              <w:tc>
                <w:tcPr>
                  <w:tcW w:w="3132" w:type="pct"/>
                  <w:tcMar>
                    <w:left w:w="0" w:type="dxa"/>
                    <w:right w:w="0" w:type="dxa"/>
                  </w:tcMar>
                  <w:vAlign w:val="center"/>
                </w:tcPr>
                <w:p w14:paraId="135559AF">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color w:val="0D0D0D" w:themeColor="text1" w:themeTint="F2"/>
                      <w:sz w:val="21"/>
                      <w:szCs w:val="21"/>
                      <w14:textFill>
                        <w14:solidFill>
                          <w14:schemeClr w14:val="tx1">
                            <w14:lumMod w14:val="95000"/>
                            <w14:lumOff w14:val="5000"/>
                          </w14:schemeClr>
                        </w14:solidFill>
                      </w14:textFill>
                    </w:rPr>
                    <w:t>采取</w:t>
                  </w:r>
                  <w:r>
                    <w:rPr>
                      <w:rFonts w:hint="eastAsia"/>
                      <w:color w:val="0D0D0D" w:themeColor="text1" w:themeTint="F2"/>
                      <w:sz w:val="21"/>
                      <w:szCs w:val="21"/>
                      <w14:textFill>
                        <w14:solidFill>
                          <w14:schemeClr w14:val="tx1">
                            <w14:lumMod w14:val="95000"/>
                            <w14:lumOff w14:val="5000"/>
                          </w14:schemeClr>
                        </w14:solidFill>
                      </w14:textFill>
                    </w:rPr>
                    <w:t>井场</w:t>
                  </w:r>
                  <w:r>
                    <w:rPr>
                      <w:color w:val="0D0D0D" w:themeColor="text1" w:themeTint="F2"/>
                      <w:sz w:val="21"/>
                      <w:szCs w:val="21"/>
                      <w14:textFill>
                        <w14:solidFill>
                          <w14:schemeClr w14:val="tx1">
                            <w14:lumMod w14:val="95000"/>
                            <w14:lumOff w14:val="5000"/>
                          </w14:schemeClr>
                        </w14:solidFill>
                      </w14:textFill>
                    </w:rPr>
                    <w:t>洒水抑尘</w:t>
                  </w:r>
                  <w:r>
                    <w:rPr>
                      <w:rFonts w:hint="eastAsia"/>
                      <w:color w:val="0D0D0D" w:themeColor="text1" w:themeTint="F2"/>
                      <w:sz w:val="21"/>
                      <w:szCs w:val="21"/>
                      <w14:textFill>
                        <w14:solidFill>
                          <w14:schemeClr w14:val="tx1">
                            <w14:lumMod w14:val="95000"/>
                            <w14:lumOff w14:val="5000"/>
                          </w14:schemeClr>
                        </w14:solidFill>
                      </w14:textFill>
                    </w:rPr>
                    <w:t>、对易起尘物料进行遮盖、加强车辆管理等</w:t>
                  </w:r>
                  <w:r>
                    <w:rPr>
                      <w:color w:val="0D0D0D" w:themeColor="text1" w:themeTint="F2"/>
                      <w:sz w:val="21"/>
                      <w:szCs w:val="21"/>
                      <w14:textFill>
                        <w14:solidFill>
                          <w14:schemeClr w14:val="tx1">
                            <w14:lumMod w14:val="95000"/>
                            <w14:lumOff w14:val="5000"/>
                          </w14:schemeClr>
                        </w14:solidFill>
                      </w14:textFill>
                    </w:rPr>
                    <w:t>措施</w:t>
                  </w:r>
                  <w:r>
                    <w:rPr>
                      <w:rFonts w:hint="eastAsia"/>
                      <w:color w:val="0D0D0D" w:themeColor="text1" w:themeTint="F2"/>
                      <w:sz w:val="21"/>
                      <w:szCs w:val="21"/>
                      <w14:textFill>
                        <w14:solidFill>
                          <w14:schemeClr w14:val="tx1">
                            <w14:lumMod w14:val="95000"/>
                            <w14:lumOff w14:val="5000"/>
                          </w14:schemeClr>
                        </w14:solidFill>
                      </w14:textFill>
                    </w:rPr>
                    <w:t>。</w:t>
                  </w:r>
                </w:p>
              </w:tc>
              <w:tc>
                <w:tcPr>
                  <w:tcW w:w="643" w:type="pct"/>
                  <w:tcMar>
                    <w:left w:w="0" w:type="dxa"/>
                    <w:right w:w="0" w:type="dxa"/>
                  </w:tcMar>
                  <w:vAlign w:val="center"/>
                </w:tcPr>
                <w:p w14:paraId="4C5E4486">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3</w:t>
                  </w:r>
                </w:p>
              </w:tc>
            </w:tr>
            <w:tr w14:paraId="411FD0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45" w:type="pct"/>
                  <w:vMerge w:val="restart"/>
                  <w:tcMar>
                    <w:left w:w="0" w:type="dxa"/>
                    <w:right w:w="0" w:type="dxa"/>
                  </w:tcMar>
                  <w:vAlign w:val="center"/>
                </w:tcPr>
                <w:p w14:paraId="2260A87A">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废水处理</w:t>
                  </w:r>
                </w:p>
              </w:tc>
              <w:tc>
                <w:tcPr>
                  <w:tcW w:w="880" w:type="pct"/>
                  <w:tcMar>
                    <w:left w:w="0" w:type="dxa"/>
                    <w:right w:w="0" w:type="dxa"/>
                  </w:tcMar>
                  <w:vAlign w:val="center"/>
                </w:tcPr>
                <w:p w14:paraId="712C048B">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洗井废水、压裂返排液</w:t>
                  </w:r>
                </w:p>
              </w:tc>
              <w:tc>
                <w:tcPr>
                  <w:tcW w:w="3132" w:type="pct"/>
                  <w:tcMar>
                    <w:left w:w="0" w:type="dxa"/>
                    <w:right w:w="0" w:type="dxa"/>
                  </w:tcMar>
                  <w:vAlign w:val="center"/>
                </w:tcPr>
                <w:p w14:paraId="40B7397D">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由地面储罐收集后，依托采油一厂红山嘴原油处理站采出水处理系统处理。</w:t>
                  </w:r>
                </w:p>
              </w:tc>
              <w:tc>
                <w:tcPr>
                  <w:tcW w:w="643" w:type="pct"/>
                  <w:tcMar>
                    <w:left w:w="0" w:type="dxa"/>
                    <w:right w:w="0" w:type="dxa"/>
                  </w:tcMar>
                  <w:vAlign w:val="center"/>
                </w:tcPr>
                <w:p w14:paraId="502546F4">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10</w:t>
                  </w:r>
                </w:p>
              </w:tc>
            </w:tr>
            <w:tr w14:paraId="377A41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45" w:type="pct"/>
                  <w:vMerge w:val="continue"/>
                  <w:tcMar>
                    <w:left w:w="0" w:type="dxa"/>
                    <w:right w:w="0" w:type="dxa"/>
                  </w:tcMar>
                  <w:vAlign w:val="center"/>
                </w:tcPr>
                <w:p w14:paraId="7C92E5EE">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880" w:type="pct"/>
                  <w:tcMar>
                    <w:left w:w="0" w:type="dxa"/>
                    <w:right w:w="0" w:type="dxa"/>
                  </w:tcMar>
                  <w:vAlign w:val="center"/>
                </w:tcPr>
                <w:p w14:paraId="2A8BE5EE">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生活污水</w:t>
                  </w:r>
                </w:p>
              </w:tc>
              <w:tc>
                <w:tcPr>
                  <w:tcW w:w="3132" w:type="pct"/>
                  <w:tcMar>
                    <w:left w:w="0" w:type="dxa"/>
                    <w:right w:w="0" w:type="dxa"/>
                  </w:tcMar>
                  <w:vAlign w:val="center"/>
                </w:tcPr>
                <w:p w14:paraId="5400A8B6">
                  <w:pPr>
                    <w:adjustRightInd w:val="0"/>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生活营地内设1座临时防渗收集池收集暂存，定期吸污车抽出并拉运至呼图壁县丰泉污水处理厂处理。</w:t>
                  </w:r>
                </w:p>
              </w:tc>
              <w:tc>
                <w:tcPr>
                  <w:tcW w:w="643" w:type="pct"/>
                  <w:tcMar>
                    <w:left w:w="0" w:type="dxa"/>
                    <w:right w:w="0" w:type="dxa"/>
                  </w:tcMar>
                  <w:vAlign w:val="center"/>
                </w:tcPr>
                <w:p w14:paraId="3855325F">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5</w:t>
                  </w:r>
                </w:p>
              </w:tc>
            </w:tr>
            <w:tr w14:paraId="2F2854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45" w:type="pct"/>
                  <w:vMerge w:val="restart"/>
                  <w:tcMar>
                    <w:left w:w="0" w:type="dxa"/>
                    <w:right w:w="0" w:type="dxa"/>
                  </w:tcMar>
                  <w:vAlign w:val="center"/>
                </w:tcPr>
                <w:p w14:paraId="68374C0A">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固废处置</w:t>
                  </w:r>
                </w:p>
              </w:tc>
              <w:tc>
                <w:tcPr>
                  <w:tcW w:w="880" w:type="pct"/>
                  <w:tcMar>
                    <w:left w:w="0" w:type="dxa"/>
                    <w:right w:w="0" w:type="dxa"/>
                  </w:tcMar>
                  <w:vAlign w:val="center"/>
                </w:tcPr>
                <w:p w14:paraId="2C6CF792">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生活垃圾</w:t>
                  </w:r>
                </w:p>
              </w:tc>
              <w:tc>
                <w:tcPr>
                  <w:tcW w:w="3132" w:type="pct"/>
                  <w:tcMar>
                    <w:left w:w="0" w:type="dxa"/>
                    <w:right w:w="0" w:type="dxa"/>
                  </w:tcMar>
                  <w:vAlign w:val="center"/>
                </w:tcPr>
                <w:p w14:paraId="6B627101">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设有垃圾箱集中收集，定期清运至呼图壁县生活垃圾填埋场处置。</w:t>
                  </w:r>
                </w:p>
              </w:tc>
              <w:tc>
                <w:tcPr>
                  <w:tcW w:w="643" w:type="pct"/>
                  <w:tcMar>
                    <w:left w:w="0" w:type="dxa"/>
                    <w:right w:w="0" w:type="dxa"/>
                  </w:tcMar>
                  <w:vAlign w:val="center"/>
                </w:tcPr>
                <w:p w14:paraId="3A9632D1">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5</w:t>
                  </w:r>
                </w:p>
              </w:tc>
            </w:tr>
            <w:tr w14:paraId="02E614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345" w:type="pct"/>
                  <w:vMerge w:val="continue"/>
                  <w:tcMar>
                    <w:left w:w="0" w:type="dxa"/>
                    <w:right w:w="0" w:type="dxa"/>
                  </w:tcMar>
                  <w:vAlign w:val="center"/>
                </w:tcPr>
                <w:p w14:paraId="6CB3D9F3">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880" w:type="pct"/>
                  <w:tcMar>
                    <w:left w:w="0" w:type="dxa"/>
                    <w:right w:w="0" w:type="dxa"/>
                  </w:tcMar>
                  <w:vAlign w:val="center"/>
                </w:tcPr>
                <w:p w14:paraId="4ABD27BA">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水基钻井岩屑</w:t>
                  </w:r>
                </w:p>
              </w:tc>
              <w:tc>
                <w:tcPr>
                  <w:tcW w:w="3132" w:type="pct"/>
                  <w:vMerge w:val="restart"/>
                  <w:tcMar>
                    <w:left w:w="0" w:type="dxa"/>
                    <w:right w:w="0" w:type="dxa"/>
                  </w:tcMar>
                  <w:vAlign w:val="center"/>
                </w:tcPr>
                <w:p w14:paraId="55A9EC80">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s="宋体"/>
                      <w:color w:val="0D0D0D" w:themeColor="text1" w:themeTint="F2"/>
                      <w:sz w:val="21"/>
                      <w:szCs w:val="21"/>
                      <w14:textFill>
                        <w14:solidFill>
                          <w14:schemeClr w14:val="tx1">
                            <w14:lumMod w14:val="95000"/>
                            <w14:lumOff w14:val="5000"/>
                          </w14:schemeClr>
                        </w14:solidFill>
                      </w14:textFill>
                    </w:rPr>
                    <w:t>井场设1套钻井液不落地设备，水基钻井岩屑暂存于岩屑方罐中，油基钻井岩屑暂存于岩屑专用储罐，水基钻井岩屑委托岩屑处置单位处置，油基钻井岩屑委托具有相应危废处置资质的单位处置。</w:t>
                  </w:r>
                </w:p>
              </w:tc>
              <w:tc>
                <w:tcPr>
                  <w:tcW w:w="643" w:type="pct"/>
                  <w:tcMar>
                    <w:left w:w="0" w:type="dxa"/>
                    <w:right w:w="0" w:type="dxa"/>
                  </w:tcMar>
                  <w:vAlign w:val="center"/>
                </w:tcPr>
                <w:p w14:paraId="72E2D3D9">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26</w:t>
                  </w:r>
                </w:p>
              </w:tc>
            </w:tr>
            <w:tr w14:paraId="1485F2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345" w:type="pct"/>
                  <w:vMerge w:val="continue"/>
                  <w:tcMar>
                    <w:left w:w="0" w:type="dxa"/>
                    <w:right w:w="0" w:type="dxa"/>
                  </w:tcMar>
                  <w:vAlign w:val="center"/>
                </w:tcPr>
                <w:p w14:paraId="1064AB73">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880" w:type="pct"/>
                  <w:tcMar>
                    <w:left w:w="0" w:type="dxa"/>
                    <w:right w:w="0" w:type="dxa"/>
                  </w:tcMar>
                  <w:vAlign w:val="center"/>
                </w:tcPr>
                <w:p w14:paraId="01121EAB">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油基钻井岩屑</w:t>
                  </w:r>
                </w:p>
              </w:tc>
              <w:tc>
                <w:tcPr>
                  <w:tcW w:w="3132" w:type="pct"/>
                  <w:vMerge w:val="continue"/>
                  <w:tcMar>
                    <w:left w:w="0" w:type="dxa"/>
                    <w:right w:w="0" w:type="dxa"/>
                  </w:tcMar>
                  <w:vAlign w:val="center"/>
                </w:tcPr>
                <w:p w14:paraId="2F2F28F7">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643" w:type="pct"/>
                  <w:tcMar>
                    <w:left w:w="0" w:type="dxa"/>
                    <w:right w:w="0" w:type="dxa"/>
                  </w:tcMar>
                  <w:vAlign w:val="center"/>
                </w:tcPr>
                <w:p w14:paraId="3F4350F7">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143</w:t>
                  </w:r>
                </w:p>
              </w:tc>
            </w:tr>
            <w:tr w14:paraId="2FDFC5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45" w:type="pct"/>
                  <w:vMerge w:val="continue"/>
                  <w:tcMar>
                    <w:left w:w="0" w:type="dxa"/>
                    <w:right w:w="0" w:type="dxa"/>
                  </w:tcMar>
                  <w:vAlign w:val="center"/>
                </w:tcPr>
                <w:p w14:paraId="4A3865C8">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880" w:type="pct"/>
                  <w:tcMar>
                    <w:left w:w="0" w:type="dxa"/>
                    <w:right w:w="0" w:type="dxa"/>
                  </w:tcMar>
                  <w:vAlign w:val="center"/>
                </w:tcPr>
                <w:p w14:paraId="70A57DB9">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沾油废防渗材料、废润滑油及废润滑油桶</w:t>
                  </w:r>
                </w:p>
              </w:tc>
              <w:tc>
                <w:tcPr>
                  <w:tcW w:w="3132" w:type="pct"/>
                  <w:tcMar>
                    <w:left w:w="0" w:type="dxa"/>
                    <w:right w:w="0" w:type="dxa"/>
                  </w:tcMar>
                  <w:vAlign w:val="center"/>
                </w:tcPr>
                <w:p w14:paraId="17D51AC5">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钻井井场设置1座危险废物贮存点，用于施工过程中产生的沾油废防渗材料、废润滑油及废润滑油桶的暂存，各类危险废物定期交由具有相应危险废物处置资质的单位进行接收、转运和处置。</w:t>
                  </w:r>
                </w:p>
              </w:tc>
              <w:tc>
                <w:tcPr>
                  <w:tcW w:w="643" w:type="pct"/>
                  <w:tcMar>
                    <w:left w:w="0" w:type="dxa"/>
                    <w:right w:w="0" w:type="dxa"/>
                  </w:tcMar>
                  <w:vAlign w:val="center"/>
                </w:tcPr>
                <w:p w14:paraId="6570B515">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15</w:t>
                  </w:r>
                </w:p>
              </w:tc>
            </w:tr>
            <w:bookmarkEnd w:id="169"/>
            <w:tr w14:paraId="764767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5" w:type="pct"/>
                  <w:gridSpan w:val="2"/>
                  <w:vMerge w:val="restart"/>
                  <w:tcMar>
                    <w:left w:w="0" w:type="dxa"/>
                    <w:right w:w="0" w:type="dxa"/>
                  </w:tcMar>
                  <w:vAlign w:val="center"/>
                </w:tcPr>
                <w:p w14:paraId="36A264DC">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bookmarkStart w:id="171" w:name="_Hlk180059585"/>
                  <w:r>
                    <w:rPr>
                      <w:rFonts w:hint="eastAsia" w:ascii="宋体" w:hAnsi="宋体" w:cs="宋体"/>
                      <w:color w:val="0D0D0D" w:themeColor="text1" w:themeTint="F2"/>
                      <w:sz w:val="21"/>
                      <w:szCs w:val="21"/>
                      <w14:textFill>
                        <w14:solidFill>
                          <w14:schemeClr w14:val="tx1">
                            <w14:lumMod w14:val="95000"/>
                            <w14:lumOff w14:val="5000"/>
                          </w14:schemeClr>
                        </w14:solidFill>
                      </w14:textFill>
                    </w:rPr>
                    <w:t>生态恢复</w:t>
                  </w:r>
                </w:p>
              </w:tc>
              <w:tc>
                <w:tcPr>
                  <w:tcW w:w="3132" w:type="pct"/>
                  <w:tcMar>
                    <w:left w:w="0" w:type="dxa"/>
                    <w:right w:w="0" w:type="dxa"/>
                  </w:tcMar>
                  <w:vAlign w:val="center"/>
                </w:tcPr>
                <w:p w14:paraId="0F0425FD">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对临时占地进行清理、平整。</w:t>
                  </w:r>
                </w:p>
              </w:tc>
              <w:tc>
                <w:tcPr>
                  <w:tcW w:w="643" w:type="pct"/>
                  <w:tcMar>
                    <w:left w:w="0" w:type="dxa"/>
                    <w:right w:w="0" w:type="dxa"/>
                  </w:tcMar>
                  <w:vAlign w:val="center"/>
                </w:tcPr>
                <w:p w14:paraId="2D321B20">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10</w:t>
                  </w:r>
                </w:p>
              </w:tc>
            </w:tr>
            <w:tr w14:paraId="63BCD2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5" w:type="pct"/>
                  <w:gridSpan w:val="2"/>
                  <w:vMerge w:val="continue"/>
                  <w:tcMar>
                    <w:left w:w="0" w:type="dxa"/>
                    <w:right w:w="0" w:type="dxa"/>
                  </w:tcMar>
                  <w:vAlign w:val="center"/>
                </w:tcPr>
                <w:p w14:paraId="2C604105">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132" w:type="pct"/>
                  <w:tcMar>
                    <w:left w:w="0" w:type="dxa"/>
                    <w:right w:w="0" w:type="dxa"/>
                  </w:tcMar>
                  <w:vAlign w:val="center"/>
                </w:tcPr>
                <w:p w14:paraId="03AB1E15">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若试油结果不具备开采价值，应及时对井场进行恢复，井口封井并对井场进行清理平整，使其逐步恢复至自然状态。</w:t>
                  </w:r>
                </w:p>
              </w:tc>
              <w:tc>
                <w:tcPr>
                  <w:tcW w:w="643" w:type="pct"/>
                  <w:tcMar>
                    <w:left w:w="0" w:type="dxa"/>
                    <w:right w:w="0" w:type="dxa"/>
                  </w:tcMar>
                  <w:vAlign w:val="center"/>
                </w:tcPr>
                <w:p w14:paraId="56ADC71F">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10</w:t>
                  </w:r>
                </w:p>
              </w:tc>
            </w:tr>
            <w:tr w14:paraId="36A5AC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5" w:type="pct"/>
                  <w:gridSpan w:val="2"/>
                  <w:tcMar>
                    <w:left w:w="0" w:type="dxa"/>
                    <w:right w:w="0" w:type="dxa"/>
                  </w:tcMar>
                  <w:vAlign w:val="center"/>
                </w:tcPr>
                <w:p w14:paraId="5DE9CA5F">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硫化氢监测</w:t>
                  </w:r>
                </w:p>
              </w:tc>
              <w:tc>
                <w:tcPr>
                  <w:tcW w:w="3132" w:type="pct"/>
                  <w:tcMar>
                    <w:left w:w="0" w:type="dxa"/>
                    <w:right w:w="0" w:type="dxa"/>
                  </w:tcMar>
                  <w:vAlign w:val="center"/>
                </w:tcPr>
                <w:p w14:paraId="6D0594D2">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对硫化氢气体浓度进行检测。</w:t>
                  </w:r>
                </w:p>
              </w:tc>
              <w:tc>
                <w:tcPr>
                  <w:tcW w:w="643" w:type="pct"/>
                  <w:tcMar>
                    <w:left w:w="0" w:type="dxa"/>
                    <w:right w:w="0" w:type="dxa"/>
                  </w:tcMar>
                  <w:vAlign w:val="center"/>
                </w:tcPr>
                <w:p w14:paraId="0A2B353A">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5</w:t>
                  </w:r>
                </w:p>
              </w:tc>
            </w:tr>
            <w:bookmarkEnd w:id="170"/>
            <w:bookmarkEnd w:id="171"/>
            <w:tr w14:paraId="755E69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357" w:type="pct"/>
                  <w:gridSpan w:val="3"/>
                  <w:tcMar>
                    <w:left w:w="0" w:type="dxa"/>
                    <w:right w:w="0" w:type="dxa"/>
                  </w:tcMar>
                  <w:vAlign w:val="center"/>
                </w:tcPr>
                <w:p w14:paraId="0CC9B227">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合计</w:t>
                  </w:r>
                </w:p>
              </w:tc>
              <w:tc>
                <w:tcPr>
                  <w:tcW w:w="643" w:type="pct"/>
                  <w:tcMar>
                    <w:left w:w="0" w:type="dxa"/>
                    <w:right w:w="0" w:type="dxa"/>
                  </w:tcMar>
                  <w:vAlign w:val="center"/>
                </w:tcPr>
                <w:p w14:paraId="30C44A2D">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237</w:t>
                  </w:r>
                </w:p>
              </w:tc>
            </w:tr>
          </w:tbl>
          <w:p w14:paraId="0E980776">
            <w:pPr>
              <w:pStyle w:val="12"/>
              <w:rPr>
                <w:color w:val="0D0D0D" w:themeColor="text1" w:themeTint="F2"/>
                <w14:textFill>
                  <w14:solidFill>
                    <w14:schemeClr w14:val="tx1">
                      <w14:lumMod w14:val="95000"/>
                      <w14:lumOff w14:val="5000"/>
                    </w14:schemeClr>
                  </w14:solidFill>
                </w14:textFill>
              </w:rPr>
            </w:pPr>
          </w:p>
        </w:tc>
      </w:tr>
    </w:tbl>
    <w:p w14:paraId="6146D103">
      <w:pPr>
        <w:pStyle w:val="2"/>
        <w:rPr>
          <w:rFonts w:hint="eastAsia"/>
          <w:color w:val="0D0D0D" w:themeColor="text1" w:themeTint="F2"/>
          <w14:textFill>
            <w14:solidFill>
              <w14:schemeClr w14:val="tx1">
                <w14:lumMod w14:val="95000"/>
                <w14:lumOff w14:val="5000"/>
              </w14:schemeClr>
            </w14:solidFill>
          </w14:textFill>
        </w:rPr>
        <w:sectPr>
          <w:pgSz w:w="11906" w:h="16838"/>
          <w:pgMar w:top="1418" w:right="1418" w:bottom="1588" w:left="1588" w:header="851" w:footer="992" w:gutter="0"/>
          <w:cols w:space="425" w:num="1"/>
          <w:docGrid w:type="lines" w:linePitch="326" w:charSpace="0"/>
        </w:sectPr>
      </w:pPr>
    </w:p>
    <w:p w14:paraId="74CD4FF4">
      <w:pPr>
        <w:pStyle w:val="2"/>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pPr>
      <w:r>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t>六、生态环境保护措施监督检查清单</w:t>
      </w:r>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79" w:type="dxa"/>
          <w:bottom w:w="0" w:type="dxa"/>
          <w:right w:w="79" w:type="dxa"/>
        </w:tblCellMar>
      </w:tblPr>
      <w:tblGrid>
        <w:gridCol w:w="1052"/>
        <w:gridCol w:w="3616"/>
        <w:gridCol w:w="2158"/>
        <w:gridCol w:w="834"/>
        <w:gridCol w:w="626"/>
      </w:tblGrid>
      <w:tr w14:paraId="6D69BD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5" w:type="pct"/>
            <w:vMerge w:val="restart"/>
            <w:tcBorders>
              <w:tl2br w:val="single" w:color="auto" w:sz="4" w:space="0"/>
            </w:tcBorders>
          </w:tcPr>
          <w:p w14:paraId="03814B1D">
            <w:pPr>
              <w:pStyle w:val="27"/>
              <w:adjustRightInd w:val="0"/>
              <w:snapToGrid w:val="0"/>
              <w:spacing w:before="0" w:beforeAutospacing="0" w:after="0" w:afterAutospacing="0" w:line="300" w:lineRule="exact"/>
              <w:jc w:val="right"/>
              <w:outlineLvl w:val="0"/>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pPr>
            <w:r>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t>内容</w:t>
            </w:r>
          </w:p>
          <w:p w14:paraId="122B5A99">
            <w:pPr>
              <w:pStyle w:val="27"/>
              <w:adjustRightInd w:val="0"/>
              <w:snapToGrid w:val="0"/>
              <w:spacing w:before="0" w:beforeAutospacing="0" w:after="0" w:afterAutospacing="0" w:line="300" w:lineRule="exact"/>
              <w:outlineLvl w:val="0"/>
              <w:rPr>
                <w:rFonts w:hint="eastAsia" w:ascii="黑体" w:hAnsi="黑体" w:eastAsia="黑体" w:cs="宋体"/>
                <w:color w:val="0D0D0D" w:themeColor="text1" w:themeTint="F2"/>
                <w:kern w:val="2"/>
                <w:sz w:val="135"/>
                <w:szCs w:val="21"/>
                <w14:textFill>
                  <w14:solidFill>
                    <w14:schemeClr w14:val="tx1">
                      <w14:lumMod w14:val="95000"/>
                      <w14:lumOff w14:val="5000"/>
                    </w14:schemeClr>
                  </w14:solidFill>
                </w14:textFill>
              </w:rPr>
            </w:pPr>
            <w:r>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t xml:space="preserve"> </w:t>
            </w:r>
            <w:r>
              <w:rPr>
                <w:rFonts w:hint="eastAsia" w:ascii="黑体" w:hAnsi="黑体" w:eastAsia="黑体" w:cs="宋体"/>
                <w:color w:val="0D0D0D" w:themeColor="text1" w:themeTint="F2"/>
                <w:kern w:val="2"/>
                <w:sz w:val="135"/>
                <w:szCs w:val="21"/>
                <w14:textFill>
                  <w14:solidFill>
                    <w14:schemeClr w14:val="tx1">
                      <w14:lumMod w14:val="95000"/>
                      <w14:lumOff w14:val="5000"/>
                    </w14:schemeClr>
                  </w14:solidFill>
                </w14:textFill>
              </w:rPr>
              <w:t xml:space="preserve"> </w:t>
            </w:r>
          </w:p>
          <w:p w14:paraId="243F68DD">
            <w:pPr>
              <w:pStyle w:val="27"/>
              <w:adjustRightInd w:val="0"/>
              <w:snapToGrid w:val="0"/>
              <w:spacing w:before="0" w:beforeAutospacing="0" w:after="0" w:afterAutospacing="0" w:line="300" w:lineRule="exact"/>
              <w:jc w:val="both"/>
              <w:outlineLvl w:val="0"/>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pPr>
            <w:r>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t>要素</w:t>
            </w:r>
          </w:p>
        </w:tc>
        <w:tc>
          <w:tcPr>
            <w:tcW w:w="3484" w:type="pct"/>
            <w:gridSpan w:val="2"/>
            <w:vAlign w:val="center"/>
          </w:tcPr>
          <w:p w14:paraId="2FA6B27D">
            <w:pPr>
              <w:pStyle w:val="27"/>
              <w:adjustRightInd w:val="0"/>
              <w:snapToGrid w:val="0"/>
              <w:spacing w:before="0" w:beforeAutospacing="0" w:after="0" w:afterAutospacing="0" w:line="300" w:lineRule="exact"/>
              <w:jc w:val="center"/>
              <w:outlineLvl w:val="0"/>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pPr>
            <w:r>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t>施工期</w:t>
            </w:r>
          </w:p>
        </w:tc>
        <w:tc>
          <w:tcPr>
            <w:tcW w:w="881" w:type="pct"/>
            <w:gridSpan w:val="2"/>
            <w:vAlign w:val="center"/>
          </w:tcPr>
          <w:p w14:paraId="291A34D6">
            <w:pPr>
              <w:pStyle w:val="27"/>
              <w:adjustRightInd w:val="0"/>
              <w:snapToGrid w:val="0"/>
              <w:spacing w:before="0" w:beforeAutospacing="0" w:after="0" w:afterAutospacing="0" w:line="300" w:lineRule="exact"/>
              <w:jc w:val="center"/>
              <w:outlineLvl w:val="0"/>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pPr>
            <w:r>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t>运营期</w:t>
            </w:r>
          </w:p>
        </w:tc>
      </w:tr>
      <w:tr w14:paraId="5AE7BC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5" w:type="pct"/>
            <w:vMerge w:val="continue"/>
          </w:tcPr>
          <w:p w14:paraId="0CA6F753">
            <w:pPr>
              <w:pStyle w:val="27"/>
              <w:adjustRightInd w:val="0"/>
              <w:snapToGrid w:val="0"/>
              <w:spacing w:before="0" w:beforeAutospacing="0" w:after="0" w:afterAutospacing="0" w:line="300" w:lineRule="exact"/>
              <w:jc w:val="center"/>
              <w:outlineLvl w:val="0"/>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pPr>
          </w:p>
        </w:tc>
        <w:tc>
          <w:tcPr>
            <w:tcW w:w="2182" w:type="pct"/>
            <w:vAlign w:val="center"/>
          </w:tcPr>
          <w:p w14:paraId="7C6AEBD0">
            <w:pPr>
              <w:pStyle w:val="27"/>
              <w:adjustRightInd w:val="0"/>
              <w:snapToGrid w:val="0"/>
              <w:spacing w:before="0" w:beforeAutospacing="0" w:after="0" w:afterAutospacing="0" w:line="300" w:lineRule="exact"/>
              <w:jc w:val="center"/>
              <w:outlineLvl w:val="0"/>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pPr>
            <w:r>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t>环境保护措施</w:t>
            </w:r>
          </w:p>
        </w:tc>
        <w:tc>
          <w:tcPr>
            <w:tcW w:w="1302" w:type="pct"/>
            <w:vAlign w:val="center"/>
          </w:tcPr>
          <w:p w14:paraId="2CE58166">
            <w:pPr>
              <w:pStyle w:val="27"/>
              <w:adjustRightInd w:val="0"/>
              <w:snapToGrid w:val="0"/>
              <w:spacing w:before="0" w:beforeAutospacing="0" w:after="0" w:afterAutospacing="0" w:line="300" w:lineRule="exact"/>
              <w:jc w:val="center"/>
              <w:outlineLvl w:val="0"/>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pPr>
            <w:r>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t>验收要求</w:t>
            </w:r>
          </w:p>
        </w:tc>
        <w:tc>
          <w:tcPr>
            <w:tcW w:w="503" w:type="pct"/>
            <w:vAlign w:val="center"/>
          </w:tcPr>
          <w:p w14:paraId="7BA20330">
            <w:pPr>
              <w:pStyle w:val="27"/>
              <w:adjustRightInd w:val="0"/>
              <w:snapToGrid w:val="0"/>
              <w:spacing w:before="0" w:beforeAutospacing="0" w:after="0" w:afterAutospacing="0" w:line="300" w:lineRule="exact"/>
              <w:jc w:val="center"/>
              <w:outlineLvl w:val="0"/>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pPr>
            <w:r>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t>环境保护措施</w:t>
            </w:r>
          </w:p>
        </w:tc>
        <w:tc>
          <w:tcPr>
            <w:tcW w:w="378" w:type="pct"/>
            <w:vAlign w:val="center"/>
          </w:tcPr>
          <w:p w14:paraId="1161402D">
            <w:pPr>
              <w:pStyle w:val="27"/>
              <w:adjustRightInd w:val="0"/>
              <w:snapToGrid w:val="0"/>
              <w:spacing w:before="0" w:beforeAutospacing="0" w:after="0" w:afterAutospacing="0" w:line="300" w:lineRule="exact"/>
              <w:jc w:val="center"/>
              <w:outlineLvl w:val="0"/>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pPr>
            <w:r>
              <w:rPr>
                <w:rFonts w:hint="eastAsia" w:ascii="黑体" w:hAnsi="黑体" w:eastAsia="黑体" w:cs="宋体"/>
                <w:color w:val="0D0D0D" w:themeColor="text1" w:themeTint="F2"/>
                <w:kern w:val="2"/>
                <w:sz w:val="21"/>
                <w:szCs w:val="21"/>
                <w14:textFill>
                  <w14:solidFill>
                    <w14:schemeClr w14:val="tx1">
                      <w14:lumMod w14:val="95000"/>
                      <w14:lumOff w14:val="5000"/>
                    </w14:schemeClr>
                  </w14:solidFill>
                </w14:textFill>
              </w:rPr>
              <w:t>验收要求</w:t>
            </w:r>
          </w:p>
        </w:tc>
      </w:tr>
      <w:tr w14:paraId="63A5C9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5" w:type="pct"/>
            <w:vAlign w:val="center"/>
          </w:tcPr>
          <w:p w14:paraId="0724ABBD">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陆生生态</w:t>
            </w:r>
          </w:p>
        </w:tc>
        <w:tc>
          <w:tcPr>
            <w:tcW w:w="2182" w:type="pct"/>
            <w:vAlign w:val="center"/>
          </w:tcPr>
          <w:p w14:paraId="24DD33AD">
            <w:pPr>
              <w:adjustRightInd w:val="0"/>
              <w:snapToGrid w:val="0"/>
              <w:spacing w:line="280" w:lineRule="exact"/>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pPr>
            <w:r>
              <w:rPr>
                <w:rFonts w:ascii="宋体" w:hAnsi="宋体" w:cs="宋体"/>
                <w:color w:val="0D0D0D" w:themeColor="text1" w:themeTint="F2"/>
                <w:spacing w:val="-2"/>
                <w:sz w:val="21"/>
                <w:szCs w:val="21"/>
                <w14:textFill>
                  <w14:solidFill>
                    <w14:schemeClr w14:val="tx1">
                      <w14:lumMod w14:val="95000"/>
                      <w14:lumOff w14:val="5000"/>
                    </w14:schemeClr>
                  </w14:solidFill>
                </w14:textFill>
              </w:rPr>
              <w:fldChar w:fldCharType="begin"/>
            </w:r>
            <w:r>
              <w:rPr>
                <w:rFonts w:ascii="宋体" w:hAnsi="宋体" w:cs="宋体"/>
                <w:color w:val="0D0D0D" w:themeColor="text1" w:themeTint="F2"/>
                <w:spacing w:val="-2"/>
                <w:sz w:val="21"/>
                <w:szCs w:val="21"/>
                <w14:textFill>
                  <w14:solidFill>
                    <w14:schemeClr w14:val="tx1">
                      <w14:lumMod w14:val="95000"/>
                      <w14:lumOff w14:val="5000"/>
                    </w14:schemeClr>
                  </w14:solidFill>
                </w14:textFill>
              </w:rPr>
              <w:instrText xml:space="preserve"> </w:instrTex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instrText xml:space="preserve">= 1 \* GB3</w:instrText>
            </w:r>
            <w:r>
              <w:rPr>
                <w:rFonts w:ascii="宋体" w:hAnsi="宋体" w:cs="宋体"/>
                <w:color w:val="0D0D0D" w:themeColor="text1" w:themeTint="F2"/>
                <w:spacing w:val="-2"/>
                <w:sz w:val="21"/>
                <w:szCs w:val="21"/>
                <w14:textFill>
                  <w14:solidFill>
                    <w14:schemeClr w14:val="tx1">
                      <w14:lumMod w14:val="95000"/>
                      <w14:lumOff w14:val="5000"/>
                    </w14:schemeClr>
                  </w14:solidFill>
                </w14:textFill>
              </w:rPr>
              <w:instrText xml:space="preserve"> </w:instrText>
            </w:r>
            <w:r>
              <w:rPr>
                <w:rFonts w:ascii="宋体" w:hAnsi="宋体" w:cs="宋体"/>
                <w:color w:val="0D0D0D" w:themeColor="text1" w:themeTint="F2"/>
                <w:spacing w:val="-2"/>
                <w:sz w:val="21"/>
                <w:szCs w:val="21"/>
                <w14:textFill>
                  <w14:solidFill>
                    <w14:schemeClr w14:val="tx1">
                      <w14:lumMod w14:val="95000"/>
                      <w14:lumOff w14:val="5000"/>
                    </w14:schemeClr>
                  </w14:solidFill>
                </w14:textFill>
              </w:rPr>
              <w:fldChar w:fldCharType="separate"/>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①</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fldChar w:fldCharType="end"/>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选址尽量避开植被密集区域；严格划定路线，禁止乱辗乱轧；确保各环保设施正常运行，避免各种污染物对土壤环境的影响；②严格控制占地，严格规定各类工作人员的活动范围；③完井后施工机械、设备及时撤离，废水和固体废物全部妥善处置，现场禁止遗留；</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fldChar w:fldCharType="begin"/>
            </w:r>
            <w:r>
              <w:rPr>
                <w:rFonts w:ascii="宋体" w:hAnsi="宋体" w:cs="宋体"/>
                <w:color w:val="0D0D0D" w:themeColor="text1" w:themeTint="F2"/>
                <w:spacing w:val="-2"/>
                <w:sz w:val="21"/>
                <w:szCs w:val="21"/>
                <w14:textFill>
                  <w14:solidFill>
                    <w14:schemeClr w14:val="tx1">
                      <w14:lumMod w14:val="95000"/>
                      <w14:lumOff w14:val="5000"/>
                    </w14:schemeClr>
                  </w14:solidFill>
                </w14:textFill>
              </w:rPr>
              <w:instrText xml:space="preserve"> </w:instrTex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instrText xml:space="preserve">= 4 \* GB3</w:instrText>
            </w:r>
            <w:r>
              <w:rPr>
                <w:rFonts w:ascii="宋体" w:hAnsi="宋体" w:cs="宋体"/>
                <w:color w:val="0D0D0D" w:themeColor="text1" w:themeTint="F2"/>
                <w:spacing w:val="-2"/>
                <w:sz w:val="21"/>
                <w:szCs w:val="21"/>
                <w14:textFill>
                  <w14:solidFill>
                    <w14:schemeClr w14:val="tx1">
                      <w14:lumMod w14:val="95000"/>
                      <w14:lumOff w14:val="5000"/>
                    </w14:schemeClr>
                  </w14:solidFill>
                </w14:textFill>
              </w:rPr>
              <w:instrText xml:space="preserve"> </w:instrText>
            </w:r>
            <w:r>
              <w:rPr>
                <w:rFonts w:ascii="宋体" w:hAnsi="宋体" w:cs="宋体"/>
                <w:color w:val="0D0D0D" w:themeColor="text1" w:themeTint="F2"/>
                <w:spacing w:val="-2"/>
                <w:sz w:val="21"/>
                <w:szCs w:val="21"/>
                <w14:textFill>
                  <w14:solidFill>
                    <w14:schemeClr w14:val="tx1">
                      <w14:lumMod w14:val="95000"/>
                      <w14:lumOff w14:val="5000"/>
                    </w14:schemeClr>
                  </w14:solidFill>
                </w14:textFill>
              </w:rPr>
              <w:fldChar w:fldCharType="separate"/>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④</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fldChar w:fldCharType="end"/>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建设单位按照相关要求办理临时占地经济补偿协议；⑤施工结束后及时对场地进行清理、平整并压实。⑥合理安排施工时间，避免大风天气施工。</w:t>
            </w:r>
          </w:p>
        </w:tc>
        <w:tc>
          <w:tcPr>
            <w:tcW w:w="1302" w:type="pct"/>
            <w:vAlign w:val="center"/>
          </w:tcPr>
          <w:p w14:paraId="5514284C">
            <w:pPr>
              <w:adjustRightInd w:val="0"/>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b/>
                <w:bCs/>
                <w:color w:val="0D0D0D" w:themeColor="text1" w:themeTint="F2"/>
                <w:sz w:val="21"/>
                <w:szCs w:val="21"/>
                <w14:textFill>
                  <w14:solidFill>
                    <w14:schemeClr w14:val="tx1">
                      <w14:lumMod w14:val="95000"/>
                      <w14:lumOff w14:val="5000"/>
                    </w14:schemeClr>
                  </w14:solidFill>
                </w14:textFill>
              </w:rPr>
              <w:t>验收内容：</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生态保护措施落实情况；现场无废水和固体废物遗留；井场及周边占地恢复情况；临时占地经济补偿协议办理情况。</w:t>
            </w:r>
          </w:p>
          <w:p w14:paraId="015ACB26">
            <w:pPr>
              <w:adjustRightInd w:val="0"/>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b/>
                <w:bCs/>
                <w:color w:val="0D0D0D" w:themeColor="text1" w:themeTint="F2"/>
                <w:sz w:val="21"/>
                <w:szCs w:val="21"/>
                <w14:textFill>
                  <w14:solidFill>
                    <w14:schemeClr w14:val="tx1">
                      <w14:lumMod w14:val="95000"/>
                      <w14:lumOff w14:val="5000"/>
                    </w14:schemeClr>
                  </w14:solidFill>
                </w14:textFill>
              </w:rPr>
              <w:t>验收效果：</w:t>
            </w:r>
            <w:r>
              <w:rPr>
                <w:rFonts w:ascii="宋体" w:hAnsi="宋体" w:cs="宋体"/>
                <w:color w:val="0D0D0D" w:themeColor="text1" w:themeTint="F2"/>
                <w:sz w:val="21"/>
                <w:szCs w:val="21"/>
                <w14:textFill>
                  <w14:solidFill>
                    <w14:schemeClr w14:val="tx1">
                      <w14:lumMod w14:val="95000"/>
                      <w14:lumOff w14:val="5000"/>
                    </w14:schemeClr>
                  </w14:solidFill>
                </w14:textFill>
              </w:rPr>
              <w:t>施工结束后清理、平整并压实</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临时占地</w:t>
            </w:r>
            <w:r>
              <w:rPr>
                <w:rFonts w:ascii="宋体" w:hAnsi="宋体" w:cs="宋体"/>
                <w:color w:val="0D0D0D" w:themeColor="text1" w:themeTint="F2"/>
                <w:sz w:val="21"/>
                <w:szCs w:val="21"/>
                <w14:textFill>
                  <w14:solidFill>
                    <w14:schemeClr w14:val="tx1">
                      <w14:lumMod w14:val="95000"/>
                      <w14:lumOff w14:val="5000"/>
                    </w14:schemeClr>
                  </w14:solidFill>
                </w14:textFill>
              </w:rPr>
              <w:t>，以利于土壤、植被自然恢复</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。井场、生活营地和探临道路进行平整，井场无废水和固体废物遗留。</w:t>
            </w:r>
          </w:p>
        </w:tc>
        <w:tc>
          <w:tcPr>
            <w:tcW w:w="503" w:type="pct"/>
            <w:vAlign w:val="center"/>
          </w:tcPr>
          <w:p w14:paraId="133014A0">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378" w:type="pct"/>
            <w:vAlign w:val="center"/>
          </w:tcPr>
          <w:p w14:paraId="3693EADC">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tr w14:paraId="37DCD0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5" w:type="pct"/>
            <w:vAlign w:val="center"/>
          </w:tcPr>
          <w:p w14:paraId="6A39F2BD">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水生生态</w:t>
            </w:r>
          </w:p>
        </w:tc>
        <w:tc>
          <w:tcPr>
            <w:tcW w:w="2182" w:type="pct"/>
            <w:vAlign w:val="center"/>
          </w:tcPr>
          <w:p w14:paraId="4C221FA4">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302" w:type="pct"/>
            <w:vAlign w:val="center"/>
          </w:tcPr>
          <w:p w14:paraId="5424AE65">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503" w:type="pct"/>
            <w:vAlign w:val="center"/>
          </w:tcPr>
          <w:p w14:paraId="1E432E0A">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378" w:type="pct"/>
            <w:vAlign w:val="center"/>
          </w:tcPr>
          <w:p w14:paraId="1249E4D7">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tr w14:paraId="1D1CE3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5" w:type="pct"/>
            <w:vAlign w:val="center"/>
          </w:tcPr>
          <w:p w14:paraId="2D2CAC18">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地表水</w:t>
            </w:r>
          </w:p>
          <w:p w14:paraId="25D2CD9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环境</w:t>
            </w:r>
          </w:p>
        </w:tc>
        <w:tc>
          <w:tcPr>
            <w:tcW w:w="3694" w:type="dxa"/>
            <w:vAlign w:val="center"/>
          </w:tcPr>
          <w:p w14:paraId="4D42E00E">
            <w:pPr>
              <w:adjustRightInd w:val="0"/>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①表层套管的固井水泥必须返高至地面，防止水体受到钻井液污染，并且必须保证表层固井质量完全合格，完井固定必须返高至含水层以上；②井场储罐、材料堆场、岩屑收集罐存放处等关键部位均采用防渗膜防渗，施工过程中产生的危险废物的收集、贮存、运输过程按照《危险废物收集贮存运输技术规范（HJ2025-2012）》中的相关要求管理；③项目产生的污染物应妥善处置，施工结束后井场禁止遗弃废弃物；④加强对工作人员防治地表水污染的宣传教育及管理。</w:t>
            </w:r>
          </w:p>
        </w:tc>
        <w:tc>
          <w:tcPr>
            <w:tcW w:w="2204" w:type="dxa"/>
            <w:vAlign w:val="center"/>
          </w:tcPr>
          <w:p w14:paraId="199A4E6F">
            <w:pPr>
              <w:adjustRightInd w:val="0"/>
              <w:snapToGrid w:val="0"/>
              <w:spacing w:line="280" w:lineRule="exact"/>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pPr>
            <w:r>
              <w:rPr>
                <w:rFonts w:hint="eastAsia" w:ascii="宋体" w:hAnsi="宋体" w:cs="宋体"/>
                <w:b/>
                <w:bCs/>
                <w:color w:val="0D0D0D" w:themeColor="text1" w:themeTint="F2"/>
                <w:spacing w:val="-2"/>
                <w:sz w:val="21"/>
                <w:szCs w:val="21"/>
                <w14:textFill>
                  <w14:solidFill>
                    <w14:schemeClr w14:val="tx1">
                      <w14:lumMod w14:val="95000"/>
                      <w14:lumOff w14:val="5000"/>
                    </w14:schemeClr>
                  </w14:solidFill>
                </w14:textFill>
              </w:rPr>
              <w:t>验收内容：</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地表水污染防治措施落实情况。</w:t>
            </w:r>
          </w:p>
          <w:p w14:paraId="4FBFA787">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b/>
                <w:bCs/>
                <w:color w:val="0D0D0D" w:themeColor="text1" w:themeTint="F2"/>
                <w:spacing w:val="-2"/>
                <w:sz w:val="21"/>
                <w:szCs w:val="21"/>
                <w14:textFill>
                  <w14:solidFill>
                    <w14:schemeClr w14:val="tx1">
                      <w14:lumMod w14:val="95000"/>
                      <w14:lumOff w14:val="5000"/>
                    </w14:schemeClr>
                  </w14:solidFill>
                </w14:textFill>
              </w:rPr>
              <w:t>验收效果：</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验收时现场无遗留问题。</w:t>
            </w:r>
          </w:p>
        </w:tc>
        <w:tc>
          <w:tcPr>
            <w:tcW w:w="503" w:type="pct"/>
            <w:vAlign w:val="center"/>
          </w:tcPr>
          <w:p w14:paraId="068AD085">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378" w:type="pct"/>
            <w:vAlign w:val="center"/>
          </w:tcPr>
          <w:p w14:paraId="166E3611">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tr w14:paraId="5B3E5E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5" w:type="pct"/>
            <w:vAlign w:val="center"/>
          </w:tcPr>
          <w:p w14:paraId="783F1806">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地下水及土壤环境</w:t>
            </w:r>
          </w:p>
        </w:tc>
        <w:tc>
          <w:tcPr>
            <w:tcW w:w="2182" w:type="pct"/>
            <w:vAlign w:val="center"/>
          </w:tcPr>
          <w:p w14:paraId="2789A820">
            <w:pPr>
              <w:adjustRightInd w:val="0"/>
              <w:snapToGrid w:val="0"/>
              <w:spacing w:line="280" w:lineRule="exact"/>
              <w:rPr>
                <w:rFonts w:hint="eastAsia" w:ascii="宋体" w:hAnsi="宋体" w:cs="宋体"/>
                <w:color w:val="0D0D0D" w:themeColor="text1" w:themeTint="F2"/>
                <w:spacing w:val="-4"/>
                <w:sz w:val="21"/>
                <w:szCs w:val="21"/>
                <w14:textFill>
                  <w14:solidFill>
                    <w14:schemeClr w14:val="tx1">
                      <w14:lumMod w14:val="95000"/>
                      <w14:lumOff w14:val="5000"/>
                    </w14:schemeClr>
                  </w14:solidFill>
                </w14:textFill>
              </w:rPr>
            </w:pPr>
            <w:r>
              <w:rPr>
                <w:rFonts w:ascii="宋体" w:hAnsi="宋体" w:cs="宋体"/>
                <w:color w:val="0D0D0D" w:themeColor="text1" w:themeTint="F2"/>
                <w:spacing w:val="-4"/>
                <w:sz w:val="21"/>
                <w:szCs w:val="21"/>
                <w14:textFill>
                  <w14:solidFill>
                    <w14:schemeClr w14:val="tx1">
                      <w14:lumMod w14:val="95000"/>
                      <w14:lumOff w14:val="5000"/>
                    </w14:schemeClr>
                  </w14:solidFill>
                </w14:textFill>
              </w:rPr>
              <w:fldChar w:fldCharType="begin"/>
            </w:r>
            <w:r>
              <w:rPr>
                <w:rFonts w:ascii="宋体" w:hAnsi="宋体" w:cs="宋体"/>
                <w:color w:val="0D0D0D" w:themeColor="text1" w:themeTint="F2"/>
                <w:spacing w:val="-4"/>
                <w:sz w:val="21"/>
                <w:szCs w:val="21"/>
                <w14:textFill>
                  <w14:solidFill>
                    <w14:schemeClr w14:val="tx1">
                      <w14:lumMod w14:val="95000"/>
                      <w14:lumOff w14:val="5000"/>
                    </w14:schemeClr>
                  </w14:solidFill>
                </w14:textFill>
              </w:rPr>
              <w:instrText xml:space="preserve"> </w:instrText>
            </w:r>
            <w:r>
              <w:rPr>
                <w:rFonts w:hint="eastAsia" w:ascii="宋体" w:hAnsi="宋体" w:cs="宋体"/>
                <w:color w:val="0D0D0D" w:themeColor="text1" w:themeTint="F2"/>
                <w:spacing w:val="-4"/>
                <w:sz w:val="21"/>
                <w:szCs w:val="21"/>
                <w14:textFill>
                  <w14:solidFill>
                    <w14:schemeClr w14:val="tx1">
                      <w14:lumMod w14:val="95000"/>
                      <w14:lumOff w14:val="5000"/>
                    </w14:schemeClr>
                  </w14:solidFill>
                </w14:textFill>
              </w:rPr>
              <w:instrText xml:space="preserve">= 1 \* GB3</w:instrText>
            </w:r>
            <w:r>
              <w:rPr>
                <w:rFonts w:ascii="宋体" w:hAnsi="宋体" w:cs="宋体"/>
                <w:color w:val="0D0D0D" w:themeColor="text1" w:themeTint="F2"/>
                <w:spacing w:val="-4"/>
                <w:sz w:val="21"/>
                <w:szCs w:val="21"/>
                <w14:textFill>
                  <w14:solidFill>
                    <w14:schemeClr w14:val="tx1">
                      <w14:lumMod w14:val="95000"/>
                      <w14:lumOff w14:val="5000"/>
                    </w14:schemeClr>
                  </w14:solidFill>
                </w14:textFill>
              </w:rPr>
              <w:instrText xml:space="preserve"> </w:instrText>
            </w:r>
            <w:r>
              <w:rPr>
                <w:rFonts w:ascii="宋体" w:hAnsi="宋体" w:cs="宋体"/>
                <w:color w:val="0D0D0D" w:themeColor="text1" w:themeTint="F2"/>
                <w:spacing w:val="-4"/>
                <w:sz w:val="21"/>
                <w:szCs w:val="21"/>
                <w14:textFill>
                  <w14:solidFill>
                    <w14:schemeClr w14:val="tx1">
                      <w14:lumMod w14:val="95000"/>
                      <w14:lumOff w14:val="5000"/>
                    </w14:schemeClr>
                  </w14:solidFill>
                </w14:textFill>
              </w:rPr>
              <w:fldChar w:fldCharType="separate"/>
            </w:r>
            <w:r>
              <w:rPr>
                <w:rFonts w:hint="eastAsia" w:ascii="宋体" w:hAnsi="宋体" w:cs="宋体"/>
                <w:color w:val="0D0D0D" w:themeColor="text1" w:themeTint="F2"/>
                <w:spacing w:val="-4"/>
                <w:sz w:val="21"/>
                <w:szCs w:val="21"/>
                <w14:textFill>
                  <w14:solidFill>
                    <w14:schemeClr w14:val="tx1">
                      <w14:lumMod w14:val="95000"/>
                      <w14:lumOff w14:val="5000"/>
                    </w14:schemeClr>
                  </w14:solidFill>
                </w14:textFill>
              </w:rPr>
              <w:t>①</w:t>
            </w:r>
            <w:r>
              <w:rPr>
                <w:rFonts w:ascii="宋体" w:hAnsi="宋体" w:cs="宋体"/>
                <w:color w:val="0D0D0D" w:themeColor="text1" w:themeTint="F2"/>
                <w:spacing w:val="-4"/>
                <w:sz w:val="21"/>
                <w:szCs w:val="21"/>
                <w14:textFill>
                  <w14:solidFill>
                    <w14:schemeClr w14:val="tx1">
                      <w14:lumMod w14:val="95000"/>
                      <w14:lumOff w14:val="5000"/>
                    </w14:schemeClr>
                  </w14:solidFill>
                </w14:textFill>
              </w:rPr>
              <w:fldChar w:fldCharType="end"/>
            </w:r>
            <w:r>
              <w:rPr>
                <w:rFonts w:hint="eastAsia" w:ascii="宋体" w:hAnsi="宋体" w:cs="宋体"/>
                <w:color w:val="0D0D0D" w:themeColor="text1" w:themeTint="F2"/>
                <w:spacing w:val="-4"/>
                <w:sz w:val="21"/>
                <w:szCs w:val="21"/>
                <w14:textFill>
                  <w14:solidFill>
                    <w14:schemeClr w14:val="tx1">
                      <w14:lumMod w14:val="95000"/>
                      <w14:lumOff w14:val="5000"/>
                    </w14:schemeClr>
                  </w14:solidFill>
                </w14:textFill>
              </w:rPr>
              <w:t>生活污水经临时防渗收集池收集和暂存，定期由吸污车拉运至呼图壁丰泉污水处理厂；②洗井废水和压裂返排液收集至专用储罐后由罐车拉运至采油一厂红山嘴原油处理站采出水处理系统处理。</w:t>
            </w:r>
          </w:p>
        </w:tc>
        <w:tc>
          <w:tcPr>
            <w:tcW w:w="1302" w:type="pct"/>
            <w:vAlign w:val="center"/>
          </w:tcPr>
          <w:p w14:paraId="67039689">
            <w:pPr>
              <w:adjustRightInd w:val="0"/>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b/>
                <w:bCs/>
                <w:color w:val="0D0D0D" w:themeColor="text1" w:themeTint="F2"/>
                <w:sz w:val="21"/>
                <w:szCs w:val="21"/>
                <w14:textFill>
                  <w14:solidFill>
                    <w14:schemeClr w14:val="tx1">
                      <w14:lumMod w14:val="95000"/>
                      <w14:lumOff w14:val="5000"/>
                    </w14:schemeClr>
                  </w14:solidFill>
                </w14:textFill>
              </w:rPr>
              <w:t>验收内容：</w:t>
            </w:r>
            <w:r>
              <w:rPr>
                <w:rFonts w:hint="eastAsia" w:ascii="宋体" w:hAnsi="宋体"/>
                <w:color w:val="0D0D0D" w:themeColor="text1" w:themeTint="F2"/>
                <w:sz w:val="21"/>
                <w:szCs w:val="21"/>
                <w14:textFill>
                  <w14:solidFill>
                    <w14:schemeClr w14:val="tx1">
                      <w14:lumMod w14:val="95000"/>
                      <w14:lumOff w14:val="5000"/>
                    </w14:schemeClr>
                  </w14:solidFill>
                </w14:textFill>
              </w:rPr>
              <w:t>①生活污水签订清运协议；</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②洗井废水和压裂返排液现场无遗留。</w:t>
            </w:r>
          </w:p>
          <w:p w14:paraId="0FB2E77B">
            <w:pPr>
              <w:adjustRightInd w:val="0"/>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b/>
                <w:bCs/>
                <w:color w:val="0D0D0D" w:themeColor="text1" w:themeTint="F2"/>
                <w:sz w:val="21"/>
                <w:szCs w:val="21"/>
                <w14:textFill>
                  <w14:solidFill>
                    <w14:schemeClr w14:val="tx1">
                      <w14:lumMod w14:val="95000"/>
                      <w14:lumOff w14:val="5000"/>
                    </w14:schemeClr>
                  </w14:solidFill>
                </w14:textFill>
              </w:rPr>
              <w:t>验收效果：</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验收时现场无遗留问题。</w:t>
            </w:r>
          </w:p>
        </w:tc>
        <w:tc>
          <w:tcPr>
            <w:tcW w:w="503" w:type="pct"/>
            <w:vAlign w:val="center"/>
          </w:tcPr>
          <w:p w14:paraId="5D6707C3">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378" w:type="pct"/>
            <w:vAlign w:val="center"/>
          </w:tcPr>
          <w:p w14:paraId="54A1B8E0">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tr w14:paraId="7FBD3C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5" w:type="pct"/>
            <w:vAlign w:val="center"/>
          </w:tcPr>
          <w:p w14:paraId="02CCF6CE">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声环境</w:t>
            </w:r>
          </w:p>
        </w:tc>
        <w:tc>
          <w:tcPr>
            <w:tcW w:w="2182" w:type="pct"/>
            <w:vAlign w:val="center"/>
          </w:tcPr>
          <w:p w14:paraId="0C24F99B">
            <w:pPr>
              <w:adjustRightInd w:val="0"/>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在设备选型上要求采用低噪声的设备，施工设备定期检查维修，对噪声较大的设备采取基础减振措施；加强施工场地管理，合理疏导进入施工区的车辆，禁止运输车辆随意高声鸣笛。</w:t>
            </w:r>
          </w:p>
        </w:tc>
        <w:tc>
          <w:tcPr>
            <w:tcW w:w="1302" w:type="pct"/>
            <w:vAlign w:val="center"/>
          </w:tcPr>
          <w:p w14:paraId="01886EB4">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503" w:type="pct"/>
            <w:vAlign w:val="center"/>
          </w:tcPr>
          <w:p w14:paraId="6A0BAD1F">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378" w:type="pct"/>
            <w:vAlign w:val="center"/>
          </w:tcPr>
          <w:p w14:paraId="5CFD629E">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tr w14:paraId="3E0B26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5" w:type="pct"/>
            <w:vAlign w:val="center"/>
          </w:tcPr>
          <w:p w14:paraId="19C463E4">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振动</w:t>
            </w:r>
          </w:p>
        </w:tc>
        <w:tc>
          <w:tcPr>
            <w:tcW w:w="2182" w:type="pct"/>
            <w:vAlign w:val="center"/>
          </w:tcPr>
          <w:p w14:paraId="1E38D528">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302" w:type="pct"/>
            <w:vAlign w:val="center"/>
          </w:tcPr>
          <w:p w14:paraId="05562345">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503" w:type="pct"/>
            <w:vAlign w:val="center"/>
          </w:tcPr>
          <w:p w14:paraId="5493C955">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378" w:type="pct"/>
            <w:vAlign w:val="center"/>
          </w:tcPr>
          <w:p w14:paraId="449FB5B8">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tr w14:paraId="4E57FF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5" w:type="pct"/>
            <w:vAlign w:val="center"/>
          </w:tcPr>
          <w:p w14:paraId="4CD6306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大气环境</w:t>
            </w:r>
          </w:p>
        </w:tc>
        <w:tc>
          <w:tcPr>
            <w:tcW w:w="2182" w:type="pct"/>
            <w:vAlign w:val="center"/>
          </w:tcPr>
          <w:p w14:paraId="500BBC8E">
            <w:pPr>
              <w:adjustRightInd w:val="0"/>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①使用达标油品，加强设备维护；②试油期产生的伴生气含量较少且不稳定，不具备回收利用条件，经排气管线充分燃烧后排放；③加强车辆管理，避免大风时作业；④柴油储罐采用固定顶罐。⑤加强采出液储罐管理、装卸必须采取密闭装载方式。</w:t>
            </w:r>
          </w:p>
        </w:tc>
        <w:tc>
          <w:tcPr>
            <w:tcW w:w="1302" w:type="pct"/>
            <w:vAlign w:val="center"/>
          </w:tcPr>
          <w:p w14:paraId="6D4D64F5">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b/>
                <w:bCs/>
                <w:color w:val="0D0D0D" w:themeColor="text1" w:themeTint="F2"/>
                <w:sz w:val="21"/>
                <w:szCs w:val="21"/>
                <w14:textFill>
                  <w14:solidFill>
                    <w14:schemeClr w14:val="tx1">
                      <w14:lumMod w14:val="95000"/>
                      <w14:lumOff w14:val="5000"/>
                    </w14:schemeClr>
                  </w14:solidFill>
                </w14:textFill>
              </w:rPr>
              <w:t>验收效果：</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验收时现场无施工遗留问题。</w:t>
            </w:r>
          </w:p>
        </w:tc>
        <w:tc>
          <w:tcPr>
            <w:tcW w:w="503" w:type="pct"/>
            <w:vAlign w:val="center"/>
          </w:tcPr>
          <w:p w14:paraId="4D26EEE2">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378" w:type="pct"/>
            <w:vAlign w:val="center"/>
          </w:tcPr>
          <w:p w14:paraId="69A732E2">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tr w14:paraId="5EAE3F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5" w:type="pct"/>
            <w:vAlign w:val="center"/>
          </w:tcPr>
          <w:p w14:paraId="20F8D8E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固体废物</w:t>
            </w:r>
          </w:p>
        </w:tc>
        <w:tc>
          <w:tcPr>
            <w:tcW w:w="2182" w:type="pct"/>
            <w:vAlign w:val="center"/>
          </w:tcPr>
          <w:p w14:paraId="05A516B2">
            <w:pPr>
              <w:adjustRightInd w:val="0"/>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①水基钻井岩屑：经钻井液不落地设备处理后进水基钻井岩屑暂存于岩屑方罐，交由岩屑处置单位处置；</w:t>
            </w:r>
            <w:r>
              <w:rPr>
                <w:rFonts w:ascii="宋体" w:hAnsi="宋体" w:cs="宋体"/>
                <w:color w:val="0D0D0D" w:themeColor="text1" w:themeTint="F2"/>
                <w:sz w:val="21"/>
                <w:szCs w:val="21"/>
                <w14:textFill>
                  <w14:solidFill>
                    <w14:schemeClr w14:val="tx1">
                      <w14:lumMod w14:val="95000"/>
                      <w14:lumOff w14:val="5000"/>
                    </w14:schemeClr>
                  </w14:solidFill>
                </w14:textFill>
              </w:rPr>
              <w:t>②油基钻井岩屑：经钻井液不落地设备处理后进入专用储罐储存，最终交由具有相应危险废物处置资质的单位处置；③</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废防渗材料、废润滑油及废润滑油桶：未沾油的防渗材料由施工单位集中回收利用，沾油的废防渗材料、废润滑油及废润滑油桶委托具有相应危险废物处置资质的单位进行接收、转运和处置；④生活垃圾：集中收集后定期清运至呼图壁县生活垃圾填埋场处置。⑤建筑垃圾：优先回收利用，无法回收利用的由钻井队负责清运。</w:t>
            </w:r>
          </w:p>
        </w:tc>
        <w:tc>
          <w:tcPr>
            <w:tcW w:w="1302" w:type="pct"/>
            <w:vAlign w:val="center"/>
          </w:tcPr>
          <w:p w14:paraId="29644DCF">
            <w:pPr>
              <w:adjustRightInd w:val="0"/>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b/>
                <w:bCs/>
                <w:color w:val="0D0D0D" w:themeColor="text1" w:themeTint="F2"/>
                <w:sz w:val="21"/>
                <w:szCs w:val="21"/>
                <w14:textFill>
                  <w14:solidFill>
                    <w14:schemeClr w14:val="tx1">
                      <w14:lumMod w14:val="95000"/>
                      <w14:lumOff w14:val="5000"/>
                    </w14:schemeClr>
                  </w14:solidFill>
                </w14:textFill>
              </w:rPr>
              <w:t>验收内容：</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①水基钻井岩屑交由岩屑处置单位处理，并签订处置协议；②危险废物交由有相应危险废物处理资质的单位处理，并与处置单位签订处置协议，查阅危险废物台账，检查现场是否有遗留；③生活垃圾送至呼图壁县生活垃圾填埋场，并与生活垃圾填埋场签订接收协议。</w:t>
            </w:r>
          </w:p>
          <w:p w14:paraId="0809B8F2">
            <w:pPr>
              <w:adjustRightInd w:val="0"/>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b/>
                <w:bCs/>
                <w:color w:val="0D0D0D" w:themeColor="text1" w:themeTint="F2"/>
                <w:sz w:val="21"/>
                <w:szCs w:val="21"/>
                <w14:textFill>
                  <w14:solidFill>
                    <w14:schemeClr w14:val="tx1">
                      <w14:lumMod w14:val="95000"/>
                      <w14:lumOff w14:val="5000"/>
                    </w14:schemeClr>
                  </w14:solidFill>
                </w14:textFill>
              </w:rPr>
              <w:t>验收效果：</w:t>
            </w:r>
            <w:r>
              <w:rPr>
                <w:rFonts w:ascii="宋体" w:hAnsi="宋体" w:cs="宋体"/>
                <w:color w:val="0D0D0D" w:themeColor="text1" w:themeTint="F2"/>
                <w:sz w:val="21"/>
                <w:szCs w:val="21"/>
                <w14:textFill>
                  <w14:solidFill>
                    <w14:schemeClr w14:val="tx1">
                      <w14:lumMod w14:val="95000"/>
                      <w14:lumOff w14:val="5000"/>
                    </w14:schemeClr>
                  </w14:solidFill>
                </w14:textFill>
              </w:rPr>
              <w:t>现场</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无固废</w:t>
            </w:r>
            <w:r>
              <w:rPr>
                <w:rFonts w:ascii="宋体" w:hAnsi="宋体" w:cs="宋体"/>
                <w:color w:val="0D0D0D" w:themeColor="text1" w:themeTint="F2"/>
                <w:sz w:val="21"/>
                <w:szCs w:val="21"/>
                <w14:textFill>
                  <w14:solidFill>
                    <w14:schemeClr w14:val="tx1">
                      <w14:lumMod w14:val="95000"/>
                      <w14:lumOff w14:val="5000"/>
                    </w14:schemeClr>
                  </w14:solidFill>
                </w14:textFill>
              </w:rPr>
              <w:t>遗留</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503" w:type="pct"/>
            <w:vAlign w:val="center"/>
          </w:tcPr>
          <w:p w14:paraId="7808DEF9">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378" w:type="pct"/>
            <w:vAlign w:val="center"/>
          </w:tcPr>
          <w:p w14:paraId="075EE61B">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tr w14:paraId="51F9C8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5" w:type="pct"/>
            <w:vAlign w:val="center"/>
          </w:tcPr>
          <w:p w14:paraId="5DD25278">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电磁环境</w:t>
            </w:r>
          </w:p>
        </w:tc>
        <w:tc>
          <w:tcPr>
            <w:tcW w:w="2182" w:type="pct"/>
            <w:vAlign w:val="center"/>
          </w:tcPr>
          <w:p w14:paraId="68B2ABDE">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302" w:type="pct"/>
            <w:vAlign w:val="center"/>
          </w:tcPr>
          <w:p w14:paraId="29786188">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503" w:type="pct"/>
            <w:vAlign w:val="center"/>
          </w:tcPr>
          <w:p w14:paraId="0A4257E1">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378" w:type="pct"/>
            <w:vAlign w:val="center"/>
          </w:tcPr>
          <w:p w14:paraId="2E32126E">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tr w14:paraId="4CBD13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5" w:type="pct"/>
            <w:vAlign w:val="center"/>
          </w:tcPr>
          <w:p w14:paraId="7690753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环境风险</w:t>
            </w:r>
          </w:p>
        </w:tc>
        <w:tc>
          <w:tcPr>
            <w:tcW w:w="2182" w:type="pct"/>
            <w:vAlign w:val="center"/>
          </w:tcPr>
          <w:p w14:paraId="1EEE63BA">
            <w:pPr>
              <w:adjustRightInd w:val="0"/>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①施工时应严格执行相关风险防范措施和规章制度，严禁违规操作加强设备维修与巡检，避免储罐泄漏事故的发生；②在井口安装井控装置，杜绝井喷的发生；</w:t>
            </w:r>
            <w:r>
              <w:rPr>
                <w:rFonts w:ascii="宋体" w:hAnsi="宋体" w:cs="宋体"/>
                <w:color w:val="0D0D0D" w:themeColor="text1" w:themeTint="F2"/>
                <w:sz w:val="21"/>
                <w:szCs w:val="21"/>
                <w14:textFill>
                  <w14:solidFill>
                    <w14:schemeClr w14:val="tx1">
                      <w14:lumMod w14:val="95000"/>
                      <w14:lumOff w14:val="5000"/>
                    </w14:schemeClr>
                  </w14:solidFill>
                </w14:textFill>
              </w:rPr>
              <w:fldChar w:fldCharType="begin"/>
            </w:r>
            <w:r>
              <w:rPr>
                <w:rFonts w:ascii="宋体" w:hAnsi="宋体" w:cs="宋体"/>
                <w:color w:val="0D0D0D" w:themeColor="text1" w:themeTint="F2"/>
                <w:sz w:val="21"/>
                <w:szCs w:val="21"/>
                <w14:textFill>
                  <w14:solidFill>
                    <w14:schemeClr w14:val="tx1">
                      <w14:lumMod w14:val="95000"/>
                      <w14:lumOff w14:val="5000"/>
                    </w14:schemeClr>
                  </w14:solidFill>
                </w14:textFill>
              </w:rPr>
              <w:instrText xml:space="preserve"> </w:instrText>
            </w:r>
            <w:r>
              <w:rPr>
                <w:rFonts w:hint="eastAsia" w:ascii="宋体" w:hAnsi="宋体" w:cs="宋体"/>
                <w:color w:val="0D0D0D" w:themeColor="text1" w:themeTint="F2"/>
                <w:sz w:val="21"/>
                <w:szCs w:val="21"/>
                <w14:textFill>
                  <w14:solidFill>
                    <w14:schemeClr w14:val="tx1">
                      <w14:lumMod w14:val="95000"/>
                      <w14:lumOff w14:val="5000"/>
                    </w14:schemeClr>
                  </w14:solidFill>
                </w14:textFill>
              </w:rPr>
              <w:instrText xml:space="preserve">= 3 \* GB3</w:instrText>
            </w:r>
            <w:r>
              <w:rPr>
                <w:rFonts w:ascii="宋体" w:hAnsi="宋体" w:cs="宋体"/>
                <w:color w:val="0D0D0D" w:themeColor="text1" w:themeTint="F2"/>
                <w:sz w:val="21"/>
                <w:szCs w:val="21"/>
                <w14:textFill>
                  <w14:solidFill>
                    <w14:schemeClr w14:val="tx1">
                      <w14:lumMod w14:val="95000"/>
                      <w14:lumOff w14:val="5000"/>
                    </w14:schemeClr>
                  </w14:solidFill>
                </w14:textFill>
              </w:rPr>
              <w:instrText xml:space="preserve"> </w:instrText>
            </w:r>
            <w:r>
              <w:rPr>
                <w:rFonts w:ascii="宋体" w:hAnsi="宋体" w:cs="宋体"/>
                <w:color w:val="0D0D0D" w:themeColor="text1" w:themeTint="F2"/>
                <w:sz w:val="21"/>
                <w:szCs w:val="21"/>
                <w14:textFill>
                  <w14:solidFill>
                    <w14:schemeClr w14:val="tx1">
                      <w14:lumMod w14:val="95000"/>
                      <w14:lumOff w14:val="5000"/>
                    </w14:schemeClr>
                  </w14:solidFill>
                </w14:textFill>
              </w:rPr>
              <w:fldChar w:fldCharType="separate"/>
            </w:r>
            <w:r>
              <w:rPr>
                <w:rFonts w:hint="eastAsia" w:ascii="宋体" w:hAnsi="宋体" w:cs="宋体"/>
                <w:color w:val="0D0D0D" w:themeColor="text1" w:themeTint="F2"/>
                <w:sz w:val="21"/>
                <w:szCs w:val="21"/>
                <w14:textFill>
                  <w14:solidFill>
                    <w14:schemeClr w14:val="tx1">
                      <w14:lumMod w14:val="95000"/>
                      <w14:lumOff w14:val="5000"/>
                    </w14:schemeClr>
                  </w14:solidFill>
                </w14:textFill>
              </w:rPr>
              <w:t>③</w:t>
            </w:r>
            <w:r>
              <w:rPr>
                <w:rFonts w:ascii="宋体" w:hAnsi="宋体" w:cs="宋体"/>
                <w:color w:val="0D0D0D" w:themeColor="text1" w:themeTint="F2"/>
                <w:sz w:val="21"/>
                <w:szCs w:val="21"/>
                <w14:textFill>
                  <w14:solidFill>
                    <w14:schemeClr w14:val="tx1">
                      <w14:lumMod w14:val="95000"/>
                      <w14:lumOff w14:val="5000"/>
                    </w14:schemeClr>
                  </w14:solidFill>
                </w14:textFill>
              </w:rPr>
              <w:fldChar w:fldCharType="end"/>
            </w:r>
            <w:r>
              <w:rPr>
                <w:rFonts w:hint="eastAsia" w:ascii="宋体" w:hAnsi="宋体" w:cs="宋体"/>
                <w:color w:val="0D0D0D" w:themeColor="text1" w:themeTint="F2"/>
                <w:sz w:val="21"/>
                <w:szCs w:val="21"/>
                <w14:textFill>
                  <w14:solidFill>
                    <w14:schemeClr w14:val="tx1">
                      <w14:lumMod w14:val="95000"/>
                      <w14:lumOff w14:val="5000"/>
                    </w14:schemeClr>
                  </w14:solidFill>
                </w14:textFill>
              </w:rPr>
              <w:t>定期检查固井质量，发现固井质量不合格应及时采取措施，保证固井质量合格；</w:t>
            </w:r>
            <w:r>
              <w:rPr>
                <w:rFonts w:ascii="宋体" w:hAnsi="宋体" w:cs="宋体"/>
                <w:color w:val="0D0D0D" w:themeColor="text1" w:themeTint="F2"/>
                <w:sz w:val="21"/>
                <w:szCs w:val="21"/>
                <w14:textFill>
                  <w14:solidFill>
                    <w14:schemeClr w14:val="tx1">
                      <w14:lumMod w14:val="95000"/>
                      <w14:lumOff w14:val="5000"/>
                    </w14:schemeClr>
                  </w14:solidFill>
                </w14:textFill>
              </w:rPr>
              <w:fldChar w:fldCharType="begin"/>
            </w:r>
            <w:r>
              <w:rPr>
                <w:rFonts w:ascii="宋体" w:hAnsi="宋体" w:cs="宋体"/>
                <w:color w:val="0D0D0D" w:themeColor="text1" w:themeTint="F2"/>
                <w:sz w:val="21"/>
                <w:szCs w:val="21"/>
                <w14:textFill>
                  <w14:solidFill>
                    <w14:schemeClr w14:val="tx1">
                      <w14:lumMod w14:val="95000"/>
                      <w14:lumOff w14:val="5000"/>
                    </w14:schemeClr>
                  </w14:solidFill>
                </w14:textFill>
              </w:rPr>
              <w:instrText xml:space="preserve"> </w:instrText>
            </w:r>
            <w:r>
              <w:rPr>
                <w:rFonts w:hint="eastAsia" w:ascii="宋体" w:hAnsi="宋体" w:cs="宋体"/>
                <w:color w:val="0D0D0D" w:themeColor="text1" w:themeTint="F2"/>
                <w:sz w:val="21"/>
                <w:szCs w:val="21"/>
                <w14:textFill>
                  <w14:solidFill>
                    <w14:schemeClr w14:val="tx1">
                      <w14:lumMod w14:val="95000"/>
                      <w14:lumOff w14:val="5000"/>
                    </w14:schemeClr>
                  </w14:solidFill>
                </w14:textFill>
              </w:rPr>
              <w:instrText xml:space="preserve">= 4 \* GB3</w:instrText>
            </w:r>
            <w:r>
              <w:rPr>
                <w:rFonts w:ascii="宋体" w:hAnsi="宋体" w:cs="宋体"/>
                <w:color w:val="0D0D0D" w:themeColor="text1" w:themeTint="F2"/>
                <w:sz w:val="21"/>
                <w:szCs w:val="21"/>
                <w14:textFill>
                  <w14:solidFill>
                    <w14:schemeClr w14:val="tx1">
                      <w14:lumMod w14:val="95000"/>
                      <w14:lumOff w14:val="5000"/>
                    </w14:schemeClr>
                  </w14:solidFill>
                </w14:textFill>
              </w:rPr>
              <w:instrText xml:space="preserve"> </w:instrText>
            </w:r>
            <w:r>
              <w:rPr>
                <w:rFonts w:ascii="宋体" w:hAnsi="宋体" w:cs="宋体"/>
                <w:color w:val="0D0D0D" w:themeColor="text1" w:themeTint="F2"/>
                <w:sz w:val="21"/>
                <w:szCs w:val="21"/>
                <w14:textFill>
                  <w14:solidFill>
                    <w14:schemeClr w14:val="tx1">
                      <w14:lumMod w14:val="95000"/>
                      <w14:lumOff w14:val="5000"/>
                    </w14:schemeClr>
                  </w14:solidFill>
                </w14:textFill>
              </w:rPr>
              <w:fldChar w:fldCharType="separate"/>
            </w:r>
            <w:r>
              <w:rPr>
                <w:rFonts w:hint="eastAsia" w:ascii="宋体" w:hAnsi="宋体" w:cs="宋体"/>
                <w:color w:val="0D0D0D" w:themeColor="text1" w:themeTint="F2"/>
                <w:sz w:val="21"/>
                <w:szCs w:val="21"/>
                <w14:textFill>
                  <w14:solidFill>
                    <w14:schemeClr w14:val="tx1">
                      <w14:lumMod w14:val="95000"/>
                      <w14:lumOff w14:val="5000"/>
                    </w14:schemeClr>
                  </w14:solidFill>
                </w14:textFill>
              </w:rPr>
              <w:t>④</w:t>
            </w:r>
            <w:r>
              <w:rPr>
                <w:rFonts w:ascii="宋体" w:hAnsi="宋体" w:cs="宋体"/>
                <w:color w:val="0D0D0D" w:themeColor="text1" w:themeTint="F2"/>
                <w:sz w:val="21"/>
                <w:szCs w:val="21"/>
                <w14:textFill>
                  <w14:solidFill>
                    <w14:schemeClr w14:val="tx1">
                      <w14:lumMod w14:val="95000"/>
                      <w14:lumOff w14:val="5000"/>
                    </w14:schemeClr>
                  </w14:solidFill>
                </w14:textFill>
              </w:rPr>
              <w:fldChar w:fldCharType="end"/>
            </w:r>
            <w:r>
              <w:rPr>
                <w:rFonts w:hint="eastAsia" w:ascii="宋体" w:hAnsi="宋体" w:cs="宋体"/>
                <w:color w:val="0D0D0D" w:themeColor="text1" w:themeTint="F2"/>
                <w:sz w:val="21"/>
                <w:szCs w:val="21"/>
                <w14:textFill>
                  <w14:solidFill>
                    <w14:schemeClr w14:val="tx1">
                      <w14:lumMod w14:val="95000"/>
                      <w14:lumOff w14:val="5000"/>
                    </w14:schemeClr>
                  </w14:solidFill>
                </w14:textFill>
              </w:rPr>
              <w:t>加强各类储罐及放喷管线的日常管理及安全检查；</w:t>
            </w:r>
            <w:r>
              <w:rPr>
                <w:rFonts w:ascii="宋体" w:hAnsi="宋体" w:cs="宋体"/>
                <w:color w:val="0D0D0D" w:themeColor="text1" w:themeTint="F2"/>
                <w:sz w:val="21"/>
                <w:szCs w:val="21"/>
                <w14:textFill>
                  <w14:solidFill>
                    <w14:schemeClr w14:val="tx1">
                      <w14:lumMod w14:val="95000"/>
                      <w14:lumOff w14:val="5000"/>
                    </w14:schemeClr>
                  </w14:solidFill>
                </w14:textFill>
              </w:rPr>
              <w:fldChar w:fldCharType="begin"/>
            </w:r>
            <w:r>
              <w:rPr>
                <w:rFonts w:ascii="宋体" w:hAnsi="宋体" w:cs="宋体"/>
                <w:color w:val="0D0D0D" w:themeColor="text1" w:themeTint="F2"/>
                <w:sz w:val="21"/>
                <w:szCs w:val="21"/>
                <w14:textFill>
                  <w14:solidFill>
                    <w14:schemeClr w14:val="tx1">
                      <w14:lumMod w14:val="95000"/>
                      <w14:lumOff w14:val="5000"/>
                    </w14:schemeClr>
                  </w14:solidFill>
                </w14:textFill>
              </w:rPr>
              <w:instrText xml:space="preserve"> </w:instrText>
            </w:r>
            <w:r>
              <w:rPr>
                <w:rFonts w:hint="eastAsia" w:ascii="宋体" w:hAnsi="宋体" w:cs="宋体"/>
                <w:color w:val="0D0D0D" w:themeColor="text1" w:themeTint="F2"/>
                <w:sz w:val="21"/>
                <w:szCs w:val="21"/>
                <w14:textFill>
                  <w14:solidFill>
                    <w14:schemeClr w14:val="tx1">
                      <w14:lumMod w14:val="95000"/>
                      <w14:lumOff w14:val="5000"/>
                    </w14:schemeClr>
                  </w14:solidFill>
                </w14:textFill>
              </w:rPr>
              <w:instrText xml:space="preserve">= 5 \* GB3</w:instrText>
            </w:r>
            <w:r>
              <w:rPr>
                <w:rFonts w:ascii="宋体" w:hAnsi="宋体" w:cs="宋体"/>
                <w:color w:val="0D0D0D" w:themeColor="text1" w:themeTint="F2"/>
                <w:sz w:val="21"/>
                <w:szCs w:val="21"/>
                <w14:textFill>
                  <w14:solidFill>
                    <w14:schemeClr w14:val="tx1">
                      <w14:lumMod w14:val="95000"/>
                      <w14:lumOff w14:val="5000"/>
                    </w14:schemeClr>
                  </w14:solidFill>
                </w14:textFill>
              </w:rPr>
              <w:instrText xml:space="preserve"> </w:instrText>
            </w:r>
            <w:r>
              <w:rPr>
                <w:rFonts w:ascii="宋体" w:hAnsi="宋体" w:cs="宋体"/>
                <w:color w:val="0D0D0D" w:themeColor="text1" w:themeTint="F2"/>
                <w:sz w:val="21"/>
                <w:szCs w:val="21"/>
                <w14:textFill>
                  <w14:solidFill>
                    <w14:schemeClr w14:val="tx1">
                      <w14:lumMod w14:val="95000"/>
                      <w14:lumOff w14:val="5000"/>
                    </w14:schemeClr>
                  </w14:solidFill>
                </w14:textFill>
              </w:rPr>
              <w:fldChar w:fldCharType="separate"/>
            </w:r>
            <w:r>
              <w:rPr>
                <w:rFonts w:hint="eastAsia" w:ascii="宋体" w:hAnsi="宋体" w:cs="宋体"/>
                <w:color w:val="0D0D0D" w:themeColor="text1" w:themeTint="F2"/>
                <w:sz w:val="21"/>
                <w:szCs w:val="21"/>
                <w14:textFill>
                  <w14:solidFill>
                    <w14:schemeClr w14:val="tx1">
                      <w14:lumMod w14:val="95000"/>
                      <w14:lumOff w14:val="5000"/>
                    </w14:schemeClr>
                  </w14:solidFill>
                </w14:textFill>
              </w:rPr>
              <w:t>⑤</w:t>
            </w:r>
            <w:r>
              <w:rPr>
                <w:rFonts w:ascii="宋体" w:hAnsi="宋体" w:cs="宋体"/>
                <w:color w:val="0D0D0D" w:themeColor="text1" w:themeTint="F2"/>
                <w:sz w:val="21"/>
                <w:szCs w:val="21"/>
                <w14:textFill>
                  <w14:solidFill>
                    <w14:schemeClr w14:val="tx1">
                      <w14:lumMod w14:val="95000"/>
                      <w14:lumOff w14:val="5000"/>
                    </w14:schemeClr>
                  </w14:solidFill>
                </w14:textFill>
              </w:rPr>
              <w:fldChar w:fldCharType="end"/>
            </w:r>
            <w:r>
              <w:rPr>
                <w:rFonts w:hint="eastAsia" w:ascii="宋体" w:hAnsi="宋体" w:cs="宋体"/>
                <w:color w:val="0D0D0D" w:themeColor="text1" w:themeTint="F2"/>
                <w:sz w:val="21"/>
                <w:szCs w:val="21"/>
                <w14:textFill>
                  <w14:solidFill>
                    <w14:schemeClr w14:val="tx1">
                      <w14:lumMod w14:val="95000"/>
                      <w14:lumOff w14:val="5000"/>
                    </w14:schemeClr>
                  </w14:solidFill>
                </w14:textFill>
              </w:rPr>
              <w:t>加强施工期管理，严禁油田施工人员和车辆随意进入临时占地以外的区域；⑥应将本项目纳入《中国石油新疆油田分公司勘探事业部突发环境事件应急预案》。</w:t>
            </w:r>
          </w:p>
        </w:tc>
        <w:tc>
          <w:tcPr>
            <w:tcW w:w="1302" w:type="pct"/>
            <w:vAlign w:val="center"/>
          </w:tcPr>
          <w:p w14:paraId="3A74A3D2">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503" w:type="pct"/>
            <w:vAlign w:val="center"/>
          </w:tcPr>
          <w:p w14:paraId="27BD938C">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378" w:type="pct"/>
            <w:vAlign w:val="center"/>
          </w:tcPr>
          <w:p w14:paraId="2ED216AF">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tr w14:paraId="3DDBA0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340" w:hRule="atLeast"/>
          <w:jc w:val="center"/>
        </w:trPr>
        <w:tc>
          <w:tcPr>
            <w:tcW w:w="635" w:type="pct"/>
            <w:vAlign w:val="center"/>
          </w:tcPr>
          <w:p w14:paraId="0CA53D6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环境监测</w:t>
            </w:r>
          </w:p>
        </w:tc>
        <w:tc>
          <w:tcPr>
            <w:tcW w:w="2182" w:type="pct"/>
            <w:vAlign w:val="center"/>
          </w:tcPr>
          <w:p w14:paraId="3A3279EE">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302" w:type="pct"/>
            <w:vAlign w:val="center"/>
          </w:tcPr>
          <w:p w14:paraId="3D7C788D">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503" w:type="pct"/>
            <w:vAlign w:val="center"/>
          </w:tcPr>
          <w:p w14:paraId="6B2991EF">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378" w:type="pct"/>
            <w:vAlign w:val="center"/>
          </w:tcPr>
          <w:p w14:paraId="34D0806D">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tr w14:paraId="05790A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79" w:type="dxa"/>
            <w:bottom w:w="0" w:type="dxa"/>
            <w:right w:w="79" w:type="dxa"/>
          </w:tblCellMar>
        </w:tblPrEx>
        <w:trPr>
          <w:trHeight w:val="4462" w:hRule="atLeast"/>
          <w:jc w:val="center"/>
        </w:trPr>
        <w:tc>
          <w:tcPr>
            <w:tcW w:w="635" w:type="pct"/>
            <w:vAlign w:val="center"/>
          </w:tcPr>
          <w:p w14:paraId="2D9BC7BE">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其他</w:t>
            </w:r>
          </w:p>
        </w:tc>
        <w:tc>
          <w:tcPr>
            <w:tcW w:w="2182" w:type="pct"/>
            <w:vAlign w:val="center"/>
          </w:tcPr>
          <w:p w14:paraId="4C4A9A1E">
            <w:pPr>
              <w:adjustRightInd w:val="0"/>
              <w:snapToGrid w:val="0"/>
              <w:spacing w:line="280" w:lineRule="exact"/>
              <w:rPr>
                <w:color w:val="0D0D0D" w:themeColor="text1" w:themeTint="F2"/>
                <w14:textFill>
                  <w14:solidFill>
                    <w14:schemeClr w14:val="tx1">
                      <w14:lumMod w14:val="95000"/>
                      <w14:lumOff w14:val="5000"/>
                    </w14:schemeClr>
                  </w14:solidFill>
                </w14:textFill>
              </w:rPr>
            </w:pPr>
            <w:r>
              <w:rPr>
                <w:rFonts w:ascii="宋体" w:hAnsi="宋体" w:cs="宋体"/>
                <w:color w:val="0D0D0D" w:themeColor="text1" w:themeTint="F2"/>
                <w:sz w:val="21"/>
                <w:szCs w:val="21"/>
                <w14:textFill>
                  <w14:solidFill>
                    <w14:schemeClr w14:val="tx1">
                      <w14:lumMod w14:val="95000"/>
                      <w14:lumOff w14:val="5000"/>
                    </w14:schemeClr>
                  </w14:solidFill>
                </w14:textFill>
              </w:rPr>
              <w:t>施工单位应建立环境保护档案，保存施工前后项目区的影像资料，使施工全过程各类污染物产生、去向和各个污染措施及实施情况均记录在案。建设单位对施工单位钻井期间进行环保日常检查并做好记录；完工交井前，建设单位主管部门现场验收，合格后方可记录为完工，做到工完料净场地清，并做好记录</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1302" w:type="pct"/>
            <w:vAlign w:val="center"/>
          </w:tcPr>
          <w:p w14:paraId="65073F6C">
            <w:pPr>
              <w:adjustRightInd w:val="0"/>
              <w:snapToGrid w:val="0"/>
              <w:spacing w:line="28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验收要求：环境管理制度是否建立并完善，环保机构及人员是否设置到位；是否保留必要的影像资料。</w:t>
            </w:r>
          </w:p>
        </w:tc>
        <w:tc>
          <w:tcPr>
            <w:tcW w:w="503" w:type="pct"/>
            <w:vAlign w:val="center"/>
          </w:tcPr>
          <w:p w14:paraId="6218F9DC">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c>
          <w:tcPr>
            <w:tcW w:w="378" w:type="pct"/>
            <w:vAlign w:val="center"/>
          </w:tcPr>
          <w:p w14:paraId="73364EC7">
            <w:pPr>
              <w:adjustRightInd w:val="0"/>
              <w:snapToGrid w:val="0"/>
              <w:spacing w:line="28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tbl>
    <w:p w14:paraId="0F9B555C">
      <w:pPr>
        <w:pStyle w:val="11"/>
        <w:rPr>
          <w:rFonts w:hint="eastAsia"/>
          <w:color w:val="0D0D0D" w:themeColor="text1" w:themeTint="F2"/>
          <w14:textFill>
            <w14:solidFill>
              <w14:schemeClr w14:val="tx1">
                <w14:lumMod w14:val="95000"/>
                <w14:lumOff w14:val="5000"/>
              </w14:schemeClr>
            </w14:solidFill>
          </w14:textFill>
        </w:rPr>
        <w:sectPr>
          <w:pgSz w:w="11906" w:h="16838"/>
          <w:pgMar w:top="1440" w:right="1800" w:bottom="1440" w:left="1800" w:header="851" w:footer="992" w:gutter="0"/>
          <w:cols w:space="425" w:num="1"/>
          <w:docGrid w:type="lines" w:linePitch="312" w:charSpace="0"/>
        </w:sectPr>
      </w:pPr>
    </w:p>
    <w:p w14:paraId="55265AF9">
      <w:pPr>
        <w:pStyle w:val="2"/>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pPr>
      <w:r>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t>七、结论</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451E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3B7CF745">
            <w:pPr>
              <w:pStyle w:val="38"/>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本项目符合国家产业政策、“三线一单”和相关规划，选址选线合理。在严格执行已有各项环保政策、规定，认真落实报告表中提出的污染防治措施和生态影响减缓措施的前提下，从生态环境保护角度分析建设可行。</w:t>
            </w:r>
          </w:p>
          <w:p w14:paraId="4426F2B9">
            <w:pPr>
              <w:pStyle w:val="11"/>
              <w:rPr>
                <w:rFonts w:hint="eastAsia"/>
                <w:color w:val="0D0D0D" w:themeColor="text1" w:themeTint="F2"/>
                <w14:textFill>
                  <w14:solidFill>
                    <w14:schemeClr w14:val="tx1">
                      <w14:lumMod w14:val="95000"/>
                      <w14:lumOff w14:val="5000"/>
                    </w14:schemeClr>
                  </w14:solidFill>
                </w14:textFill>
              </w:rPr>
            </w:pPr>
          </w:p>
          <w:p w14:paraId="253A8930">
            <w:pPr>
              <w:pStyle w:val="11"/>
              <w:rPr>
                <w:rFonts w:hint="eastAsia"/>
                <w:color w:val="0D0D0D" w:themeColor="text1" w:themeTint="F2"/>
                <w14:textFill>
                  <w14:solidFill>
                    <w14:schemeClr w14:val="tx1">
                      <w14:lumMod w14:val="95000"/>
                      <w14:lumOff w14:val="5000"/>
                    </w14:schemeClr>
                  </w14:solidFill>
                </w14:textFill>
              </w:rPr>
            </w:pPr>
          </w:p>
          <w:p w14:paraId="51ADB214">
            <w:pPr>
              <w:pStyle w:val="11"/>
              <w:rPr>
                <w:rFonts w:hint="eastAsia"/>
                <w:color w:val="0D0D0D" w:themeColor="text1" w:themeTint="F2"/>
                <w14:textFill>
                  <w14:solidFill>
                    <w14:schemeClr w14:val="tx1">
                      <w14:lumMod w14:val="95000"/>
                      <w14:lumOff w14:val="5000"/>
                    </w14:schemeClr>
                  </w14:solidFill>
                </w14:textFill>
              </w:rPr>
            </w:pPr>
          </w:p>
          <w:p w14:paraId="0F959996">
            <w:pPr>
              <w:pStyle w:val="11"/>
              <w:rPr>
                <w:rFonts w:hint="eastAsia"/>
                <w:color w:val="0D0D0D" w:themeColor="text1" w:themeTint="F2"/>
                <w14:textFill>
                  <w14:solidFill>
                    <w14:schemeClr w14:val="tx1">
                      <w14:lumMod w14:val="95000"/>
                      <w14:lumOff w14:val="5000"/>
                    </w14:schemeClr>
                  </w14:solidFill>
                </w14:textFill>
              </w:rPr>
            </w:pPr>
          </w:p>
          <w:p w14:paraId="7931CDAE">
            <w:pPr>
              <w:pStyle w:val="11"/>
              <w:rPr>
                <w:rFonts w:hint="eastAsia"/>
                <w:color w:val="0D0D0D" w:themeColor="text1" w:themeTint="F2"/>
                <w14:textFill>
                  <w14:solidFill>
                    <w14:schemeClr w14:val="tx1">
                      <w14:lumMod w14:val="95000"/>
                      <w14:lumOff w14:val="5000"/>
                    </w14:schemeClr>
                  </w14:solidFill>
                </w14:textFill>
              </w:rPr>
            </w:pPr>
          </w:p>
          <w:p w14:paraId="06AC8347">
            <w:pPr>
              <w:pStyle w:val="11"/>
              <w:rPr>
                <w:rFonts w:hint="eastAsia"/>
                <w:color w:val="0D0D0D" w:themeColor="text1" w:themeTint="F2"/>
                <w14:textFill>
                  <w14:solidFill>
                    <w14:schemeClr w14:val="tx1">
                      <w14:lumMod w14:val="95000"/>
                      <w14:lumOff w14:val="5000"/>
                    </w14:schemeClr>
                  </w14:solidFill>
                </w14:textFill>
              </w:rPr>
            </w:pPr>
          </w:p>
          <w:p w14:paraId="2334E009">
            <w:pPr>
              <w:pStyle w:val="11"/>
              <w:rPr>
                <w:rFonts w:hint="eastAsia"/>
                <w:color w:val="0D0D0D" w:themeColor="text1" w:themeTint="F2"/>
                <w14:textFill>
                  <w14:solidFill>
                    <w14:schemeClr w14:val="tx1">
                      <w14:lumMod w14:val="95000"/>
                      <w14:lumOff w14:val="5000"/>
                    </w14:schemeClr>
                  </w14:solidFill>
                </w14:textFill>
              </w:rPr>
            </w:pPr>
          </w:p>
          <w:p w14:paraId="3E837750">
            <w:pPr>
              <w:pStyle w:val="11"/>
              <w:rPr>
                <w:rFonts w:hint="eastAsia"/>
                <w:color w:val="0D0D0D" w:themeColor="text1" w:themeTint="F2"/>
                <w14:textFill>
                  <w14:solidFill>
                    <w14:schemeClr w14:val="tx1">
                      <w14:lumMod w14:val="95000"/>
                      <w14:lumOff w14:val="5000"/>
                    </w14:schemeClr>
                  </w14:solidFill>
                </w14:textFill>
              </w:rPr>
            </w:pPr>
          </w:p>
          <w:p w14:paraId="5484FAD3">
            <w:pPr>
              <w:pStyle w:val="11"/>
              <w:rPr>
                <w:rFonts w:hint="eastAsia"/>
                <w:color w:val="0D0D0D" w:themeColor="text1" w:themeTint="F2"/>
                <w14:textFill>
                  <w14:solidFill>
                    <w14:schemeClr w14:val="tx1">
                      <w14:lumMod w14:val="95000"/>
                      <w14:lumOff w14:val="5000"/>
                    </w14:schemeClr>
                  </w14:solidFill>
                </w14:textFill>
              </w:rPr>
            </w:pPr>
          </w:p>
          <w:p w14:paraId="0C97446D">
            <w:pPr>
              <w:pStyle w:val="11"/>
              <w:rPr>
                <w:rFonts w:hint="eastAsia"/>
                <w:color w:val="0D0D0D" w:themeColor="text1" w:themeTint="F2"/>
                <w14:textFill>
                  <w14:solidFill>
                    <w14:schemeClr w14:val="tx1">
                      <w14:lumMod w14:val="95000"/>
                      <w14:lumOff w14:val="5000"/>
                    </w14:schemeClr>
                  </w14:solidFill>
                </w14:textFill>
              </w:rPr>
            </w:pPr>
          </w:p>
          <w:p w14:paraId="2228BFEC">
            <w:pPr>
              <w:pStyle w:val="11"/>
              <w:rPr>
                <w:rFonts w:hint="eastAsia"/>
                <w:color w:val="0D0D0D" w:themeColor="text1" w:themeTint="F2"/>
                <w14:textFill>
                  <w14:solidFill>
                    <w14:schemeClr w14:val="tx1">
                      <w14:lumMod w14:val="95000"/>
                      <w14:lumOff w14:val="5000"/>
                    </w14:schemeClr>
                  </w14:solidFill>
                </w14:textFill>
              </w:rPr>
            </w:pPr>
          </w:p>
          <w:p w14:paraId="10578EAA">
            <w:pPr>
              <w:pStyle w:val="11"/>
              <w:rPr>
                <w:rFonts w:hint="eastAsia"/>
                <w:color w:val="0D0D0D" w:themeColor="text1" w:themeTint="F2"/>
                <w14:textFill>
                  <w14:solidFill>
                    <w14:schemeClr w14:val="tx1">
                      <w14:lumMod w14:val="95000"/>
                      <w14:lumOff w14:val="5000"/>
                    </w14:schemeClr>
                  </w14:solidFill>
                </w14:textFill>
              </w:rPr>
            </w:pPr>
          </w:p>
          <w:p w14:paraId="0A08BFA4">
            <w:pPr>
              <w:pStyle w:val="11"/>
              <w:rPr>
                <w:rFonts w:hint="eastAsia"/>
                <w:color w:val="0D0D0D" w:themeColor="text1" w:themeTint="F2"/>
                <w14:textFill>
                  <w14:solidFill>
                    <w14:schemeClr w14:val="tx1">
                      <w14:lumMod w14:val="95000"/>
                      <w14:lumOff w14:val="5000"/>
                    </w14:schemeClr>
                  </w14:solidFill>
                </w14:textFill>
              </w:rPr>
            </w:pPr>
          </w:p>
          <w:p w14:paraId="0CACACAE">
            <w:pPr>
              <w:pStyle w:val="11"/>
              <w:rPr>
                <w:rFonts w:hint="eastAsia"/>
                <w:color w:val="0D0D0D" w:themeColor="text1" w:themeTint="F2"/>
                <w14:textFill>
                  <w14:solidFill>
                    <w14:schemeClr w14:val="tx1">
                      <w14:lumMod w14:val="95000"/>
                      <w14:lumOff w14:val="5000"/>
                    </w14:schemeClr>
                  </w14:solidFill>
                </w14:textFill>
              </w:rPr>
            </w:pPr>
          </w:p>
          <w:p w14:paraId="5769483B">
            <w:pPr>
              <w:widowControl/>
              <w:jc w:val="left"/>
              <w:rPr>
                <w:rFonts w:hint="eastAsia" w:ascii="宋体" w:hAnsi="宋体" w:cs="宋体"/>
                <w:color w:val="0D0D0D" w:themeColor="text1" w:themeTint="F2"/>
                <w:kern w:val="0"/>
                <w14:textFill>
                  <w14:solidFill>
                    <w14:schemeClr w14:val="tx1">
                      <w14:lumMod w14:val="95000"/>
                      <w14:lumOff w14:val="5000"/>
                    </w14:schemeClr>
                  </w14:solidFill>
                </w14:textFill>
              </w:rPr>
            </w:pPr>
          </w:p>
          <w:p w14:paraId="7D04E209">
            <w:pPr>
              <w:pStyle w:val="11"/>
              <w:rPr>
                <w:rFonts w:hint="eastAsia"/>
                <w:color w:val="0D0D0D" w:themeColor="text1" w:themeTint="F2"/>
                <w14:textFill>
                  <w14:solidFill>
                    <w14:schemeClr w14:val="tx1">
                      <w14:lumMod w14:val="95000"/>
                      <w14:lumOff w14:val="5000"/>
                    </w14:schemeClr>
                  </w14:solidFill>
                </w14:textFill>
              </w:rPr>
            </w:pPr>
          </w:p>
          <w:p w14:paraId="3F6074F9">
            <w:pPr>
              <w:pStyle w:val="11"/>
              <w:rPr>
                <w:rFonts w:hint="eastAsia"/>
                <w:color w:val="0D0D0D" w:themeColor="text1" w:themeTint="F2"/>
                <w14:textFill>
                  <w14:solidFill>
                    <w14:schemeClr w14:val="tx1">
                      <w14:lumMod w14:val="95000"/>
                      <w14:lumOff w14:val="5000"/>
                    </w14:schemeClr>
                  </w14:solidFill>
                </w14:textFill>
              </w:rPr>
            </w:pPr>
          </w:p>
          <w:p w14:paraId="7274381D">
            <w:pPr>
              <w:pStyle w:val="11"/>
              <w:rPr>
                <w:rFonts w:hint="eastAsia"/>
                <w:color w:val="0D0D0D" w:themeColor="text1" w:themeTint="F2"/>
                <w14:textFill>
                  <w14:solidFill>
                    <w14:schemeClr w14:val="tx1">
                      <w14:lumMod w14:val="95000"/>
                      <w14:lumOff w14:val="5000"/>
                    </w14:schemeClr>
                  </w14:solidFill>
                </w14:textFill>
              </w:rPr>
            </w:pPr>
          </w:p>
          <w:p w14:paraId="6F99B18F">
            <w:pPr>
              <w:pStyle w:val="11"/>
              <w:rPr>
                <w:rFonts w:hint="eastAsia"/>
                <w:color w:val="0D0D0D" w:themeColor="text1" w:themeTint="F2"/>
                <w14:textFill>
                  <w14:solidFill>
                    <w14:schemeClr w14:val="tx1">
                      <w14:lumMod w14:val="95000"/>
                      <w14:lumOff w14:val="5000"/>
                    </w14:schemeClr>
                  </w14:solidFill>
                </w14:textFill>
              </w:rPr>
            </w:pPr>
          </w:p>
          <w:p w14:paraId="763DB30E">
            <w:pPr>
              <w:pStyle w:val="11"/>
              <w:rPr>
                <w:rFonts w:hint="eastAsia"/>
                <w:color w:val="0D0D0D" w:themeColor="text1" w:themeTint="F2"/>
                <w14:textFill>
                  <w14:solidFill>
                    <w14:schemeClr w14:val="tx1">
                      <w14:lumMod w14:val="95000"/>
                      <w14:lumOff w14:val="5000"/>
                    </w14:schemeClr>
                  </w14:solidFill>
                </w14:textFill>
              </w:rPr>
            </w:pPr>
          </w:p>
          <w:p w14:paraId="380B26E2">
            <w:pPr>
              <w:pStyle w:val="11"/>
              <w:rPr>
                <w:rFonts w:hint="eastAsia"/>
                <w:color w:val="0D0D0D" w:themeColor="text1" w:themeTint="F2"/>
                <w14:textFill>
                  <w14:solidFill>
                    <w14:schemeClr w14:val="tx1">
                      <w14:lumMod w14:val="95000"/>
                      <w14:lumOff w14:val="5000"/>
                    </w14:schemeClr>
                  </w14:solidFill>
                </w14:textFill>
              </w:rPr>
            </w:pPr>
          </w:p>
          <w:p w14:paraId="1EDF7D40">
            <w:pPr>
              <w:pStyle w:val="11"/>
              <w:rPr>
                <w:rFonts w:hint="eastAsia"/>
                <w:color w:val="0D0D0D" w:themeColor="text1" w:themeTint="F2"/>
                <w14:textFill>
                  <w14:solidFill>
                    <w14:schemeClr w14:val="tx1">
                      <w14:lumMod w14:val="95000"/>
                      <w14:lumOff w14:val="5000"/>
                    </w14:schemeClr>
                  </w14:solidFill>
                </w14:textFill>
              </w:rPr>
            </w:pPr>
          </w:p>
          <w:p w14:paraId="7ED4CF39">
            <w:pPr>
              <w:pStyle w:val="11"/>
              <w:rPr>
                <w:rFonts w:hint="eastAsia"/>
                <w:color w:val="0D0D0D" w:themeColor="text1" w:themeTint="F2"/>
                <w14:textFill>
                  <w14:solidFill>
                    <w14:schemeClr w14:val="tx1">
                      <w14:lumMod w14:val="95000"/>
                      <w14:lumOff w14:val="5000"/>
                    </w14:schemeClr>
                  </w14:solidFill>
                </w14:textFill>
              </w:rPr>
            </w:pPr>
          </w:p>
        </w:tc>
      </w:tr>
    </w:tbl>
    <w:p w14:paraId="443DC9DC">
      <w:pPr>
        <w:pStyle w:val="11"/>
        <w:rPr>
          <w:rFonts w:hint="eastAsia"/>
          <w:color w:val="0D0D0D" w:themeColor="text1" w:themeTint="F2"/>
          <w14:textFill>
            <w14:solidFill>
              <w14:schemeClr w14:val="tx1">
                <w14:lumMod w14:val="95000"/>
                <w14:lumOff w14:val="5000"/>
              </w14:schemeClr>
            </w14:solidFill>
          </w14:textFill>
        </w:rPr>
        <w:sectPr>
          <w:pgSz w:w="11906" w:h="16838"/>
          <w:pgMar w:top="1440" w:right="1800" w:bottom="1440" w:left="1800" w:header="851" w:footer="992" w:gutter="0"/>
          <w:cols w:space="425" w:num="1"/>
          <w:docGrid w:type="lines" w:linePitch="312" w:charSpace="0"/>
        </w:sectPr>
      </w:pPr>
    </w:p>
    <w:p w14:paraId="555D048C">
      <w:pPr>
        <w:pStyle w:val="2"/>
        <w:jc w:val="both"/>
        <w:rPr>
          <w:color w:val="0D0D0D" w:themeColor="text1" w:themeTint="F2"/>
          <w14:textFill>
            <w14:solidFill>
              <w14:schemeClr w14:val="tx1">
                <w14:lumMod w14:val="95000"/>
                <w14:lumOff w14:val="5000"/>
              </w14:schemeClr>
            </w14:solidFill>
          </w14:textFill>
        </w:rPr>
      </w:pPr>
    </w:p>
    <w:sectPr>
      <w:pgSz w:w="16838" w:h="11906" w:orient="landscape"/>
      <w:pgMar w:top="1418" w:right="1418" w:bottom="1588" w:left="1588"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F17F67-284B-453A-BF63-8CCA3957FD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embedRegular r:id="rId2" w:fontKey="{238A31FA-B2FC-4BB9-BCFF-9C320CB1BE34}"/>
  </w:font>
  <w:font w:name="Arial">
    <w:panose1 w:val="020B0604020202020204"/>
    <w:charset w:val="00"/>
    <w:family w:val="swiss"/>
    <w:pitch w:val="default"/>
    <w:sig w:usb0="E0002EFF" w:usb1="C000785B" w:usb2="00000009" w:usb3="00000000" w:csb0="400001FF" w:csb1="FFFF0000"/>
    <w:embedRegular r:id="rId3" w:fontKey="{42D3C66C-5D8D-47E7-BBD2-5005278DDCBF}"/>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81F5C650-0623-484C-9F4F-557654BF937B}"/>
  </w:font>
  <w:font w:name="方正仿宋_GBK">
    <w:panose1 w:val="02000000000000000000"/>
    <w:charset w:val="86"/>
    <w:family w:val="script"/>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5" w:fontKey="{5A3713B3-560A-41E0-883A-F82E8516A707}"/>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6" w:fontKey="{B60210E6-B041-419C-9D42-41D2E36427A0}"/>
  </w:font>
  <w:font w:name="Wingdings 2">
    <w:panose1 w:val="05020102010507070707"/>
    <w:charset w:val="02"/>
    <w:family w:val="roman"/>
    <w:pitch w:val="default"/>
    <w:sig w:usb0="00000000" w:usb1="00000000" w:usb2="00000000" w:usb3="00000000" w:csb0="80000000" w:csb1="00000000"/>
    <w:embedRegular r:id="rId7" w:fontKey="{EC7E08FF-2324-4DAC-9C14-1879523CEEF6}"/>
  </w:font>
  <w:font w:name="TimesNewRomanPSMT">
    <w:altName w:val="Times New Roman"/>
    <w:panose1 w:val="00000000000000000000"/>
    <w:charset w:val="00"/>
    <w:family w:val="roman"/>
    <w:pitch w:val="default"/>
    <w:sig w:usb0="00000000" w:usb1="00000000" w:usb2="00000010" w:usb3="00000000" w:csb0="00040001" w:csb1="00000000"/>
    <w:embedRegular r:id="rId8" w:fontKey="{7A5AD9F2-A26D-4ECD-801B-385DF5DB7D8C}"/>
  </w:font>
  <w:font w:name="DejaVu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C6B3F">
    <w:pPr>
      <w:pStyle w:val="17"/>
      <w:ind w:right="360" w:firstLine="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0BFAE">
    <w:pPr>
      <w:pStyle w:val="17"/>
      <w:framePr w:wrap="around" w:vAnchor="text" w:hAnchor="margin" w:xAlign="outside" w:y="1"/>
      <w:rPr>
        <w:rStyle w:val="32"/>
      </w:rPr>
    </w:pPr>
    <w:r>
      <w:rPr>
        <w:rStyle w:val="32"/>
      </w:rPr>
      <w:fldChar w:fldCharType="begin"/>
    </w:r>
    <w:r>
      <w:rPr>
        <w:rStyle w:val="32"/>
      </w:rPr>
      <w:instrText xml:space="preserve">PAGE  </w:instrText>
    </w:r>
    <w:r>
      <w:rPr>
        <w:rStyle w:val="32"/>
      </w:rPr>
      <w:fldChar w:fldCharType="separate"/>
    </w:r>
    <w:r>
      <w:rPr>
        <w:rStyle w:val="32"/>
      </w:rPr>
      <w:t>1</w:t>
    </w:r>
    <w:r>
      <w:rPr>
        <w:rStyle w:val="32"/>
      </w:rPr>
      <w:fldChar w:fldCharType="end"/>
    </w:r>
  </w:p>
  <w:p w14:paraId="46A62CFC">
    <w:pPr>
      <w:pStyle w:val="1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4678521"/>
    </w:sdtPr>
    <w:sdtContent>
      <w:p w14:paraId="5A6A0B91">
        <w:pPr>
          <w:pStyle w:val="17"/>
          <w:jc w:val="center"/>
        </w:pPr>
        <w:r>
          <w:fldChar w:fldCharType="begin"/>
        </w:r>
        <w:r>
          <w:instrText xml:space="preserve">PAGE   \* MERGEFORMAT</w:instrText>
        </w:r>
        <w:r>
          <w:fldChar w:fldCharType="separate"/>
        </w:r>
        <w:r>
          <w:rPr>
            <w:lang w:val="zh-CN"/>
          </w:rPr>
          <w:t>2</w:t>
        </w:r>
        <w:r>
          <w:fldChar w:fldCharType="end"/>
        </w:r>
      </w:p>
    </w:sdtContent>
  </w:sdt>
  <w:p w14:paraId="314A9697">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6996287"/>
      <w:docPartObj>
        <w:docPartGallery w:val="AutoText"/>
      </w:docPartObj>
    </w:sdtPr>
    <w:sdtContent>
      <w:p w14:paraId="650DC908">
        <w:pPr>
          <w:pStyle w:val="17"/>
          <w:jc w:val="center"/>
        </w:pPr>
        <w:r>
          <w:fldChar w:fldCharType="begin"/>
        </w:r>
        <w:r>
          <w:instrText xml:space="preserve">PAGE   \* MERGEFORMAT</w:instrText>
        </w:r>
        <w:r>
          <w:fldChar w:fldCharType="separate"/>
        </w:r>
        <w:r>
          <w:rPr>
            <w:lang w:val="zh-CN"/>
          </w:rP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FB605"/>
    <w:multiLevelType w:val="singleLevel"/>
    <w:tmpl w:val="99FFB605"/>
    <w:lvl w:ilvl="0" w:tentative="0">
      <w:start w:val="1"/>
      <w:numFmt w:val="decimal"/>
      <w:lvlText w:val="%1."/>
      <w:lvlJc w:val="left"/>
      <w:pPr>
        <w:tabs>
          <w:tab w:val="left" w:pos="312"/>
        </w:tabs>
      </w:pPr>
    </w:lvl>
  </w:abstractNum>
  <w:abstractNum w:abstractNumId="1">
    <w:nsid w:val="0BB59835"/>
    <w:multiLevelType w:val="singleLevel"/>
    <w:tmpl w:val="0BB59835"/>
    <w:lvl w:ilvl="0" w:tentative="0">
      <w:start w:val="1"/>
      <w:numFmt w:val="decimal"/>
      <w:lvlText w:val="%1."/>
      <w:lvlJc w:val="left"/>
      <w:pPr>
        <w:tabs>
          <w:tab w:val="left" w:pos="312"/>
        </w:tabs>
      </w:pPr>
    </w:lvl>
  </w:abstractNum>
  <w:abstractNum w:abstractNumId="2">
    <w:nsid w:val="47D15015"/>
    <w:multiLevelType w:val="multilevel"/>
    <w:tmpl w:val="47D15015"/>
    <w:lvl w:ilvl="0" w:tentative="0">
      <w:start w:val="1"/>
      <w:numFmt w:val="decimal"/>
      <w:suff w:val="space"/>
      <w:lvlText w:val="%1"/>
      <w:lvlJc w:val="left"/>
      <w:pPr>
        <w:ind w:left="0" w:firstLine="0"/>
      </w:pPr>
      <w:rPr>
        <w:rFonts w:hint="eastAsia" w:ascii="黑体" w:eastAsia="黑体"/>
        <w:b w:val="0"/>
        <w:i w:val="0"/>
        <w:sz w:val="32"/>
      </w:rPr>
    </w:lvl>
    <w:lvl w:ilvl="1" w:tentative="0">
      <w:start w:val="1"/>
      <w:numFmt w:val="decimal"/>
      <w:pStyle w:val="3"/>
      <w:suff w:val="space"/>
      <w:lvlText w:val="%1.%2"/>
      <w:lvlJc w:val="left"/>
      <w:pPr>
        <w:ind w:left="0" w:firstLine="0"/>
      </w:pPr>
      <w:rPr>
        <w:rFonts w:hint="eastAsia" w:ascii="黑体" w:eastAsia="黑体"/>
        <w:b w:val="0"/>
        <w:i w:val="0"/>
        <w:sz w:val="28"/>
      </w:rPr>
    </w:lvl>
    <w:lvl w:ilvl="2" w:tentative="0">
      <w:start w:val="1"/>
      <w:numFmt w:val="decimal"/>
      <w:suff w:val="space"/>
      <w:lvlText w:val="%1.%2.%3"/>
      <w:lvlJc w:val="left"/>
      <w:pPr>
        <w:ind w:left="0" w:firstLine="0"/>
      </w:pPr>
      <w:rPr>
        <w:rFonts w:hint="eastAsia" w:ascii="黑体" w:hAnsi="宋体" w:eastAsia="黑体"/>
        <w:b w:val="0"/>
        <w:i w:val="0"/>
        <w:sz w:val="24"/>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4DA9368D"/>
    <w:multiLevelType w:val="singleLevel"/>
    <w:tmpl w:val="4DA9368D"/>
    <w:lvl w:ilvl="0" w:tentative="0">
      <w:start w:val="1"/>
      <w:numFmt w:val="decimal"/>
      <w:lvlText w:val="%1."/>
      <w:lvlJc w:val="left"/>
      <w:pPr>
        <w:tabs>
          <w:tab w:val="left" w:pos="312"/>
        </w:tabs>
      </w:pPr>
    </w:lvl>
  </w:abstractNum>
  <w:abstractNum w:abstractNumId="4">
    <w:nsid w:val="5C7E8EE0"/>
    <w:multiLevelType w:val="singleLevel"/>
    <w:tmpl w:val="5C7E8EE0"/>
    <w:lvl w:ilvl="0" w:tentative="0">
      <w:start w:val="1"/>
      <w:numFmt w:val="decimal"/>
      <w:lvlText w:val="%1."/>
      <w:lvlJc w:val="left"/>
      <w:pPr>
        <w:tabs>
          <w:tab w:val="left" w:pos="312"/>
        </w:tabs>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djY2IxMWYwNDI5NTdhYmJhNjliZWZhNGQ1ODAxMzkifQ=="/>
  </w:docVars>
  <w:rsids>
    <w:rsidRoot w:val="63603041"/>
    <w:rsid w:val="0000052E"/>
    <w:rsid w:val="00002111"/>
    <w:rsid w:val="0000282B"/>
    <w:rsid w:val="000035A3"/>
    <w:rsid w:val="0000398D"/>
    <w:rsid w:val="00003E79"/>
    <w:rsid w:val="00004028"/>
    <w:rsid w:val="00007A23"/>
    <w:rsid w:val="00007F00"/>
    <w:rsid w:val="000118E8"/>
    <w:rsid w:val="0001205F"/>
    <w:rsid w:val="000128B0"/>
    <w:rsid w:val="00013122"/>
    <w:rsid w:val="00013BDB"/>
    <w:rsid w:val="00015E93"/>
    <w:rsid w:val="0001671B"/>
    <w:rsid w:val="0001687A"/>
    <w:rsid w:val="00016F8B"/>
    <w:rsid w:val="00017DAF"/>
    <w:rsid w:val="00020778"/>
    <w:rsid w:val="0002164B"/>
    <w:rsid w:val="00022356"/>
    <w:rsid w:val="000233C6"/>
    <w:rsid w:val="00023B0A"/>
    <w:rsid w:val="00024D11"/>
    <w:rsid w:val="000251BA"/>
    <w:rsid w:val="000252A9"/>
    <w:rsid w:val="00026A97"/>
    <w:rsid w:val="00026DAD"/>
    <w:rsid w:val="000275C7"/>
    <w:rsid w:val="000276E7"/>
    <w:rsid w:val="00031221"/>
    <w:rsid w:val="00032D1D"/>
    <w:rsid w:val="00033935"/>
    <w:rsid w:val="00034443"/>
    <w:rsid w:val="00036BB2"/>
    <w:rsid w:val="00036FD8"/>
    <w:rsid w:val="00037C45"/>
    <w:rsid w:val="00043144"/>
    <w:rsid w:val="0004404C"/>
    <w:rsid w:val="0004472D"/>
    <w:rsid w:val="00044A1B"/>
    <w:rsid w:val="00047FE0"/>
    <w:rsid w:val="00051C2A"/>
    <w:rsid w:val="00052B81"/>
    <w:rsid w:val="000538E4"/>
    <w:rsid w:val="000566B5"/>
    <w:rsid w:val="00057CDB"/>
    <w:rsid w:val="00060451"/>
    <w:rsid w:val="00060922"/>
    <w:rsid w:val="000646D1"/>
    <w:rsid w:val="00065823"/>
    <w:rsid w:val="00066544"/>
    <w:rsid w:val="0006791F"/>
    <w:rsid w:val="000708E4"/>
    <w:rsid w:val="00071D89"/>
    <w:rsid w:val="00073160"/>
    <w:rsid w:val="00075726"/>
    <w:rsid w:val="00077FB7"/>
    <w:rsid w:val="00080354"/>
    <w:rsid w:val="0008154E"/>
    <w:rsid w:val="000832C7"/>
    <w:rsid w:val="00086D67"/>
    <w:rsid w:val="00086F92"/>
    <w:rsid w:val="00087035"/>
    <w:rsid w:val="00087668"/>
    <w:rsid w:val="00091D6D"/>
    <w:rsid w:val="0009211C"/>
    <w:rsid w:val="00094BB9"/>
    <w:rsid w:val="000A2C55"/>
    <w:rsid w:val="000A419B"/>
    <w:rsid w:val="000A64E3"/>
    <w:rsid w:val="000A716C"/>
    <w:rsid w:val="000A73B4"/>
    <w:rsid w:val="000A799A"/>
    <w:rsid w:val="000B2E6C"/>
    <w:rsid w:val="000B3281"/>
    <w:rsid w:val="000B3AA9"/>
    <w:rsid w:val="000B799E"/>
    <w:rsid w:val="000C0A31"/>
    <w:rsid w:val="000C380E"/>
    <w:rsid w:val="000C61BE"/>
    <w:rsid w:val="000D0E74"/>
    <w:rsid w:val="000D13D2"/>
    <w:rsid w:val="000D29E0"/>
    <w:rsid w:val="000D2D8E"/>
    <w:rsid w:val="000D6B30"/>
    <w:rsid w:val="000D6F87"/>
    <w:rsid w:val="000D766F"/>
    <w:rsid w:val="000E3771"/>
    <w:rsid w:val="000E68BD"/>
    <w:rsid w:val="000F14D3"/>
    <w:rsid w:val="000F189B"/>
    <w:rsid w:val="000F35FD"/>
    <w:rsid w:val="000F3AD3"/>
    <w:rsid w:val="000F4E55"/>
    <w:rsid w:val="000F50F3"/>
    <w:rsid w:val="000F5505"/>
    <w:rsid w:val="0010099A"/>
    <w:rsid w:val="00105010"/>
    <w:rsid w:val="00105030"/>
    <w:rsid w:val="00105861"/>
    <w:rsid w:val="001071A4"/>
    <w:rsid w:val="0011028C"/>
    <w:rsid w:val="0011126C"/>
    <w:rsid w:val="0011273E"/>
    <w:rsid w:val="00112792"/>
    <w:rsid w:val="00112AFC"/>
    <w:rsid w:val="001136E6"/>
    <w:rsid w:val="00113F50"/>
    <w:rsid w:val="00116352"/>
    <w:rsid w:val="0011641C"/>
    <w:rsid w:val="00121159"/>
    <w:rsid w:val="00121F37"/>
    <w:rsid w:val="00122E62"/>
    <w:rsid w:val="00124232"/>
    <w:rsid w:val="00124925"/>
    <w:rsid w:val="00125361"/>
    <w:rsid w:val="00125EF1"/>
    <w:rsid w:val="001265AC"/>
    <w:rsid w:val="00131AE2"/>
    <w:rsid w:val="001329FC"/>
    <w:rsid w:val="0013338B"/>
    <w:rsid w:val="00133E08"/>
    <w:rsid w:val="00135589"/>
    <w:rsid w:val="0013672A"/>
    <w:rsid w:val="001372D7"/>
    <w:rsid w:val="00137CB2"/>
    <w:rsid w:val="00142842"/>
    <w:rsid w:val="00144C02"/>
    <w:rsid w:val="00145310"/>
    <w:rsid w:val="001472B2"/>
    <w:rsid w:val="0015053E"/>
    <w:rsid w:val="001510F9"/>
    <w:rsid w:val="00151123"/>
    <w:rsid w:val="00151961"/>
    <w:rsid w:val="001522EB"/>
    <w:rsid w:val="00152D3D"/>
    <w:rsid w:val="00152FFC"/>
    <w:rsid w:val="00153AE4"/>
    <w:rsid w:val="00154520"/>
    <w:rsid w:val="00156055"/>
    <w:rsid w:val="00156FC3"/>
    <w:rsid w:val="00157098"/>
    <w:rsid w:val="00157C71"/>
    <w:rsid w:val="00162A15"/>
    <w:rsid w:val="00163B67"/>
    <w:rsid w:val="00165513"/>
    <w:rsid w:val="00166026"/>
    <w:rsid w:val="00166A6D"/>
    <w:rsid w:val="0016714B"/>
    <w:rsid w:val="00170385"/>
    <w:rsid w:val="001707F6"/>
    <w:rsid w:val="00170C84"/>
    <w:rsid w:val="00171536"/>
    <w:rsid w:val="00173D62"/>
    <w:rsid w:val="0017698D"/>
    <w:rsid w:val="001827DF"/>
    <w:rsid w:val="0018418A"/>
    <w:rsid w:val="0018553C"/>
    <w:rsid w:val="00185A99"/>
    <w:rsid w:val="00186067"/>
    <w:rsid w:val="00187F53"/>
    <w:rsid w:val="00190543"/>
    <w:rsid w:val="0019128D"/>
    <w:rsid w:val="00191BDE"/>
    <w:rsid w:val="001932DE"/>
    <w:rsid w:val="00195945"/>
    <w:rsid w:val="001A08DC"/>
    <w:rsid w:val="001A20CB"/>
    <w:rsid w:val="001A4FAC"/>
    <w:rsid w:val="001A5D32"/>
    <w:rsid w:val="001B3F30"/>
    <w:rsid w:val="001B5074"/>
    <w:rsid w:val="001B724E"/>
    <w:rsid w:val="001C10AA"/>
    <w:rsid w:val="001C1214"/>
    <w:rsid w:val="001C35B0"/>
    <w:rsid w:val="001C58F7"/>
    <w:rsid w:val="001C6C1B"/>
    <w:rsid w:val="001C79E9"/>
    <w:rsid w:val="001D4D7A"/>
    <w:rsid w:val="001D55B8"/>
    <w:rsid w:val="001D7692"/>
    <w:rsid w:val="001E0814"/>
    <w:rsid w:val="001E123C"/>
    <w:rsid w:val="001E2AB4"/>
    <w:rsid w:val="001E4162"/>
    <w:rsid w:val="001E472B"/>
    <w:rsid w:val="001E47F3"/>
    <w:rsid w:val="001E6625"/>
    <w:rsid w:val="001E6C15"/>
    <w:rsid w:val="001F0226"/>
    <w:rsid w:val="001F03AB"/>
    <w:rsid w:val="001F1570"/>
    <w:rsid w:val="001F41A0"/>
    <w:rsid w:val="001F4691"/>
    <w:rsid w:val="001F4712"/>
    <w:rsid w:val="001F482D"/>
    <w:rsid w:val="001F53E3"/>
    <w:rsid w:val="00200934"/>
    <w:rsid w:val="002016C8"/>
    <w:rsid w:val="0020194B"/>
    <w:rsid w:val="002025CD"/>
    <w:rsid w:val="0020459A"/>
    <w:rsid w:val="0020498B"/>
    <w:rsid w:val="00204D7A"/>
    <w:rsid w:val="00207673"/>
    <w:rsid w:val="002104F3"/>
    <w:rsid w:val="00211427"/>
    <w:rsid w:val="00213BC0"/>
    <w:rsid w:val="00214389"/>
    <w:rsid w:val="00215278"/>
    <w:rsid w:val="002206DC"/>
    <w:rsid w:val="00222AC6"/>
    <w:rsid w:val="00223137"/>
    <w:rsid w:val="00225F2C"/>
    <w:rsid w:val="00227B86"/>
    <w:rsid w:val="0023041B"/>
    <w:rsid w:val="00231C2F"/>
    <w:rsid w:val="00231DEE"/>
    <w:rsid w:val="00232E9A"/>
    <w:rsid w:val="002341C4"/>
    <w:rsid w:val="00235D91"/>
    <w:rsid w:val="002405DC"/>
    <w:rsid w:val="00240D97"/>
    <w:rsid w:val="00242186"/>
    <w:rsid w:val="00250171"/>
    <w:rsid w:val="00252EA1"/>
    <w:rsid w:val="00254E56"/>
    <w:rsid w:val="0025588B"/>
    <w:rsid w:val="00261CAA"/>
    <w:rsid w:val="0026401D"/>
    <w:rsid w:val="00266CA8"/>
    <w:rsid w:val="00267449"/>
    <w:rsid w:val="00267A39"/>
    <w:rsid w:val="00270A0C"/>
    <w:rsid w:val="00270BFE"/>
    <w:rsid w:val="00272096"/>
    <w:rsid w:val="0027476E"/>
    <w:rsid w:val="00275736"/>
    <w:rsid w:val="00277B64"/>
    <w:rsid w:val="0028180F"/>
    <w:rsid w:val="00281DD6"/>
    <w:rsid w:val="00282A4B"/>
    <w:rsid w:val="00282B07"/>
    <w:rsid w:val="00283F0B"/>
    <w:rsid w:val="002842F7"/>
    <w:rsid w:val="00286873"/>
    <w:rsid w:val="00287C95"/>
    <w:rsid w:val="00290709"/>
    <w:rsid w:val="00292A0C"/>
    <w:rsid w:val="00292DE5"/>
    <w:rsid w:val="0029309E"/>
    <w:rsid w:val="00296610"/>
    <w:rsid w:val="002A2C3E"/>
    <w:rsid w:val="002A2D25"/>
    <w:rsid w:val="002A48B0"/>
    <w:rsid w:val="002A4AAE"/>
    <w:rsid w:val="002B04AC"/>
    <w:rsid w:val="002B0913"/>
    <w:rsid w:val="002B09EB"/>
    <w:rsid w:val="002B3A89"/>
    <w:rsid w:val="002B3B33"/>
    <w:rsid w:val="002B50B4"/>
    <w:rsid w:val="002B7E0B"/>
    <w:rsid w:val="002C0CCF"/>
    <w:rsid w:val="002C0DEB"/>
    <w:rsid w:val="002C2200"/>
    <w:rsid w:val="002C7799"/>
    <w:rsid w:val="002D1252"/>
    <w:rsid w:val="002D49FF"/>
    <w:rsid w:val="002D5FA6"/>
    <w:rsid w:val="002D6B08"/>
    <w:rsid w:val="002E1D74"/>
    <w:rsid w:val="002E3788"/>
    <w:rsid w:val="002E3AA6"/>
    <w:rsid w:val="002E5BE5"/>
    <w:rsid w:val="002E6226"/>
    <w:rsid w:val="002F4169"/>
    <w:rsid w:val="002F4617"/>
    <w:rsid w:val="002F4E8E"/>
    <w:rsid w:val="0030169B"/>
    <w:rsid w:val="0030434D"/>
    <w:rsid w:val="00305714"/>
    <w:rsid w:val="00311727"/>
    <w:rsid w:val="003127CA"/>
    <w:rsid w:val="00314AF2"/>
    <w:rsid w:val="00314F4D"/>
    <w:rsid w:val="003158D5"/>
    <w:rsid w:val="00315B84"/>
    <w:rsid w:val="0031685D"/>
    <w:rsid w:val="0031720F"/>
    <w:rsid w:val="00317461"/>
    <w:rsid w:val="0032234F"/>
    <w:rsid w:val="00322E23"/>
    <w:rsid w:val="003325E6"/>
    <w:rsid w:val="00337749"/>
    <w:rsid w:val="00337E4F"/>
    <w:rsid w:val="003412A4"/>
    <w:rsid w:val="0034396E"/>
    <w:rsid w:val="0034734C"/>
    <w:rsid w:val="0035116E"/>
    <w:rsid w:val="00351A97"/>
    <w:rsid w:val="0035219B"/>
    <w:rsid w:val="00352EBB"/>
    <w:rsid w:val="0035333D"/>
    <w:rsid w:val="00353451"/>
    <w:rsid w:val="00355972"/>
    <w:rsid w:val="0036189B"/>
    <w:rsid w:val="00363018"/>
    <w:rsid w:val="00364C97"/>
    <w:rsid w:val="00365EEA"/>
    <w:rsid w:val="00366F38"/>
    <w:rsid w:val="0036786B"/>
    <w:rsid w:val="00373FC9"/>
    <w:rsid w:val="00374A78"/>
    <w:rsid w:val="00376163"/>
    <w:rsid w:val="00380030"/>
    <w:rsid w:val="003801EF"/>
    <w:rsid w:val="003810B8"/>
    <w:rsid w:val="00383249"/>
    <w:rsid w:val="00385287"/>
    <w:rsid w:val="003860C7"/>
    <w:rsid w:val="003902C7"/>
    <w:rsid w:val="00391A09"/>
    <w:rsid w:val="003931B5"/>
    <w:rsid w:val="0039592F"/>
    <w:rsid w:val="00396033"/>
    <w:rsid w:val="00397B35"/>
    <w:rsid w:val="003A29F2"/>
    <w:rsid w:val="003A472A"/>
    <w:rsid w:val="003A6CAD"/>
    <w:rsid w:val="003A733A"/>
    <w:rsid w:val="003B1757"/>
    <w:rsid w:val="003B4F66"/>
    <w:rsid w:val="003B53BA"/>
    <w:rsid w:val="003B612C"/>
    <w:rsid w:val="003B7FF5"/>
    <w:rsid w:val="003C0258"/>
    <w:rsid w:val="003C3A43"/>
    <w:rsid w:val="003C5E04"/>
    <w:rsid w:val="003C7A3D"/>
    <w:rsid w:val="003C7B53"/>
    <w:rsid w:val="003D0E60"/>
    <w:rsid w:val="003D2BBC"/>
    <w:rsid w:val="003D35E5"/>
    <w:rsid w:val="003D424F"/>
    <w:rsid w:val="003D6179"/>
    <w:rsid w:val="003D704E"/>
    <w:rsid w:val="003E0A70"/>
    <w:rsid w:val="003E27CB"/>
    <w:rsid w:val="003E2845"/>
    <w:rsid w:val="003E367E"/>
    <w:rsid w:val="003E5576"/>
    <w:rsid w:val="003E5C56"/>
    <w:rsid w:val="003E6FC1"/>
    <w:rsid w:val="003E7B9A"/>
    <w:rsid w:val="003F1834"/>
    <w:rsid w:val="003F264D"/>
    <w:rsid w:val="003F2946"/>
    <w:rsid w:val="003F37AB"/>
    <w:rsid w:val="003F5FAD"/>
    <w:rsid w:val="00400AF7"/>
    <w:rsid w:val="00400C4F"/>
    <w:rsid w:val="00401C0D"/>
    <w:rsid w:val="00402214"/>
    <w:rsid w:val="004026D8"/>
    <w:rsid w:val="004061AF"/>
    <w:rsid w:val="00407416"/>
    <w:rsid w:val="00407BCA"/>
    <w:rsid w:val="0041279C"/>
    <w:rsid w:val="00416048"/>
    <w:rsid w:val="0041658F"/>
    <w:rsid w:val="00416953"/>
    <w:rsid w:val="0042188F"/>
    <w:rsid w:val="0042265B"/>
    <w:rsid w:val="004229FC"/>
    <w:rsid w:val="004235DB"/>
    <w:rsid w:val="004248B9"/>
    <w:rsid w:val="0042569B"/>
    <w:rsid w:val="00425B3A"/>
    <w:rsid w:val="004269EB"/>
    <w:rsid w:val="00426D12"/>
    <w:rsid w:val="00431F82"/>
    <w:rsid w:val="004325F0"/>
    <w:rsid w:val="00433441"/>
    <w:rsid w:val="00434DBF"/>
    <w:rsid w:val="0043610C"/>
    <w:rsid w:val="004373D9"/>
    <w:rsid w:val="00440A43"/>
    <w:rsid w:val="004436C3"/>
    <w:rsid w:val="00443A87"/>
    <w:rsid w:val="004440F0"/>
    <w:rsid w:val="0044560A"/>
    <w:rsid w:val="00445C13"/>
    <w:rsid w:val="00445D14"/>
    <w:rsid w:val="004465CF"/>
    <w:rsid w:val="0044672D"/>
    <w:rsid w:val="00451C6B"/>
    <w:rsid w:val="004609EE"/>
    <w:rsid w:val="00461BED"/>
    <w:rsid w:val="00463278"/>
    <w:rsid w:val="0046329B"/>
    <w:rsid w:val="0046495C"/>
    <w:rsid w:val="00466EBD"/>
    <w:rsid w:val="004704FA"/>
    <w:rsid w:val="00470809"/>
    <w:rsid w:val="004717EF"/>
    <w:rsid w:val="00472AFF"/>
    <w:rsid w:val="00472B06"/>
    <w:rsid w:val="00472FE0"/>
    <w:rsid w:val="00473085"/>
    <w:rsid w:val="004734CE"/>
    <w:rsid w:val="00473F93"/>
    <w:rsid w:val="00476540"/>
    <w:rsid w:val="00477B24"/>
    <w:rsid w:val="00477C43"/>
    <w:rsid w:val="00477EEF"/>
    <w:rsid w:val="00481546"/>
    <w:rsid w:val="00483BB5"/>
    <w:rsid w:val="004840E3"/>
    <w:rsid w:val="00484280"/>
    <w:rsid w:val="00484C5C"/>
    <w:rsid w:val="00484FAD"/>
    <w:rsid w:val="00485802"/>
    <w:rsid w:val="00485F5D"/>
    <w:rsid w:val="0048733E"/>
    <w:rsid w:val="004876E6"/>
    <w:rsid w:val="0048781B"/>
    <w:rsid w:val="00490859"/>
    <w:rsid w:val="00490EE9"/>
    <w:rsid w:val="00492043"/>
    <w:rsid w:val="00494643"/>
    <w:rsid w:val="00494D3D"/>
    <w:rsid w:val="00495E69"/>
    <w:rsid w:val="00496E1F"/>
    <w:rsid w:val="004A1ECF"/>
    <w:rsid w:val="004A535F"/>
    <w:rsid w:val="004A568D"/>
    <w:rsid w:val="004A63A7"/>
    <w:rsid w:val="004A7977"/>
    <w:rsid w:val="004B32F6"/>
    <w:rsid w:val="004B39C3"/>
    <w:rsid w:val="004B3E32"/>
    <w:rsid w:val="004B4A04"/>
    <w:rsid w:val="004B5418"/>
    <w:rsid w:val="004B5613"/>
    <w:rsid w:val="004B6A2E"/>
    <w:rsid w:val="004C4F4B"/>
    <w:rsid w:val="004D28C7"/>
    <w:rsid w:val="004D44EB"/>
    <w:rsid w:val="004D6361"/>
    <w:rsid w:val="004D6999"/>
    <w:rsid w:val="004D72F3"/>
    <w:rsid w:val="004D79C4"/>
    <w:rsid w:val="004E4013"/>
    <w:rsid w:val="004E4C8D"/>
    <w:rsid w:val="004E594B"/>
    <w:rsid w:val="004F1BA5"/>
    <w:rsid w:val="004F4DD5"/>
    <w:rsid w:val="004F5B6C"/>
    <w:rsid w:val="004F7BFD"/>
    <w:rsid w:val="00503149"/>
    <w:rsid w:val="005043D0"/>
    <w:rsid w:val="0050493E"/>
    <w:rsid w:val="00504A56"/>
    <w:rsid w:val="00506344"/>
    <w:rsid w:val="00507617"/>
    <w:rsid w:val="00511DF3"/>
    <w:rsid w:val="00513877"/>
    <w:rsid w:val="00520A19"/>
    <w:rsid w:val="00523208"/>
    <w:rsid w:val="00523759"/>
    <w:rsid w:val="00531496"/>
    <w:rsid w:val="00534209"/>
    <w:rsid w:val="0053460E"/>
    <w:rsid w:val="00535BD7"/>
    <w:rsid w:val="00535F1E"/>
    <w:rsid w:val="00536299"/>
    <w:rsid w:val="0053664A"/>
    <w:rsid w:val="00537FB4"/>
    <w:rsid w:val="00537FDA"/>
    <w:rsid w:val="0054229E"/>
    <w:rsid w:val="00542603"/>
    <w:rsid w:val="00545A0F"/>
    <w:rsid w:val="00545C10"/>
    <w:rsid w:val="00546E41"/>
    <w:rsid w:val="00550035"/>
    <w:rsid w:val="0055347F"/>
    <w:rsid w:val="005545B2"/>
    <w:rsid w:val="00555A41"/>
    <w:rsid w:val="00555C38"/>
    <w:rsid w:val="00555E8D"/>
    <w:rsid w:val="0055697E"/>
    <w:rsid w:val="00557883"/>
    <w:rsid w:val="00557C95"/>
    <w:rsid w:val="0056334E"/>
    <w:rsid w:val="005648B1"/>
    <w:rsid w:val="00564E6A"/>
    <w:rsid w:val="00565401"/>
    <w:rsid w:val="00565A99"/>
    <w:rsid w:val="00570645"/>
    <w:rsid w:val="005707CB"/>
    <w:rsid w:val="00572397"/>
    <w:rsid w:val="005729F9"/>
    <w:rsid w:val="00572A8E"/>
    <w:rsid w:val="00573929"/>
    <w:rsid w:val="00574A4D"/>
    <w:rsid w:val="00576BC8"/>
    <w:rsid w:val="00577BDC"/>
    <w:rsid w:val="00587298"/>
    <w:rsid w:val="00587C5B"/>
    <w:rsid w:val="005921AA"/>
    <w:rsid w:val="005922D5"/>
    <w:rsid w:val="00593B4C"/>
    <w:rsid w:val="005949D4"/>
    <w:rsid w:val="0059666B"/>
    <w:rsid w:val="005A1985"/>
    <w:rsid w:val="005A2515"/>
    <w:rsid w:val="005A2989"/>
    <w:rsid w:val="005A37EE"/>
    <w:rsid w:val="005A4B50"/>
    <w:rsid w:val="005A4DEE"/>
    <w:rsid w:val="005A616A"/>
    <w:rsid w:val="005A704D"/>
    <w:rsid w:val="005A72F0"/>
    <w:rsid w:val="005A7F64"/>
    <w:rsid w:val="005B007F"/>
    <w:rsid w:val="005B0449"/>
    <w:rsid w:val="005B1A3D"/>
    <w:rsid w:val="005B5C41"/>
    <w:rsid w:val="005B716B"/>
    <w:rsid w:val="005B73B0"/>
    <w:rsid w:val="005C0197"/>
    <w:rsid w:val="005C0297"/>
    <w:rsid w:val="005C0527"/>
    <w:rsid w:val="005C091D"/>
    <w:rsid w:val="005C0C11"/>
    <w:rsid w:val="005C112C"/>
    <w:rsid w:val="005C1669"/>
    <w:rsid w:val="005C4798"/>
    <w:rsid w:val="005C6966"/>
    <w:rsid w:val="005D1282"/>
    <w:rsid w:val="005D6331"/>
    <w:rsid w:val="005D74CD"/>
    <w:rsid w:val="005E0205"/>
    <w:rsid w:val="005E2BC6"/>
    <w:rsid w:val="005F037B"/>
    <w:rsid w:val="005F0F6C"/>
    <w:rsid w:val="005F15E9"/>
    <w:rsid w:val="005F1765"/>
    <w:rsid w:val="005F35ED"/>
    <w:rsid w:val="005F5674"/>
    <w:rsid w:val="005F6A6F"/>
    <w:rsid w:val="006021FC"/>
    <w:rsid w:val="006033F4"/>
    <w:rsid w:val="006040E2"/>
    <w:rsid w:val="00605324"/>
    <w:rsid w:val="00605ABF"/>
    <w:rsid w:val="0060641C"/>
    <w:rsid w:val="00606A85"/>
    <w:rsid w:val="00607A81"/>
    <w:rsid w:val="00612474"/>
    <w:rsid w:val="00612616"/>
    <w:rsid w:val="00612A05"/>
    <w:rsid w:val="00613D44"/>
    <w:rsid w:val="0061527D"/>
    <w:rsid w:val="0061670C"/>
    <w:rsid w:val="006216BB"/>
    <w:rsid w:val="006225CC"/>
    <w:rsid w:val="0062509A"/>
    <w:rsid w:val="00630C62"/>
    <w:rsid w:val="00631721"/>
    <w:rsid w:val="00631EF3"/>
    <w:rsid w:val="00633AA8"/>
    <w:rsid w:val="0063441F"/>
    <w:rsid w:val="00634E26"/>
    <w:rsid w:val="006353E2"/>
    <w:rsid w:val="00636B7D"/>
    <w:rsid w:val="00643FC9"/>
    <w:rsid w:val="0064577B"/>
    <w:rsid w:val="00646C00"/>
    <w:rsid w:val="006509CE"/>
    <w:rsid w:val="00651846"/>
    <w:rsid w:val="00652C5D"/>
    <w:rsid w:val="006534FF"/>
    <w:rsid w:val="00653594"/>
    <w:rsid w:val="00661F59"/>
    <w:rsid w:val="00662177"/>
    <w:rsid w:val="0066254C"/>
    <w:rsid w:val="00663D1C"/>
    <w:rsid w:val="006644C0"/>
    <w:rsid w:val="00671A00"/>
    <w:rsid w:val="0067249C"/>
    <w:rsid w:val="00673314"/>
    <w:rsid w:val="00675B6F"/>
    <w:rsid w:val="00677AEB"/>
    <w:rsid w:val="00681B02"/>
    <w:rsid w:val="0068232F"/>
    <w:rsid w:val="00682870"/>
    <w:rsid w:val="00686ED2"/>
    <w:rsid w:val="00686F73"/>
    <w:rsid w:val="00687968"/>
    <w:rsid w:val="00690C08"/>
    <w:rsid w:val="00693BD3"/>
    <w:rsid w:val="00694D68"/>
    <w:rsid w:val="00695E1C"/>
    <w:rsid w:val="00695F3D"/>
    <w:rsid w:val="00696890"/>
    <w:rsid w:val="006972E6"/>
    <w:rsid w:val="006974D8"/>
    <w:rsid w:val="006A0A0E"/>
    <w:rsid w:val="006A15A7"/>
    <w:rsid w:val="006A1F6B"/>
    <w:rsid w:val="006A3330"/>
    <w:rsid w:val="006A3CDE"/>
    <w:rsid w:val="006A40C6"/>
    <w:rsid w:val="006A433E"/>
    <w:rsid w:val="006A490E"/>
    <w:rsid w:val="006A6BE4"/>
    <w:rsid w:val="006A7125"/>
    <w:rsid w:val="006A78E3"/>
    <w:rsid w:val="006B1F0E"/>
    <w:rsid w:val="006B3785"/>
    <w:rsid w:val="006B38E7"/>
    <w:rsid w:val="006B7309"/>
    <w:rsid w:val="006C026F"/>
    <w:rsid w:val="006C11B4"/>
    <w:rsid w:val="006C2440"/>
    <w:rsid w:val="006C24A7"/>
    <w:rsid w:val="006C259F"/>
    <w:rsid w:val="006D01FE"/>
    <w:rsid w:val="006D0304"/>
    <w:rsid w:val="006D3B0D"/>
    <w:rsid w:val="006D3E5E"/>
    <w:rsid w:val="006D478A"/>
    <w:rsid w:val="006D4A1E"/>
    <w:rsid w:val="006D4A87"/>
    <w:rsid w:val="006D4D35"/>
    <w:rsid w:val="006D58C6"/>
    <w:rsid w:val="006D5B36"/>
    <w:rsid w:val="006D5E61"/>
    <w:rsid w:val="006D616F"/>
    <w:rsid w:val="006D724B"/>
    <w:rsid w:val="006E06DB"/>
    <w:rsid w:val="006E0B16"/>
    <w:rsid w:val="006E341F"/>
    <w:rsid w:val="006E3888"/>
    <w:rsid w:val="006E7F30"/>
    <w:rsid w:val="006F1FEA"/>
    <w:rsid w:val="006F22F8"/>
    <w:rsid w:val="006F287B"/>
    <w:rsid w:val="006F2F78"/>
    <w:rsid w:val="006F454A"/>
    <w:rsid w:val="006F4EB5"/>
    <w:rsid w:val="006F5D21"/>
    <w:rsid w:val="006F5D5B"/>
    <w:rsid w:val="006F766F"/>
    <w:rsid w:val="00702E26"/>
    <w:rsid w:val="00703A1E"/>
    <w:rsid w:val="00704B07"/>
    <w:rsid w:val="0070678D"/>
    <w:rsid w:val="00706C77"/>
    <w:rsid w:val="00711A79"/>
    <w:rsid w:val="00717E6A"/>
    <w:rsid w:val="00720365"/>
    <w:rsid w:val="007225E2"/>
    <w:rsid w:val="00722669"/>
    <w:rsid w:val="00723655"/>
    <w:rsid w:val="0072453F"/>
    <w:rsid w:val="00724A8A"/>
    <w:rsid w:val="00724F14"/>
    <w:rsid w:val="0072507A"/>
    <w:rsid w:val="00725E0E"/>
    <w:rsid w:val="007263BF"/>
    <w:rsid w:val="00733CBC"/>
    <w:rsid w:val="00735645"/>
    <w:rsid w:val="00735A21"/>
    <w:rsid w:val="00735F7F"/>
    <w:rsid w:val="00736A0F"/>
    <w:rsid w:val="00741214"/>
    <w:rsid w:val="00741270"/>
    <w:rsid w:val="00741496"/>
    <w:rsid w:val="00742182"/>
    <w:rsid w:val="007430E0"/>
    <w:rsid w:val="007446D7"/>
    <w:rsid w:val="00746D91"/>
    <w:rsid w:val="00747225"/>
    <w:rsid w:val="00750CA1"/>
    <w:rsid w:val="007532AF"/>
    <w:rsid w:val="00753C2B"/>
    <w:rsid w:val="0075523F"/>
    <w:rsid w:val="00760072"/>
    <w:rsid w:val="007615EA"/>
    <w:rsid w:val="00761896"/>
    <w:rsid w:val="00762FF7"/>
    <w:rsid w:val="00763AA8"/>
    <w:rsid w:val="00763E82"/>
    <w:rsid w:val="007667E9"/>
    <w:rsid w:val="00770391"/>
    <w:rsid w:val="007705DB"/>
    <w:rsid w:val="00771732"/>
    <w:rsid w:val="00771A54"/>
    <w:rsid w:val="00773B9C"/>
    <w:rsid w:val="00774007"/>
    <w:rsid w:val="00777ABC"/>
    <w:rsid w:val="007800AA"/>
    <w:rsid w:val="007818DC"/>
    <w:rsid w:val="007822FF"/>
    <w:rsid w:val="00783EC9"/>
    <w:rsid w:val="007905B1"/>
    <w:rsid w:val="00790AA4"/>
    <w:rsid w:val="00792DBA"/>
    <w:rsid w:val="00797FD8"/>
    <w:rsid w:val="007A0785"/>
    <w:rsid w:val="007A0D09"/>
    <w:rsid w:val="007A22D0"/>
    <w:rsid w:val="007B1AA4"/>
    <w:rsid w:val="007B1AEF"/>
    <w:rsid w:val="007B22C5"/>
    <w:rsid w:val="007B53F0"/>
    <w:rsid w:val="007B55CE"/>
    <w:rsid w:val="007B588F"/>
    <w:rsid w:val="007B5D00"/>
    <w:rsid w:val="007B7D9F"/>
    <w:rsid w:val="007C026D"/>
    <w:rsid w:val="007C1CBD"/>
    <w:rsid w:val="007C4380"/>
    <w:rsid w:val="007C7761"/>
    <w:rsid w:val="007C77BC"/>
    <w:rsid w:val="007D1E32"/>
    <w:rsid w:val="007D37D9"/>
    <w:rsid w:val="007D41F8"/>
    <w:rsid w:val="007D4BCD"/>
    <w:rsid w:val="007D4EF5"/>
    <w:rsid w:val="007E18B5"/>
    <w:rsid w:val="007E2327"/>
    <w:rsid w:val="007E27EE"/>
    <w:rsid w:val="007E3901"/>
    <w:rsid w:val="007E7608"/>
    <w:rsid w:val="007E7A7F"/>
    <w:rsid w:val="007F0CC4"/>
    <w:rsid w:val="007F2919"/>
    <w:rsid w:val="007F3555"/>
    <w:rsid w:val="007F386C"/>
    <w:rsid w:val="007F3F09"/>
    <w:rsid w:val="007F46A9"/>
    <w:rsid w:val="007F6A70"/>
    <w:rsid w:val="008009FF"/>
    <w:rsid w:val="008013A2"/>
    <w:rsid w:val="00802FF7"/>
    <w:rsid w:val="008040AA"/>
    <w:rsid w:val="008054A6"/>
    <w:rsid w:val="0080682F"/>
    <w:rsid w:val="00807215"/>
    <w:rsid w:val="00810CAB"/>
    <w:rsid w:val="00812BD7"/>
    <w:rsid w:val="00812E67"/>
    <w:rsid w:val="00816155"/>
    <w:rsid w:val="00816226"/>
    <w:rsid w:val="008200AC"/>
    <w:rsid w:val="008207D2"/>
    <w:rsid w:val="00821A92"/>
    <w:rsid w:val="00822D6C"/>
    <w:rsid w:val="00824262"/>
    <w:rsid w:val="008246CE"/>
    <w:rsid w:val="008248CC"/>
    <w:rsid w:val="00824B67"/>
    <w:rsid w:val="00825A55"/>
    <w:rsid w:val="008302B6"/>
    <w:rsid w:val="00832AE3"/>
    <w:rsid w:val="00833896"/>
    <w:rsid w:val="00833A94"/>
    <w:rsid w:val="0083445E"/>
    <w:rsid w:val="00834823"/>
    <w:rsid w:val="00840138"/>
    <w:rsid w:val="00840B8F"/>
    <w:rsid w:val="00843B09"/>
    <w:rsid w:val="0084483E"/>
    <w:rsid w:val="00845478"/>
    <w:rsid w:val="00845580"/>
    <w:rsid w:val="00850DB5"/>
    <w:rsid w:val="0085138B"/>
    <w:rsid w:val="008514A9"/>
    <w:rsid w:val="00851C3E"/>
    <w:rsid w:val="008534F2"/>
    <w:rsid w:val="00853903"/>
    <w:rsid w:val="00853CD0"/>
    <w:rsid w:val="00856B0A"/>
    <w:rsid w:val="008570C5"/>
    <w:rsid w:val="0086041F"/>
    <w:rsid w:val="00860E9C"/>
    <w:rsid w:val="00863C12"/>
    <w:rsid w:val="00863C14"/>
    <w:rsid w:val="0086538A"/>
    <w:rsid w:val="008653A1"/>
    <w:rsid w:val="0086679B"/>
    <w:rsid w:val="00866A05"/>
    <w:rsid w:val="00867421"/>
    <w:rsid w:val="008705A5"/>
    <w:rsid w:val="00870CB3"/>
    <w:rsid w:val="008755DA"/>
    <w:rsid w:val="00875653"/>
    <w:rsid w:val="0087574C"/>
    <w:rsid w:val="0087577F"/>
    <w:rsid w:val="00875F44"/>
    <w:rsid w:val="0088116A"/>
    <w:rsid w:val="00885FE7"/>
    <w:rsid w:val="008863AA"/>
    <w:rsid w:val="008871A2"/>
    <w:rsid w:val="00892CFF"/>
    <w:rsid w:val="008937BA"/>
    <w:rsid w:val="008939BE"/>
    <w:rsid w:val="008952F4"/>
    <w:rsid w:val="008961BC"/>
    <w:rsid w:val="008A2987"/>
    <w:rsid w:val="008A2D5E"/>
    <w:rsid w:val="008A3502"/>
    <w:rsid w:val="008A43FB"/>
    <w:rsid w:val="008A7B63"/>
    <w:rsid w:val="008B012C"/>
    <w:rsid w:val="008B42DC"/>
    <w:rsid w:val="008B4589"/>
    <w:rsid w:val="008B57DB"/>
    <w:rsid w:val="008B6620"/>
    <w:rsid w:val="008B67FC"/>
    <w:rsid w:val="008C268D"/>
    <w:rsid w:val="008C2938"/>
    <w:rsid w:val="008C3F49"/>
    <w:rsid w:val="008C4C9D"/>
    <w:rsid w:val="008C6899"/>
    <w:rsid w:val="008C6C3E"/>
    <w:rsid w:val="008C73FC"/>
    <w:rsid w:val="008C7F8C"/>
    <w:rsid w:val="008D1947"/>
    <w:rsid w:val="008D1B92"/>
    <w:rsid w:val="008D2445"/>
    <w:rsid w:val="008D2E70"/>
    <w:rsid w:val="008D3A75"/>
    <w:rsid w:val="008D7EAC"/>
    <w:rsid w:val="008E009E"/>
    <w:rsid w:val="008E02CC"/>
    <w:rsid w:val="008E0740"/>
    <w:rsid w:val="008E0E73"/>
    <w:rsid w:val="008E1E14"/>
    <w:rsid w:val="008E2DF0"/>
    <w:rsid w:val="008E3AA6"/>
    <w:rsid w:val="008E4B62"/>
    <w:rsid w:val="008E5DF2"/>
    <w:rsid w:val="008E745E"/>
    <w:rsid w:val="008F09C6"/>
    <w:rsid w:val="008F2571"/>
    <w:rsid w:val="00900814"/>
    <w:rsid w:val="00901F06"/>
    <w:rsid w:val="0090317C"/>
    <w:rsid w:val="009078E4"/>
    <w:rsid w:val="009114B6"/>
    <w:rsid w:val="00915005"/>
    <w:rsid w:val="00916722"/>
    <w:rsid w:val="00921CA1"/>
    <w:rsid w:val="00926158"/>
    <w:rsid w:val="0092634C"/>
    <w:rsid w:val="00926A93"/>
    <w:rsid w:val="009277AB"/>
    <w:rsid w:val="00927ECB"/>
    <w:rsid w:val="00932E66"/>
    <w:rsid w:val="0093319D"/>
    <w:rsid w:val="00933682"/>
    <w:rsid w:val="00933DBF"/>
    <w:rsid w:val="009351F0"/>
    <w:rsid w:val="00936EFE"/>
    <w:rsid w:val="0093705B"/>
    <w:rsid w:val="009370B8"/>
    <w:rsid w:val="009409C8"/>
    <w:rsid w:val="00941A2D"/>
    <w:rsid w:val="009425AF"/>
    <w:rsid w:val="00944839"/>
    <w:rsid w:val="00947AFD"/>
    <w:rsid w:val="00950716"/>
    <w:rsid w:val="00950ABF"/>
    <w:rsid w:val="00950B52"/>
    <w:rsid w:val="0095623A"/>
    <w:rsid w:val="009604D4"/>
    <w:rsid w:val="0096247B"/>
    <w:rsid w:val="009635D1"/>
    <w:rsid w:val="00963CD8"/>
    <w:rsid w:val="009649BA"/>
    <w:rsid w:val="009652FF"/>
    <w:rsid w:val="00965AD7"/>
    <w:rsid w:val="00966582"/>
    <w:rsid w:val="00966C3D"/>
    <w:rsid w:val="00972451"/>
    <w:rsid w:val="00972C29"/>
    <w:rsid w:val="00973A93"/>
    <w:rsid w:val="009806A4"/>
    <w:rsid w:val="00981079"/>
    <w:rsid w:val="00982190"/>
    <w:rsid w:val="00984F44"/>
    <w:rsid w:val="0098538C"/>
    <w:rsid w:val="00985C99"/>
    <w:rsid w:val="00987356"/>
    <w:rsid w:val="009873D6"/>
    <w:rsid w:val="00990822"/>
    <w:rsid w:val="00990C8B"/>
    <w:rsid w:val="00991673"/>
    <w:rsid w:val="0099530F"/>
    <w:rsid w:val="00995B3A"/>
    <w:rsid w:val="00997A4E"/>
    <w:rsid w:val="00997A77"/>
    <w:rsid w:val="009A11FE"/>
    <w:rsid w:val="009A3E15"/>
    <w:rsid w:val="009B168A"/>
    <w:rsid w:val="009B35A2"/>
    <w:rsid w:val="009B36AC"/>
    <w:rsid w:val="009B3EC2"/>
    <w:rsid w:val="009B56E3"/>
    <w:rsid w:val="009B5C09"/>
    <w:rsid w:val="009B617E"/>
    <w:rsid w:val="009C0B34"/>
    <w:rsid w:val="009C1CE5"/>
    <w:rsid w:val="009C2035"/>
    <w:rsid w:val="009C4648"/>
    <w:rsid w:val="009C5E76"/>
    <w:rsid w:val="009C5F60"/>
    <w:rsid w:val="009D01C4"/>
    <w:rsid w:val="009D0E06"/>
    <w:rsid w:val="009D2887"/>
    <w:rsid w:val="009D44C7"/>
    <w:rsid w:val="009D4530"/>
    <w:rsid w:val="009D4581"/>
    <w:rsid w:val="009D5927"/>
    <w:rsid w:val="009D78FE"/>
    <w:rsid w:val="009D7940"/>
    <w:rsid w:val="009E0685"/>
    <w:rsid w:val="009E19B8"/>
    <w:rsid w:val="009E1BFB"/>
    <w:rsid w:val="009E245A"/>
    <w:rsid w:val="009E2F18"/>
    <w:rsid w:val="009E4A40"/>
    <w:rsid w:val="009E549B"/>
    <w:rsid w:val="009E6615"/>
    <w:rsid w:val="009E707D"/>
    <w:rsid w:val="009E7B00"/>
    <w:rsid w:val="009F08E2"/>
    <w:rsid w:val="009F1931"/>
    <w:rsid w:val="009F3AFA"/>
    <w:rsid w:val="009F48C2"/>
    <w:rsid w:val="009F5DDA"/>
    <w:rsid w:val="009F6195"/>
    <w:rsid w:val="009F68AD"/>
    <w:rsid w:val="009F7D56"/>
    <w:rsid w:val="00A00D95"/>
    <w:rsid w:val="00A016DF"/>
    <w:rsid w:val="00A03182"/>
    <w:rsid w:val="00A05A22"/>
    <w:rsid w:val="00A104DD"/>
    <w:rsid w:val="00A1102A"/>
    <w:rsid w:val="00A1174B"/>
    <w:rsid w:val="00A11FF0"/>
    <w:rsid w:val="00A14193"/>
    <w:rsid w:val="00A15261"/>
    <w:rsid w:val="00A16BED"/>
    <w:rsid w:val="00A20B02"/>
    <w:rsid w:val="00A2143F"/>
    <w:rsid w:val="00A218ED"/>
    <w:rsid w:val="00A232F7"/>
    <w:rsid w:val="00A23322"/>
    <w:rsid w:val="00A236EE"/>
    <w:rsid w:val="00A23B65"/>
    <w:rsid w:val="00A24E51"/>
    <w:rsid w:val="00A25A9C"/>
    <w:rsid w:val="00A26E83"/>
    <w:rsid w:val="00A30E51"/>
    <w:rsid w:val="00A3451C"/>
    <w:rsid w:val="00A37903"/>
    <w:rsid w:val="00A37AA7"/>
    <w:rsid w:val="00A449B8"/>
    <w:rsid w:val="00A46BD3"/>
    <w:rsid w:val="00A47B0E"/>
    <w:rsid w:val="00A50076"/>
    <w:rsid w:val="00A50133"/>
    <w:rsid w:val="00A61AB8"/>
    <w:rsid w:val="00A627A7"/>
    <w:rsid w:val="00A62C8B"/>
    <w:rsid w:val="00A633FC"/>
    <w:rsid w:val="00A6343B"/>
    <w:rsid w:val="00A63EFE"/>
    <w:rsid w:val="00A70DE2"/>
    <w:rsid w:val="00A70E11"/>
    <w:rsid w:val="00A718B5"/>
    <w:rsid w:val="00A72642"/>
    <w:rsid w:val="00A729AF"/>
    <w:rsid w:val="00A744AF"/>
    <w:rsid w:val="00A749E6"/>
    <w:rsid w:val="00A74A8B"/>
    <w:rsid w:val="00A75199"/>
    <w:rsid w:val="00A80E21"/>
    <w:rsid w:val="00A81679"/>
    <w:rsid w:val="00A83660"/>
    <w:rsid w:val="00A870A9"/>
    <w:rsid w:val="00A87345"/>
    <w:rsid w:val="00A907DF"/>
    <w:rsid w:val="00A90A6A"/>
    <w:rsid w:val="00A94798"/>
    <w:rsid w:val="00A963AA"/>
    <w:rsid w:val="00AA146C"/>
    <w:rsid w:val="00AA2C8D"/>
    <w:rsid w:val="00AA2E22"/>
    <w:rsid w:val="00AA301F"/>
    <w:rsid w:val="00AA32B6"/>
    <w:rsid w:val="00AA3E9C"/>
    <w:rsid w:val="00AA4FB5"/>
    <w:rsid w:val="00AA5C88"/>
    <w:rsid w:val="00AA61C9"/>
    <w:rsid w:val="00AB337F"/>
    <w:rsid w:val="00AB3ED9"/>
    <w:rsid w:val="00AB65FF"/>
    <w:rsid w:val="00AB66E8"/>
    <w:rsid w:val="00AB780E"/>
    <w:rsid w:val="00AB7813"/>
    <w:rsid w:val="00AC0968"/>
    <w:rsid w:val="00AC0B95"/>
    <w:rsid w:val="00AC1201"/>
    <w:rsid w:val="00AC1BBC"/>
    <w:rsid w:val="00AC24B5"/>
    <w:rsid w:val="00AC583D"/>
    <w:rsid w:val="00AC6FF4"/>
    <w:rsid w:val="00AC7CF9"/>
    <w:rsid w:val="00AD28EF"/>
    <w:rsid w:val="00AD7532"/>
    <w:rsid w:val="00AE13B1"/>
    <w:rsid w:val="00AE1460"/>
    <w:rsid w:val="00AE175E"/>
    <w:rsid w:val="00AE260F"/>
    <w:rsid w:val="00AE3739"/>
    <w:rsid w:val="00AE3C7B"/>
    <w:rsid w:val="00AE3EE5"/>
    <w:rsid w:val="00AE4165"/>
    <w:rsid w:val="00AE42F4"/>
    <w:rsid w:val="00AE5753"/>
    <w:rsid w:val="00AE7FBA"/>
    <w:rsid w:val="00AF380B"/>
    <w:rsid w:val="00AF67C8"/>
    <w:rsid w:val="00AF689A"/>
    <w:rsid w:val="00AF7E8F"/>
    <w:rsid w:val="00B00DB0"/>
    <w:rsid w:val="00B01FC1"/>
    <w:rsid w:val="00B06F72"/>
    <w:rsid w:val="00B103E8"/>
    <w:rsid w:val="00B10EEC"/>
    <w:rsid w:val="00B11EF5"/>
    <w:rsid w:val="00B129BE"/>
    <w:rsid w:val="00B12A54"/>
    <w:rsid w:val="00B1450E"/>
    <w:rsid w:val="00B154E7"/>
    <w:rsid w:val="00B158A1"/>
    <w:rsid w:val="00B16244"/>
    <w:rsid w:val="00B16FC4"/>
    <w:rsid w:val="00B1736C"/>
    <w:rsid w:val="00B21408"/>
    <w:rsid w:val="00B2204B"/>
    <w:rsid w:val="00B23A07"/>
    <w:rsid w:val="00B24EDF"/>
    <w:rsid w:val="00B253F8"/>
    <w:rsid w:val="00B27704"/>
    <w:rsid w:val="00B27AD8"/>
    <w:rsid w:val="00B300DD"/>
    <w:rsid w:val="00B306E0"/>
    <w:rsid w:val="00B31026"/>
    <w:rsid w:val="00B315F8"/>
    <w:rsid w:val="00B31B68"/>
    <w:rsid w:val="00B320AE"/>
    <w:rsid w:val="00B343B8"/>
    <w:rsid w:val="00B34811"/>
    <w:rsid w:val="00B34DE7"/>
    <w:rsid w:val="00B360A7"/>
    <w:rsid w:val="00B371C2"/>
    <w:rsid w:val="00B42DD5"/>
    <w:rsid w:val="00B43578"/>
    <w:rsid w:val="00B441C9"/>
    <w:rsid w:val="00B446BE"/>
    <w:rsid w:val="00B44717"/>
    <w:rsid w:val="00B45AF7"/>
    <w:rsid w:val="00B46616"/>
    <w:rsid w:val="00B50291"/>
    <w:rsid w:val="00B52195"/>
    <w:rsid w:val="00B526DB"/>
    <w:rsid w:val="00B53FB1"/>
    <w:rsid w:val="00B54F6D"/>
    <w:rsid w:val="00B5745C"/>
    <w:rsid w:val="00B57847"/>
    <w:rsid w:val="00B6014A"/>
    <w:rsid w:val="00B60226"/>
    <w:rsid w:val="00B60B2A"/>
    <w:rsid w:val="00B6436E"/>
    <w:rsid w:val="00B66319"/>
    <w:rsid w:val="00B66725"/>
    <w:rsid w:val="00B67F5C"/>
    <w:rsid w:val="00B71DF4"/>
    <w:rsid w:val="00B7307D"/>
    <w:rsid w:val="00B748E2"/>
    <w:rsid w:val="00B74BD3"/>
    <w:rsid w:val="00B74C4F"/>
    <w:rsid w:val="00B750B4"/>
    <w:rsid w:val="00B7529B"/>
    <w:rsid w:val="00B75562"/>
    <w:rsid w:val="00B7656A"/>
    <w:rsid w:val="00B767FF"/>
    <w:rsid w:val="00B77641"/>
    <w:rsid w:val="00B8269D"/>
    <w:rsid w:val="00B83FF5"/>
    <w:rsid w:val="00B858A9"/>
    <w:rsid w:val="00B85B32"/>
    <w:rsid w:val="00B8724C"/>
    <w:rsid w:val="00B92360"/>
    <w:rsid w:val="00B92632"/>
    <w:rsid w:val="00B93D80"/>
    <w:rsid w:val="00B9436D"/>
    <w:rsid w:val="00B9534C"/>
    <w:rsid w:val="00B96C4D"/>
    <w:rsid w:val="00B96EA7"/>
    <w:rsid w:val="00BA193E"/>
    <w:rsid w:val="00BA590A"/>
    <w:rsid w:val="00BB213A"/>
    <w:rsid w:val="00BB24BC"/>
    <w:rsid w:val="00BB6375"/>
    <w:rsid w:val="00BC3D2E"/>
    <w:rsid w:val="00BC4AC2"/>
    <w:rsid w:val="00BC5180"/>
    <w:rsid w:val="00BD01B4"/>
    <w:rsid w:val="00BD20EE"/>
    <w:rsid w:val="00BD6B29"/>
    <w:rsid w:val="00BD75F8"/>
    <w:rsid w:val="00BE32F1"/>
    <w:rsid w:val="00BE42AA"/>
    <w:rsid w:val="00BE43EC"/>
    <w:rsid w:val="00BE4D5F"/>
    <w:rsid w:val="00BE4F45"/>
    <w:rsid w:val="00BE7E3B"/>
    <w:rsid w:val="00BF0192"/>
    <w:rsid w:val="00BF08E9"/>
    <w:rsid w:val="00BF1276"/>
    <w:rsid w:val="00BF185E"/>
    <w:rsid w:val="00BF269D"/>
    <w:rsid w:val="00BF3BB8"/>
    <w:rsid w:val="00BF3BE3"/>
    <w:rsid w:val="00BF3C09"/>
    <w:rsid w:val="00BF57AA"/>
    <w:rsid w:val="00BF5F6E"/>
    <w:rsid w:val="00BF6B90"/>
    <w:rsid w:val="00BF7F98"/>
    <w:rsid w:val="00C036B1"/>
    <w:rsid w:val="00C0669C"/>
    <w:rsid w:val="00C07854"/>
    <w:rsid w:val="00C1401D"/>
    <w:rsid w:val="00C14A9D"/>
    <w:rsid w:val="00C16A22"/>
    <w:rsid w:val="00C16A81"/>
    <w:rsid w:val="00C16D06"/>
    <w:rsid w:val="00C178F4"/>
    <w:rsid w:val="00C17FA3"/>
    <w:rsid w:val="00C2208F"/>
    <w:rsid w:val="00C2379E"/>
    <w:rsid w:val="00C23B56"/>
    <w:rsid w:val="00C23F03"/>
    <w:rsid w:val="00C2647B"/>
    <w:rsid w:val="00C26998"/>
    <w:rsid w:val="00C26C25"/>
    <w:rsid w:val="00C27653"/>
    <w:rsid w:val="00C27799"/>
    <w:rsid w:val="00C27ECA"/>
    <w:rsid w:val="00C31AD7"/>
    <w:rsid w:val="00C32C4F"/>
    <w:rsid w:val="00C32E63"/>
    <w:rsid w:val="00C366C5"/>
    <w:rsid w:val="00C36BAB"/>
    <w:rsid w:val="00C3725A"/>
    <w:rsid w:val="00C40B25"/>
    <w:rsid w:val="00C432E3"/>
    <w:rsid w:val="00C43F3B"/>
    <w:rsid w:val="00C444B4"/>
    <w:rsid w:val="00C4629C"/>
    <w:rsid w:val="00C51278"/>
    <w:rsid w:val="00C51D7C"/>
    <w:rsid w:val="00C51F1E"/>
    <w:rsid w:val="00C5303F"/>
    <w:rsid w:val="00C53474"/>
    <w:rsid w:val="00C557D3"/>
    <w:rsid w:val="00C558EA"/>
    <w:rsid w:val="00C6408C"/>
    <w:rsid w:val="00C64A26"/>
    <w:rsid w:val="00C64D0A"/>
    <w:rsid w:val="00C64D68"/>
    <w:rsid w:val="00C65DE2"/>
    <w:rsid w:val="00C66475"/>
    <w:rsid w:val="00C732E1"/>
    <w:rsid w:val="00C752BA"/>
    <w:rsid w:val="00C82076"/>
    <w:rsid w:val="00C8235C"/>
    <w:rsid w:val="00C82C60"/>
    <w:rsid w:val="00C84785"/>
    <w:rsid w:val="00C87511"/>
    <w:rsid w:val="00C909DD"/>
    <w:rsid w:val="00C925D4"/>
    <w:rsid w:val="00C928F4"/>
    <w:rsid w:val="00C94583"/>
    <w:rsid w:val="00C97ECE"/>
    <w:rsid w:val="00CA1CC6"/>
    <w:rsid w:val="00CA7FBD"/>
    <w:rsid w:val="00CB0D8A"/>
    <w:rsid w:val="00CB3036"/>
    <w:rsid w:val="00CB3233"/>
    <w:rsid w:val="00CB44DD"/>
    <w:rsid w:val="00CB6AB2"/>
    <w:rsid w:val="00CC013E"/>
    <w:rsid w:val="00CC0324"/>
    <w:rsid w:val="00CC03EC"/>
    <w:rsid w:val="00CC2966"/>
    <w:rsid w:val="00CD12F7"/>
    <w:rsid w:val="00CD29E4"/>
    <w:rsid w:val="00CD30F2"/>
    <w:rsid w:val="00CD3732"/>
    <w:rsid w:val="00CD39DB"/>
    <w:rsid w:val="00CD4020"/>
    <w:rsid w:val="00CD5344"/>
    <w:rsid w:val="00CD6835"/>
    <w:rsid w:val="00CE002B"/>
    <w:rsid w:val="00CE090E"/>
    <w:rsid w:val="00CE0A23"/>
    <w:rsid w:val="00CE0D3D"/>
    <w:rsid w:val="00CE1487"/>
    <w:rsid w:val="00CE183D"/>
    <w:rsid w:val="00CE373C"/>
    <w:rsid w:val="00CE3FAF"/>
    <w:rsid w:val="00CE59FB"/>
    <w:rsid w:val="00CE5ADA"/>
    <w:rsid w:val="00CF16A7"/>
    <w:rsid w:val="00CF439F"/>
    <w:rsid w:val="00CF5C1A"/>
    <w:rsid w:val="00CF6633"/>
    <w:rsid w:val="00D00A40"/>
    <w:rsid w:val="00D03ED2"/>
    <w:rsid w:val="00D06C55"/>
    <w:rsid w:val="00D0783E"/>
    <w:rsid w:val="00D107A4"/>
    <w:rsid w:val="00D11219"/>
    <w:rsid w:val="00D11FA0"/>
    <w:rsid w:val="00D1279B"/>
    <w:rsid w:val="00D16C3C"/>
    <w:rsid w:val="00D260BD"/>
    <w:rsid w:val="00D27458"/>
    <w:rsid w:val="00D30D89"/>
    <w:rsid w:val="00D30EC8"/>
    <w:rsid w:val="00D34FF3"/>
    <w:rsid w:val="00D352A7"/>
    <w:rsid w:val="00D36362"/>
    <w:rsid w:val="00D4216C"/>
    <w:rsid w:val="00D4361E"/>
    <w:rsid w:val="00D439A9"/>
    <w:rsid w:val="00D45981"/>
    <w:rsid w:val="00D459BE"/>
    <w:rsid w:val="00D46434"/>
    <w:rsid w:val="00D46BBB"/>
    <w:rsid w:val="00D47CE9"/>
    <w:rsid w:val="00D52048"/>
    <w:rsid w:val="00D544E4"/>
    <w:rsid w:val="00D55E07"/>
    <w:rsid w:val="00D617FA"/>
    <w:rsid w:val="00D621CA"/>
    <w:rsid w:val="00D63327"/>
    <w:rsid w:val="00D639C6"/>
    <w:rsid w:val="00D652D9"/>
    <w:rsid w:val="00D65B7D"/>
    <w:rsid w:val="00D6615C"/>
    <w:rsid w:val="00D66899"/>
    <w:rsid w:val="00D671EA"/>
    <w:rsid w:val="00D67E9E"/>
    <w:rsid w:val="00D71934"/>
    <w:rsid w:val="00D72437"/>
    <w:rsid w:val="00D729AC"/>
    <w:rsid w:val="00D72AC9"/>
    <w:rsid w:val="00D7335A"/>
    <w:rsid w:val="00D741FF"/>
    <w:rsid w:val="00D75288"/>
    <w:rsid w:val="00D7684B"/>
    <w:rsid w:val="00D76872"/>
    <w:rsid w:val="00D80D54"/>
    <w:rsid w:val="00D8395A"/>
    <w:rsid w:val="00D83F18"/>
    <w:rsid w:val="00D86003"/>
    <w:rsid w:val="00D904D6"/>
    <w:rsid w:val="00D906A6"/>
    <w:rsid w:val="00D93CE4"/>
    <w:rsid w:val="00D93D2D"/>
    <w:rsid w:val="00D94C04"/>
    <w:rsid w:val="00D954F3"/>
    <w:rsid w:val="00D97E66"/>
    <w:rsid w:val="00DA021F"/>
    <w:rsid w:val="00DA15B3"/>
    <w:rsid w:val="00DA2524"/>
    <w:rsid w:val="00DA2B11"/>
    <w:rsid w:val="00DA45E4"/>
    <w:rsid w:val="00DA6A1F"/>
    <w:rsid w:val="00DA6DF0"/>
    <w:rsid w:val="00DB2063"/>
    <w:rsid w:val="00DB3D40"/>
    <w:rsid w:val="00DB69CC"/>
    <w:rsid w:val="00DB728F"/>
    <w:rsid w:val="00DC34DF"/>
    <w:rsid w:val="00DC552E"/>
    <w:rsid w:val="00DC616E"/>
    <w:rsid w:val="00DC7C2C"/>
    <w:rsid w:val="00DD0206"/>
    <w:rsid w:val="00DD2BD6"/>
    <w:rsid w:val="00DD2D75"/>
    <w:rsid w:val="00DD4C5C"/>
    <w:rsid w:val="00DD4C87"/>
    <w:rsid w:val="00DD4F41"/>
    <w:rsid w:val="00DD5653"/>
    <w:rsid w:val="00DE173E"/>
    <w:rsid w:val="00DE1BE7"/>
    <w:rsid w:val="00DE3FFA"/>
    <w:rsid w:val="00DE4B7C"/>
    <w:rsid w:val="00DE5972"/>
    <w:rsid w:val="00DE6EA0"/>
    <w:rsid w:val="00DE770C"/>
    <w:rsid w:val="00DF02A6"/>
    <w:rsid w:val="00DF02AA"/>
    <w:rsid w:val="00DF229C"/>
    <w:rsid w:val="00DF5293"/>
    <w:rsid w:val="00DF7272"/>
    <w:rsid w:val="00DF7611"/>
    <w:rsid w:val="00DF772F"/>
    <w:rsid w:val="00E0297B"/>
    <w:rsid w:val="00E02C2D"/>
    <w:rsid w:val="00E053CF"/>
    <w:rsid w:val="00E0575C"/>
    <w:rsid w:val="00E0742C"/>
    <w:rsid w:val="00E114A4"/>
    <w:rsid w:val="00E159F9"/>
    <w:rsid w:val="00E15B86"/>
    <w:rsid w:val="00E16A36"/>
    <w:rsid w:val="00E17ADD"/>
    <w:rsid w:val="00E20B0F"/>
    <w:rsid w:val="00E21E1A"/>
    <w:rsid w:val="00E21FB7"/>
    <w:rsid w:val="00E2315B"/>
    <w:rsid w:val="00E24401"/>
    <w:rsid w:val="00E27D55"/>
    <w:rsid w:val="00E305FE"/>
    <w:rsid w:val="00E3101A"/>
    <w:rsid w:val="00E31A68"/>
    <w:rsid w:val="00E33F4F"/>
    <w:rsid w:val="00E343CA"/>
    <w:rsid w:val="00E3483D"/>
    <w:rsid w:val="00E351C9"/>
    <w:rsid w:val="00E3622C"/>
    <w:rsid w:val="00E378A4"/>
    <w:rsid w:val="00E408A6"/>
    <w:rsid w:val="00E42632"/>
    <w:rsid w:val="00E446FA"/>
    <w:rsid w:val="00E44809"/>
    <w:rsid w:val="00E44A3E"/>
    <w:rsid w:val="00E4600A"/>
    <w:rsid w:val="00E461B9"/>
    <w:rsid w:val="00E462C9"/>
    <w:rsid w:val="00E47314"/>
    <w:rsid w:val="00E477D7"/>
    <w:rsid w:val="00E50F34"/>
    <w:rsid w:val="00E513E2"/>
    <w:rsid w:val="00E51490"/>
    <w:rsid w:val="00E545EC"/>
    <w:rsid w:val="00E54FDA"/>
    <w:rsid w:val="00E56376"/>
    <w:rsid w:val="00E574B0"/>
    <w:rsid w:val="00E61005"/>
    <w:rsid w:val="00E621EB"/>
    <w:rsid w:val="00E6263D"/>
    <w:rsid w:val="00E632E8"/>
    <w:rsid w:val="00E639F4"/>
    <w:rsid w:val="00E6445A"/>
    <w:rsid w:val="00E71BF6"/>
    <w:rsid w:val="00E737F1"/>
    <w:rsid w:val="00E775A9"/>
    <w:rsid w:val="00E77F1C"/>
    <w:rsid w:val="00E80E9B"/>
    <w:rsid w:val="00E81834"/>
    <w:rsid w:val="00E82F72"/>
    <w:rsid w:val="00E90396"/>
    <w:rsid w:val="00E91CE9"/>
    <w:rsid w:val="00E93263"/>
    <w:rsid w:val="00E94DE0"/>
    <w:rsid w:val="00EA1B59"/>
    <w:rsid w:val="00EA1C23"/>
    <w:rsid w:val="00EA2441"/>
    <w:rsid w:val="00EB058A"/>
    <w:rsid w:val="00EB32D0"/>
    <w:rsid w:val="00EB4430"/>
    <w:rsid w:val="00EB46DC"/>
    <w:rsid w:val="00EB61A1"/>
    <w:rsid w:val="00EC0A3E"/>
    <w:rsid w:val="00EC12AD"/>
    <w:rsid w:val="00EC2DC9"/>
    <w:rsid w:val="00EC2DD7"/>
    <w:rsid w:val="00EC47F0"/>
    <w:rsid w:val="00EC4DA5"/>
    <w:rsid w:val="00EC5775"/>
    <w:rsid w:val="00EC7E20"/>
    <w:rsid w:val="00ED0F6D"/>
    <w:rsid w:val="00ED171E"/>
    <w:rsid w:val="00ED2329"/>
    <w:rsid w:val="00ED39D2"/>
    <w:rsid w:val="00ED3C3A"/>
    <w:rsid w:val="00ED4227"/>
    <w:rsid w:val="00ED6378"/>
    <w:rsid w:val="00EE14C7"/>
    <w:rsid w:val="00EE2077"/>
    <w:rsid w:val="00EE279E"/>
    <w:rsid w:val="00EE2D55"/>
    <w:rsid w:val="00EE63A3"/>
    <w:rsid w:val="00EE65C6"/>
    <w:rsid w:val="00EE6ECB"/>
    <w:rsid w:val="00EF04AB"/>
    <w:rsid w:val="00EF30B6"/>
    <w:rsid w:val="00EF4592"/>
    <w:rsid w:val="00F03375"/>
    <w:rsid w:val="00F03DA2"/>
    <w:rsid w:val="00F106F6"/>
    <w:rsid w:val="00F1227D"/>
    <w:rsid w:val="00F12667"/>
    <w:rsid w:val="00F12C13"/>
    <w:rsid w:val="00F14EAD"/>
    <w:rsid w:val="00F14F07"/>
    <w:rsid w:val="00F15BCB"/>
    <w:rsid w:val="00F15EB3"/>
    <w:rsid w:val="00F1667E"/>
    <w:rsid w:val="00F1771C"/>
    <w:rsid w:val="00F2113E"/>
    <w:rsid w:val="00F225CB"/>
    <w:rsid w:val="00F22685"/>
    <w:rsid w:val="00F2468E"/>
    <w:rsid w:val="00F25CB0"/>
    <w:rsid w:val="00F25DFD"/>
    <w:rsid w:val="00F26762"/>
    <w:rsid w:val="00F27F62"/>
    <w:rsid w:val="00F3161C"/>
    <w:rsid w:val="00F31F70"/>
    <w:rsid w:val="00F329FF"/>
    <w:rsid w:val="00F3357D"/>
    <w:rsid w:val="00F33B16"/>
    <w:rsid w:val="00F356F8"/>
    <w:rsid w:val="00F35FB9"/>
    <w:rsid w:val="00F40B2A"/>
    <w:rsid w:val="00F44EC1"/>
    <w:rsid w:val="00F454F8"/>
    <w:rsid w:val="00F46793"/>
    <w:rsid w:val="00F46F28"/>
    <w:rsid w:val="00F47D54"/>
    <w:rsid w:val="00F53324"/>
    <w:rsid w:val="00F5501E"/>
    <w:rsid w:val="00F5670F"/>
    <w:rsid w:val="00F6012A"/>
    <w:rsid w:val="00F631A6"/>
    <w:rsid w:val="00F634C4"/>
    <w:rsid w:val="00F64813"/>
    <w:rsid w:val="00F655B6"/>
    <w:rsid w:val="00F67405"/>
    <w:rsid w:val="00F6767F"/>
    <w:rsid w:val="00F7040F"/>
    <w:rsid w:val="00F707E5"/>
    <w:rsid w:val="00F708F8"/>
    <w:rsid w:val="00F73091"/>
    <w:rsid w:val="00F75186"/>
    <w:rsid w:val="00F757F5"/>
    <w:rsid w:val="00F76E96"/>
    <w:rsid w:val="00F80343"/>
    <w:rsid w:val="00F8178A"/>
    <w:rsid w:val="00F82114"/>
    <w:rsid w:val="00F82CA4"/>
    <w:rsid w:val="00F843B4"/>
    <w:rsid w:val="00F85D7F"/>
    <w:rsid w:val="00F8742D"/>
    <w:rsid w:val="00F91F14"/>
    <w:rsid w:val="00F9403B"/>
    <w:rsid w:val="00FA15E5"/>
    <w:rsid w:val="00FA3DBD"/>
    <w:rsid w:val="00FA4AA8"/>
    <w:rsid w:val="00FA54FE"/>
    <w:rsid w:val="00FA61F0"/>
    <w:rsid w:val="00FA6EFE"/>
    <w:rsid w:val="00FA7692"/>
    <w:rsid w:val="00FA7FBA"/>
    <w:rsid w:val="00FB0433"/>
    <w:rsid w:val="00FB1197"/>
    <w:rsid w:val="00FB16A7"/>
    <w:rsid w:val="00FB18A0"/>
    <w:rsid w:val="00FB24E3"/>
    <w:rsid w:val="00FB2F0A"/>
    <w:rsid w:val="00FB31FA"/>
    <w:rsid w:val="00FB5003"/>
    <w:rsid w:val="00FC0629"/>
    <w:rsid w:val="00FC1EE1"/>
    <w:rsid w:val="00FC2099"/>
    <w:rsid w:val="00FC5245"/>
    <w:rsid w:val="00FD04EB"/>
    <w:rsid w:val="00FD0DC4"/>
    <w:rsid w:val="00FD0F2F"/>
    <w:rsid w:val="00FD169D"/>
    <w:rsid w:val="00FD2E83"/>
    <w:rsid w:val="00FD3780"/>
    <w:rsid w:val="00FD38F2"/>
    <w:rsid w:val="00FD3B59"/>
    <w:rsid w:val="00FD3EE4"/>
    <w:rsid w:val="00FD4F79"/>
    <w:rsid w:val="00FD6109"/>
    <w:rsid w:val="00FD7CE4"/>
    <w:rsid w:val="00FD7F8F"/>
    <w:rsid w:val="00FE114A"/>
    <w:rsid w:val="00FE184F"/>
    <w:rsid w:val="00FE207A"/>
    <w:rsid w:val="00FE2F7B"/>
    <w:rsid w:val="00FE3EEA"/>
    <w:rsid w:val="00FE542F"/>
    <w:rsid w:val="00FE6886"/>
    <w:rsid w:val="00FF064D"/>
    <w:rsid w:val="00FF1DE6"/>
    <w:rsid w:val="00FF2204"/>
    <w:rsid w:val="00FF2821"/>
    <w:rsid w:val="00FF2D53"/>
    <w:rsid w:val="00FF36FA"/>
    <w:rsid w:val="00FF722C"/>
    <w:rsid w:val="00FF7812"/>
    <w:rsid w:val="010C2B69"/>
    <w:rsid w:val="018E5CC5"/>
    <w:rsid w:val="01977B2C"/>
    <w:rsid w:val="01CB2E8B"/>
    <w:rsid w:val="01DE1773"/>
    <w:rsid w:val="02667B4D"/>
    <w:rsid w:val="02A824AD"/>
    <w:rsid w:val="03930613"/>
    <w:rsid w:val="039447DF"/>
    <w:rsid w:val="03C06894"/>
    <w:rsid w:val="041D7567"/>
    <w:rsid w:val="04DC643E"/>
    <w:rsid w:val="05485881"/>
    <w:rsid w:val="065364FE"/>
    <w:rsid w:val="07015629"/>
    <w:rsid w:val="070E509C"/>
    <w:rsid w:val="07CB1364"/>
    <w:rsid w:val="07CC279A"/>
    <w:rsid w:val="08A9008E"/>
    <w:rsid w:val="097766A4"/>
    <w:rsid w:val="0AE72965"/>
    <w:rsid w:val="0AF7207F"/>
    <w:rsid w:val="0B106D25"/>
    <w:rsid w:val="0B195D7B"/>
    <w:rsid w:val="0B2E71DA"/>
    <w:rsid w:val="0B66419E"/>
    <w:rsid w:val="0C0B7609"/>
    <w:rsid w:val="0CFB767D"/>
    <w:rsid w:val="0E481D12"/>
    <w:rsid w:val="0EA7554F"/>
    <w:rsid w:val="0EDB59B8"/>
    <w:rsid w:val="0EE4486D"/>
    <w:rsid w:val="0EF3685E"/>
    <w:rsid w:val="0F955E06"/>
    <w:rsid w:val="10184E62"/>
    <w:rsid w:val="10205149"/>
    <w:rsid w:val="106D3063"/>
    <w:rsid w:val="12185725"/>
    <w:rsid w:val="12274A70"/>
    <w:rsid w:val="124244CE"/>
    <w:rsid w:val="12EF7E22"/>
    <w:rsid w:val="13590041"/>
    <w:rsid w:val="138E75D3"/>
    <w:rsid w:val="14A60BBB"/>
    <w:rsid w:val="14D346C6"/>
    <w:rsid w:val="15A33119"/>
    <w:rsid w:val="163015C4"/>
    <w:rsid w:val="16B32D77"/>
    <w:rsid w:val="16F65DA3"/>
    <w:rsid w:val="17B248C7"/>
    <w:rsid w:val="188501DE"/>
    <w:rsid w:val="193E726F"/>
    <w:rsid w:val="19805192"/>
    <w:rsid w:val="1AD56FF2"/>
    <w:rsid w:val="1B617245"/>
    <w:rsid w:val="1B852F33"/>
    <w:rsid w:val="1C0A2EB8"/>
    <w:rsid w:val="1C270975"/>
    <w:rsid w:val="1C6551CC"/>
    <w:rsid w:val="1C6E22CA"/>
    <w:rsid w:val="1E1957B4"/>
    <w:rsid w:val="1F0A567B"/>
    <w:rsid w:val="1F110373"/>
    <w:rsid w:val="1FB9308A"/>
    <w:rsid w:val="1FE87F35"/>
    <w:rsid w:val="21620938"/>
    <w:rsid w:val="23163ED6"/>
    <w:rsid w:val="23AD16E8"/>
    <w:rsid w:val="23B73EA6"/>
    <w:rsid w:val="23D61C99"/>
    <w:rsid w:val="248D4C07"/>
    <w:rsid w:val="24F86524"/>
    <w:rsid w:val="257B0F03"/>
    <w:rsid w:val="25EE7927"/>
    <w:rsid w:val="2613066B"/>
    <w:rsid w:val="261455E0"/>
    <w:rsid w:val="263C0693"/>
    <w:rsid w:val="267C13D7"/>
    <w:rsid w:val="269A22AF"/>
    <w:rsid w:val="26EA68A8"/>
    <w:rsid w:val="27217CEC"/>
    <w:rsid w:val="27BC17BF"/>
    <w:rsid w:val="27FD02F5"/>
    <w:rsid w:val="283E5421"/>
    <w:rsid w:val="283F26BC"/>
    <w:rsid w:val="28453CC8"/>
    <w:rsid w:val="28902F18"/>
    <w:rsid w:val="28930A95"/>
    <w:rsid w:val="28F33BD2"/>
    <w:rsid w:val="29624758"/>
    <w:rsid w:val="299A0972"/>
    <w:rsid w:val="29AC35F6"/>
    <w:rsid w:val="2A703001"/>
    <w:rsid w:val="2A8D770F"/>
    <w:rsid w:val="2B377690"/>
    <w:rsid w:val="2B7D7783"/>
    <w:rsid w:val="2B836D64"/>
    <w:rsid w:val="2B8C3E6A"/>
    <w:rsid w:val="2B9E508B"/>
    <w:rsid w:val="2BE316A7"/>
    <w:rsid w:val="2C453170"/>
    <w:rsid w:val="2C495545"/>
    <w:rsid w:val="2C4A23DD"/>
    <w:rsid w:val="2C6B7F24"/>
    <w:rsid w:val="2D0E2451"/>
    <w:rsid w:val="2E0221C2"/>
    <w:rsid w:val="2E4550AD"/>
    <w:rsid w:val="2F51608C"/>
    <w:rsid w:val="3038011D"/>
    <w:rsid w:val="303F594F"/>
    <w:rsid w:val="304167F7"/>
    <w:rsid w:val="30D53BFF"/>
    <w:rsid w:val="30DF67EA"/>
    <w:rsid w:val="32075FF9"/>
    <w:rsid w:val="3306714A"/>
    <w:rsid w:val="330F6123"/>
    <w:rsid w:val="335214F5"/>
    <w:rsid w:val="338A6CBC"/>
    <w:rsid w:val="34030A42"/>
    <w:rsid w:val="34607C42"/>
    <w:rsid w:val="357F059C"/>
    <w:rsid w:val="35D067A7"/>
    <w:rsid w:val="3715740A"/>
    <w:rsid w:val="37AE6F16"/>
    <w:rsid w:val="383A1294"/>
    <w:rsid w:val="388F2773"/>
    <w:rsid w:val="39047736"/>
    <w:rsid w:val="396401D4"/>
    <w:rsid w:val="39A131D7"/>
    <w:rsid w:val="39AB195F"/>
    <w:rsid w:val="39BF6117"/>
    <w:rsid w:val="3A2260A1"/>
    <w:rsid w:val="3B771C1F"/>
    <w:rsid w:val="3C77021F"/>
    <w:rsid w:val="3D671B69"/>
    <w:rsid w:val="3DD671C7"/>
    <w:rsid w:val="3E4051D3"/>
    <w:rsid w:val="3EAD2EC9"/>
    <w:rsid w:val="3EBA2645"/>
    <w:rsid w:val="40DE086C"/>
    <w:rsid w:val="41793B21"/>
    <w:rsid w:val="41795491"/>
    <w:rsid w:val="417A5147"/>
    <w:rsid w:val="418B713B"/>
    <w:rsid w:val="41C2228F"/>
    <w:rsid w:val="421E67E1"/>
    <w:rsid w:val="4220265B"/>
    <w:rsid w:val="426F3F97"/>
    <w:rsid w:val="42B53CC1"/>
    <w:rsid w:val="432D4E22"/>
    <w:rsid w:val="444100C9"/>
    <w:rsid w:val="445D419E"/>
    <w:rsid w:val="44FD328B"/>
    <w:rsid w:val="451B17F6"/>
    <w:rsid w:val="45EA1A61"/>
    <w:rsid w:val="45EB56D0"/>
    <w:rsid w:val="46130B22"/>
    <w:rsid w:val="46985894"/>
    <w:rsid w:val="46C357BC"/>
    <w:rsid w:val="46E13DB1"/>
    <w:rsid w:val="47CB141F"/>
    <w:rsid w:val="48552C62"/>
    <w:rsid w:val="48A44149"/>
    <w:rsid w:val="48D367DD"/>
    <w:rsid w:val="491C63D6"/>
    <w:rsid w:val="496541A2"/>
    <w:rsid w:val="496E7B1A"/>
    <w:rsid w:val="497578A1"/>
    <w:rsid w:val="497E4B01"/>
    <w:rsid w:val="499D371C"/>
    <w:rsid w:val="4A29004F"/>
    <w:rsid w:val="4A4B252B"/>
    <w:rsid w:val="4A9205ED"/>
    <w:rsid w:val="4BE74117"/>
    <w:rsid w:val="4C995F8F"/>
    <w:rsid w:val="4CCC0782"/>
    <w:rsid w:val="4CDF5113"/>
    <w:rsid w:val="4D2C12E0"/>
    <w:rsid w:val="4D4521D3"/>
    <w:rsid w:val="4D4536BE"/>
    <w:rsid w:val="4DCA15C8"/>
    <w:rsid w:val="4E65437B"/>
    <w:rsid w:val="50674E00"/>
    <w:rsid w:val="50DE0552"/>
    <w:rsid w:val="515F3303"/>
    <w:rsid w:val="519531C9"/>
    <w:rsid w:val="51F85506"/>
    <w:rsid w:val="52090DED"/>
    <w:rsid w:val="522808F4"/>
    <w:rsid w:val="523E2E19"/>
    <w:rsid w:val="52990A97"/>
    <w:rsid w:val="529D03AD"/>
    <w:rsid w:val="52E00474"/>
    <w:rsid w:val="53071EA5"/>
    <w:rsid w:val="5338205E"/>
    <w:rsid w:val="534D3630"/>
    <w:rsid w:val="53775035"/>
    <w:rsid w:val="53E15B76"/>
    <w:rsid w:val="53FC01C8"/>
    <w:rsid w:val="53FC6721"/>
    <w:rsid w:val="54DF4EE8"/>
    <w:rsid w:val="55AD49B3"/>
    <w:rsid w:val="56E6661F"/>
    <w:rsid w:val="576D24F2"/>
    <w:rsid w:val="577C4928"/>
    <w:rsid w:val="579F744D"/>
    <w:rsid w:val="58276B45"/>
    <w:rsid w:val="588418A2"/>
    <w:rsid w:val="58B83E74"/>
    <w:rsid w:val="58E41D48"/>
    <w:rsid w:val="58E81E30"/>
    <w:rsid w:val="5A96780E"/>
    <w:rsid w:val="5AF42331"/>
    <w:rsid w:val="5B577BFC"/>
    <w:rsid w:val="5BE85E95"/>
    <w:rsid w:val="5BF3746A"/>
    <w:rsid w:val="5C01262C"/>
    <w:rsid w:val="5C0608D6"/>
    <w:rsid w:val="5C1B076F"/>
    <w:rsid w:val="5C71213D"/>
    <w:rsid w:val="5CFD02A0"/>
    <w:rsid w:val="5DDE3904"/>
    <w:rsid w:val="5E0F7E5F"/>
    <w:rsid w:val="5E2356B9"/>
    <w:rsid w:val="5E3E301E"/>
    <w:rsid w:val="5E730E82"/>
    <w:rsid w:val="5EAA5DDA"/>
    <w:rsid w:val="5FA82319"/>
    <w:rsid w:val="5FAC336D"/>
    <w:rsid w:val="616E578F"/>
    <w:rsid w:val="61CF0031"/>
    <w:rsid w:val="62E54C39"/>
    <w:rsid w:val="63603041"/>
    <w:rsid w:val="63B84AF5"/>
    <w:rsid w:val="63E636A7"/>
    <w:rsid w:val="647E4241"/>
    <w:rsid w:val="648669A1"/>
    <w:rsid w:val="64D63485"/>
    <w:rsid w:val="6585087D"/>
    <w:rsid w:val="65E97D44"/>
    <w:rsid w:val="66E92F02"/>
    <w:rsid w:val="67923542"/>
    <w:rsid w:val="67EB7247"/>
    <w:rsid w:val="69262337"/>
    <w:rsid w:val="69B01F0C"/>
    <w:rsid w:val="6A633A0D"/>
    <w:rsid w:val="6ADB3023"/>
    <w:rsid w:val="6B1B6095"/>
    <w:rsid w:val="6BCB60D2"/>
    <w:rsid w:val="6C1E72DF"/>
    <w:rsid w:val="6C245031"/>
    <w:rsid w:val="6CFE17CB"/>
    <w:rsid w:val="6DFC768A"/>
    <w:rsid w:val="6E466A83"/>
    <w:rsid w:val="6F522F46"/>
    <w:rsid w:val="6F9A6059"/>
    <w:rsid w:val="6FA348AB"/>
    <w:rsid w:val="719B1CDE"/>
    <w:rsid w:val="71C108C5"/>
    <w:rsid w:val="71FB3C3C"/>
    <w:rsid w:val="72C50044"/>
    <w:rsid w:val="72CB65F3"/>
    <w:rsid w:val="733E6DC5"/>
    <w:rsid w:val="738B5D82"/>
    <w:rsid w:val="73927111"/>
    <w:rsid w:val="740578E3"/>
    <w:rsid w:val="74624249"/>
    <w:rsid w:val="74A82F40"/>
    <w:rsid w:val="752B3379"/>
    <w:rsid w:val="760F67F7"/>
    <w:rsid w:val="764853C3"/>
    <w:rsid w:val="768E1E11"/>
    <w:rsid w:val="76BD6253"/>
    <w:rsid w:val="77BD7F0F"/>
    <w:rsid w:val="7812649D"/>
    <w:rsid w:val="78494817"/>
    <w:rsid w:val="78F13B18"/>
    <w:rsid w:val="79066F17"/>
    <w:rsid w:val="79A70AC0"/>
    <w:rsid w:val="79F503F9"/>
    <w:rsid w:val="7A210B1F"/>
    <w:rsid w:val="7A8F7F06"/>
    <w:rsid w:val="7BB120FE"/>
    <w:rsid w:val="7BF841C6"/>
    <w:rsid w:val="7D2C0CE2"/>
    <w:rsid w:val="7D6F2271"/>
    <w:rsid w:val="7E071957"/>
    <w:rsid w:val="7E6E54AC"/>
    <w:rsid w:val="7EAA7A04"/>
    <w:rsid w:val="7EAE0FEB"/>
    <w:rsid w:val="7EBA4486"/>
    <w:rsid w:val="7F0A04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iPriority="0" w:semiHidden="0" w:name="header"/>
    <w:lsdException w:qFormat="1" w:unhideWhenUsed="0" w:uiPriority="99" w:semiHidden="0" w:name="footer"/>
    <w:lsdException w:qFormat="1"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88"/>
    <w:qFormat/>
    <w:uiPriority w:val="0"/>
    <w:pPr>
      <w:keepNext/>
      <w:keepLines/>
      <w:snapToGrid w:val="0"/>
      <w:spacing w:line="360" w:lineRule="auto"/>
      <w:jc w:val="center"/>
      <w:outlineLvl w:val="0"/>
    </w:pPr>
    <w:rPr>
      <w:rFonts w:ascii="宋体" w:hAnsi="宋体" w:cs="宋体"/>
      <w:b/>
      <w:color w:val="FF0000"/>
      <w:kern w:val="44"/>
      <w:sz w:val="28"/>
      <w:szCs w:val="28"/>
    </w:rPr>
  </w:style>
  <w:style w:type="paragraph" w:styleId="3">
    <w:name w:val="heading 2"/>
    <w:basedOn w:val="1"/>
    <w:next w:val="1"/>
    <w:link w:val="36"/>
    <w:qFormat/>
    <w:uiPriority w:val="0"/>
    <w:pPr>
      <w:keepNext/>
      <w:keepLines/>
      <w:numPr>
        <w:ilvl w:val="1"/>
        <w:numId w:val="1"/>
      </w:numPr>
      <w:spacing w:before="200" w:after="200" w:line="360" w:lineRule="auto"/>
      <w:jc w:val="left"/>
      <w:outlineLvl w:val="1"/>
    </w:pPr>
    <w:rPr>
      <w:rFonts w:ascii="黑体" w:hAnsi="黑体" w:eastAsia="黑体"/>
      <w:bCs/>
      <w:sz w:val="28"/>
      <w:szCs w:val="32"/>
    </w:rPr>
  </w:style>
  <w:style w:type="paragraph" w:styleId="4">
    <w:name w:val="heading 3"/>
    <w:basedOn w:val="1"/>
    <w:next w:val="1"/>
    <w:link w:val="67"/>
    <w:autoRedefine/>
    <w:unhideWhenUsed/>
    <w:qFormat/>
    <w:uiPriority w:val="9"/>
    <w:pPr>
      <w:keepNext/>
      <w:keepLines/>
      <w:spacing w:before="260" w:after="260" w:line="416" w:lineRule="auto"/>
      <w:outlineLvl w:val="2"/>
    </w:pPr>
    <w:rPr>
      <w:b/>
      <w:bCs/>
      <w:sz w:val="32"/>
      <w:szCs w:val="32"/>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style>
  <w:style w:type="paragraph" w:customStyle="1" w:styleId="6">
    <w:name w:val="Char Char Char Char Char Char Char Char Char1 Char"/>
    <w:basedOn w:val="1"/>
    <w:next w:val="7"/>
    <w:qFormat/>
    <w:uiPriority w:val="0"/>
    <w:pPr>
      <w:spacing w:line="360" w:lineRule="auto"/>
      <w:ind w:firstLine="200" w:firstLineChars="200"/>
    </w:pPr>
    <w:rPr>
      <w:rFonts w:hAnsi="ˎ̥" w:cs="ˎ̥"/>
    </w:rPr>
  </w:style>
  <w:style w:type="paragraph" w:customStyle="1" w:styleId="7">
    <w:name w:val="Body Text First Indent1"/>
    <w:next w:val="1"/>
    <w:qFormat/>
    <w:uiPriority w:val="99"/>
    <w:pPr>
      <w:widowControl w:val="0"/>
      <w:spacing w:after="120"/>
      <w:ind w:firstLine="420"/>
      <w:jc w:val="both"/>
    </w:pPr>
    <w:rPr>
      <w:rFonts w:ascii="Times New Roman" w:hAnsi="Times New Roman" w:eastAsia="宋体" w:cs="Times New Roman"/>
      <w:sz w:val="21"/>
      <w:szCs w:val="22"/>
      <w:lang w:val="en-US" w:eastAsia="zh-CN" w:bidi="ar-SA"/>
    </w:rPr>
  </w:style>
  <w:style w:type="paragraph" w:styleId="8">
    <w:name w:val="caption"/>
    <w:basedOn w:val="1"/>
    <w:next w:val="1"/>
    <w:link w:val="37"/>
    <w:qFormat/>
    <w:uiPriority w:val="99"/>
    <w:pPr>
      <w:keepNext/>
      <w:spacing w:line="300" w:lineRule="exact"/>
      <w:jc w:val="center"/>
    </w:pPr>
    <w:rPr>
      <w:rFonts w:ascii="黑体" w:hAnsi="黑体" w:eastAsia="黑体"/>
      <w:color w:val="000000" w:themeColor="text1"/>
      <w:sz w:val="21"/>
      <w:szCs w:val="21"/>
      <w14:textFill>
        <w14:solidFill>
          <w14:schemeClr w14:val="tx1"/>
        </w14:solidFill>
      </w14:textFill>
    </w:rPr>
  </w:style>
  <w:style w:type="paragraph" w:styleId="9">
    <w:name w:val="Document Map"/>
    <w:basedOn w:val="1"/>
    <w:link w:val="68"/>
    <w:autoRedefine/>
    <w:qFormat/>
    <w:uiPriority w:val="0"/>
    <w:rPr>
      <w:rFonts w:ascii="宋体" w:hAnsi="宋体" w:cs="宋体"/>
      <w:sz w:val="18"/>
      <w:szCs w:val="18"/>
    </w:rPr>
  </w:style>
  <w:style w:type="paragraph" w:styleId="10">
    <w:name w:val="annotation text"/>
    <w:basedOn w:val="1"/>
    <w:link w:val="69"/>
    <w:autoRedefine/>
    <w:qFormat/>
    <w:uiPriority w:val="99"/>
    <w:pPr>
      <w:jc w:val="left"/>
    </w:pPr>
  </w:style>
  <w:style w:type="paragraph" w:styleId="11">
    <w:name w:val="Body Text"/>
    <w:basedOn w:val="1"/>
    <w:next w:val="12"/>
    <w:link w:val="70"/>
    <w:qFormat/>
    <w:uiPriority w:val="99"/>
    <w:pPr>
      <w:widowControl/>
      <w:snapToGrid w:val="0"/>
      <w:spacing w:line="500" w:lineRule="exact"/>
      <w:ind w:firstLine="482" w:firstLineChars="200"/>
    </w:pPr>
    <w:rPr>
      <w:rFonts w:ascii="宋体" w:hAnsi="宋体" w:cs="宋体"/>
      <w:b/>
      <w:bCs/>
      <w:color w:val="ED0000"/>
      <w:kern w:val="0"/>
    </w:rPr>
  </w:style>
  <w:style w:type="paragraph" w:styleId="12">
    <w:name w:val="Body Text 2"/>
    <w:basedOn w:val="1"/>
    <w:qFormat/>
    <w:uiPriority w:val="0"/>
    <w:pPr>
      <w:spacing w:after="120" w:line="480" w:lineRule="auto"/>
    </w:pPr>
  </w:style>
  <w:style w:type="paragraph" w:styleId="13">
    <w:name w:val="Body Text Indent"/>
    <w:basedOn w:val="1"/>
    <w:autoRedefine/>
    <w:qFormat/>
    <w:uiPriority w:val="0"/>
    <w:pPr>
      <w:spacing w:line="440" w:lineRule="exact"/>
      <w:ind w:firstLine="510"/>
    </w:pPr>
    <w:rPr>
      <w:rFonts w:ascii="宋体"/>
      <w:spacing w:val="12"/>
      <w:kern w:val="0"/>
    </w:rPr>
  </w:style>
  <w:style w:type="paragraph" w:styleId="14">
    <w:name w:val="Block Text"/>
    <w:basedOn w:val="1"/>
    <w:next w:val="1"/>
    <w:autoRedefine/>
    <w:qFormat/>
    <w:uiPriority w:val="99"/>
    <w:pPr>
      <w:spacing w:line="480" w:lineRule="exact"/>
      <w:ind w:left="-125" w:right="-56" w:firstLine="570"/>
    </w:pPr>
    <w:rPr>
      <w:sz w:val="28"/>
    </w:rPr>
  </w:style>
  <w:style w:type="paragraph" w:styleId="15">
    <w:name w:val="Date"/>
    <w:basedOn w:val="1"/>
    <w:next w:val="1"/>
    <w:autoRedefine/>
    <w:qFormat/>
    <w:uiPriority w:val="0"/>
    <w:rPr>
      <w:rFonts w:ascii="宋体"/>
      <w:kern w:val="0"/>
      <w:sz w:val="20"/>
      <w:szCs w:val="20"/>
    </w:rPr>
  </w:style>
  <w:style w:type="paragraph" w:styleId="16">
    <w:name w:val="Body Text Indent 2"/>
    <w:basedOn w:val="1"/>
    <w:link w:val="94"/>
    <w:autoRedefine/>
    <w:qFormat/>
    <w:uiPriority w:val="0"/>
    <w:pPr>
      <w:spacing w:after="120" w:line="480" w:lineRule="auto"/>
      <w:ind w:left="420" w:leftChars="200"/>
    </w:pPr>
  </w:style>
  <w:style w:type="paragraph" w:styleId="17">
    <w:name w:val="footer"/>
    <w:basedOn w:val="1"/>
    <w:link w:val="71"/>
    <w:autoRedefine/>
    <w:qFormat/>
    <w:uiPriority w:val="99"/>
    <w:pPr>
      <w:tabs>
        <w:tab w:val="center" w:pos="4153"/>
        <w:tab w:val="right" w:pos="8306"/>
      </w:tabs>
      <w:snapToGrid w:val="0"/>
      <w:jc w:val="left"/>
    </w:pPr>
    <w:rPr>
      <w:sz w:val="18"/>
      <w:szCs w:val="18"/>
    </w:rPr>
  </w:style>
  <w:style w:type="paragraph" w:styleId="18">
    <w:name w:val="header"/>
    <w:basedOn w:val="1"/>
    <w:link w:val="72"/>
    <w:autoRedefine/>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9">
    <w:name w:val="index heading"/>
    <w:basedOn w:val="1"/>
    <w:next w:val="20"/>
    <w:autoRedefine/>
    <w:qFormat/>
    <w:uiPriority w:val="0"/>
    <w:rPr>
      <w:rFonts w:hint="eastAsia" w:ascii="Cambria" w:hAnsi="Cambria"/>
      <w:b/>
    </w:rPr>
  </w:style>
  <w:style w:type="paragraph" w:styleId="20">
    <w:name w:val="index 1"/>
    <w:basedOn w:val="1"/>
    <w:next w:val="1"/>
    <w:autoRedefine/>
    <w:qFormat/>
    <w:uiPriority w:val="0"/>
  </w:style>
  <w:style w:type="paragraph" w:styleId="21">
    <w:name w:val="Subtitle"/>
    <w:basedOn w:val="1"/>
    <w:next w:val="1"/>
    <w:link w:val="119"/>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22">
    <w:name w:val="List"/>
    <w:basedOn w:val="1"/>
    <w:next w:val="1"/>
    <w:autoRedefine/>
    <w:qFormat/>
    <w:uiPriority w:val="0"/>
    <w:pPr>
      <w:adjustRightInd w:val="0"/>
      <w:snapToGrid w:val="0"/>
      <w:ind w:left="198" w:hanging="198"/>
      <w:contextualSpacing/>
    </w:pPr>
    <w:rPr>
      <w:sz w:val="21"/>
    </w:rPr>
  </w:style>
  <w:style w:type="paragraph" w:styleId="23">
    <w:name w:val="Body Text Indent 3"/>
    <w:basedOn w:val="1"/>
    <w:link w:val="73"/>
    <w:autoRedefine/>
    <w:qFormat/>
    <w:uiPriority w:val="0"/>
    <w:pPr>
      <w:spacing w:line="520" w:lineRule="exact"/>
      <w:ind w:firstLine="640" w:firstLineChars="200"/>
    </w:pPr>
    <w:rPr>
      <w:rFonts w:ascii="宋体" w:hAnsi="宋体" w:eastAsia="楷体_GB2312" w:cs="宋体"/>
      <w:sz w:val="32"/>
      <w:szCs w:val="20"/>
    </w:rPr>
  </w:style>
  <w:style w:type="paragraph" w:styleId="24">
    <w:name w:val="toc 2"/>
    <w:basedOn w:val="1"/>
    <w:next w:val="1"/>
    <w:autoRedefine/>
    <w:unhideWhenUsed/>
    <w:qFormat/>
    <w:uiPriority w:val="39"/>
    <w:pPr>
      <w:spacing w:before="120"/>
      <w:ind w:left="210"/>
      <w:jc w:val="left"/>
    </w:pPr>
    <w:rPr>
      <w:rFonts w:ascii="Calibri" w:hAnsi="Calibri" w:cs="Calibri"/>
      <w:i/>
      <w:iCs/>
      <w:sz w:val="20"/>
    </w:rPr>
  </w:style>
  <w:style w:type="paragraph" w:styleId="25">
    <w:name w:val="toc 9"/>
    <w:basedOn w:val="1"/>
    <w:next w:val="1"/>
    <w:autoRedefine/>
    <w:qFormat/>
    <w:uiPriority w:val="39"/>
    <w:pPr>
      <w:ind w:left="1680"/>
      <w:jc w:val="left"/>
    </w:pPr>
    <w:rPr>
      <w:sz w:val="18"/>
    </w:rPr>
  </w:style>
  <w:style w:type="paragraph" w:styleId="26">
    <w:name w:val="HTML Preformatted"/>
    <w:basedOn w:val="1"/>
    <w:link w:val="118"/>
    <w:qFormat/>
    <w:uiPriority w:val="0"/>
    <w:rPr>
      <w:rFonts w:ascii="Courier New" w:hAnsi="Courier New" w:cs="Courier New"/>
      <w:sz w:val="20"/>
      <w:szCs w:val="20"/>
    </w:rPr>
  </w:style>
  <w:style w:type="paragraph" w:styleId="27">
    <w:name w:val="Normal (Web)"/>
    <w:basedOn w:val="1"/>
    <w:link w:val="99"/>
    <w:autoRedefine/>
    <w:qFormat/>
    <w:uiPriority w:val="99"/>
    <w:pPr>
      <w:widowControl/>
      <w:spacing w:before="100" w:beforeAutospacing="1" w:after="100" w:afterAutospacing="1"/>
      <w:jc w:val="left"/>
    </w:pPr>
    <w:rPr>
      <w:rFonts w:ascii="宋体" w:hAnsi="宋体"/>
      <w:kern w:val="0"/>
    </w:rPr>
  </w:style>
  <w:style w:type="paragraph" w:styleId="28">
    <w:name w:val="annotation subject"/>
    <w:basedOn w:val="10"/>
    <w:next w:val="1"/>
    <w:link w:val="91"/>
    <w:autoRedefine/>
    <w:qFormat/>
    <w:uiPriority w:val="0"/>
    <w:rPr>
      <w:b/>
      <w:bCs/>
    </w:rPr>
  </w:style>
  <w:style w:type="table" w:styleId="30">
    <w:name w:val="Table Grid"/>
    <w:basedOn w:val="29"/>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page number"/>
    <w:autoRedefine/>
    <w:qFormat/>
    <w:uiPriority w:val="0"/>
  </w:style>
  <w:style w:type="character" w:styleId="33">
    <w:name w:val="FollowedHyperlink"/>
    <w:autoRedefine/>
    <w:qFormat/>
    <w:uiPriority w:val="0"/>
    <w:rPr>
      <w:color w:val="333333"/>
      <w:u w:val="none"/>
    </w:rPr>
  </w:style>
  <w:style w:type="character" w:styleId="34">
    <w:name w:val="Hyperlink"/>
    <w:autoRedefine/>
    <w:qFormat/>
    <w:uiPriority w:val="0"/>
    <w:rPr>
      <w:color w:val="20528F"/>
      <w:u w:val="none"/>
    </w:rPr>
  </w:style>
  <w:style w:type="character" w:styleId="35">
    <w:name w:val="annotation reference"/>
    <w:basedOn w:val="31"/>
    <w:autoRedefine/>
    <w:qFormat/>
    <w:uiPriority w:val="0"/>
    <w:rPr>
      <w:sz w:val="21"/>
      <w:szCs w:val="21"/>
    </w:rPr>
  </w:style>
  <w:style w:type="character" w:customStyle="1" w:styleId="36">
    <w:name w:val="标题 2 字符"/>
    <w:link w:val="3"/>
    <w:autoRedefine/>
    <w:qFormat/>
    <w:uiPriority w:val="0"/>
    <w:rPr>
      <w:rFonts w:ascii="黑体" w:hAnsi="黑体" w:eastAsia="黑体"/>
      <w:bCs/>
      <w:kern w:val="2"/>
      <w:sz w:val="28"/>
      <w:szCs w:val="32"/>
    </w:rPr>
  </w:style>
  <w:style w:type="character" w:customStyle="1" w:styleId="37">
    <w:name w:val="题注 字符"/>
    <w:link w:val="8"/>
    <w:autoRedefine/>
    <w:qFormat/>
    <w:uiPriority w:val="0"/>
    <w:rPr>
      <w:rFonts w:ascii="黑体" w:hAnsi="黑体" w:eastAsia="黑体"/>
      <w:color w:val="000000" w:themeColor="text1"/>
      <w:kern w:val="2"/>
      <w:sz w:val="21"/>
      <w:szCs w:val="21"/>
      <w14:textFill>
        <w14:solidFill>
          <w14:schemeClr w14:val="tx1"/>
        </w14:solidFill>
      </w14:textFill>
    </w:rPr>
  </w:style>
  <w:style w:type="paragraph" w:customStyle="1" w:styleId="38">
    <w:name w:val="MEL正文*"/>
    <w:basedOn w:val="1"/>
    <w:link w:val="60"/>
    <w:qFormat/>
    <w:uiPriority w:val="0"/>
    <w:pPr>
      <w:spacing w:line="500" w:lineRule="exact"/>
      <w:ind w:firstLine="200" w:firstLineChars="200"/>
    </w:pPr>
    <w:rPr>
      <w:rFonts w:ascii="宋体" w:hAnsi="宋体"/>
      <w:kern w:val="0"/>
    </w:rPr>
  </w:style>
  <w:style w:type="paragraph" w:customStyle="1" w:styleId="39">
    <w:name w:val="YJ-正文"/>
    <w:basedOn w:val="40"/>
    <w:link w:val="115"/>
    <w:autoRedefine/>
    <w:qFormat/>
    <w:uiPriority w:val="0"/>
    <w:pPr>
      <w:ind w:firstLine="200" w:firstLineChars="200"/>
      <w:jc w:val="both"/>
      <w:outlineLvl w:val="9"/>
    </w:pPr>
    <w:rPr>
      <w:b w:val="0"/>
      <w:sz w:val="24"/>
    </w:rPr>
  </w:style>
  <w:style w:type="paragraph" w:customStyle="1" w:styleId="40">
    <w:name w:val="YJ-表标题1"/>
    <w:basedOn w:val="1"/>
    <w:autoRedefine/>
    <w:qFormat/>
    <w:uiPriority w:val="0"/>
    <w:pPr>
      <w:widowControl/>
      <w:spacing w:line="520" w:lineRule="exact"/>
      <w:jc w:val="left"/>
      <w:outlineLvl w:val="1"/>
    </w:pPr>
    <w:rPr>
      <w:b/>
      <w:kern w:val="0"/>
      <w:sz w:val="30"/>
      <w:szCs w:val="22"/>
    </w:rPr>
  </w:style>
  <w:style w:type="paragraph" w:customStyle="1" w:styleId="41">
    <w:name w:val="YJ正文*"/>
    <w:basedOn w:val="1"/>
    <w:link w:val="59"/>
    <w:autoRedefine/>
    <w:qFormat/>
    <w:uiPriority w:val="0"/>
    <w:rPr>
      <w:rFonts w:ascii="宋体" w:hAnsi="宋体" w:cs="宋体"/>
      <w:color w:val="FF0000"/>
      <w:sz w:val="21"/>
      <w:szCs w:val="21"/>
    </w:rPr>
  </w:style>
  <w:style w:type="paragraph" w:customStyle="1" w:styleId="42">
    <w:name w:val="表字-书"/>
    <w:basedOn w:val="1"/>
    <w:link w:val="58"/>
    <w:qFormat/>
    <w:uiPriority w:val="0"/>
    <w:pPr>
      <w:widowControl/>
      <w:spacing w:line="300" w:lineRule="exact"/>
      <w:contextualSpacing/>
      <w:jc w:val="center"/>
    </w:pPr>
    <w:rPr>
      <w:rFonts w:ascii="宋体" w:hAnsi="宋体" w:cs="Arial"/>
      <w:spacing w:val="-6"/>
      <w:sz w:val="21"/>
      <w:szCs w:val="21"/>
    </w:rPr>
  </w:style>
  <w:style w:type="paragraph" w:customStyle="1" w:styleId="43">
    <w:name w:val="表格"/>
    <w:basedOn w:val="22"/>
    <w:next w:val="1"/>
    <w:autoRedefine/>
    <w:qFormat/>
    <w:uiPriority w:val="0"/>
    <w:pPr>
      <w:spacing w:beforeLines="10" w:afterLines="10" w:line="259" w:lineRule="auto"/>
      <w:jc w:val="center"/>
    </w:pPr>
    <w:rPr>
      <w:rFonts w:ascii="宋体"/>
      <w:kern w:val="0"/>
      <w:sz w:val="20"/>
      <w:szCs w:val="21"/>
    </w:rPr>
  </w:style>
  <w:style w:type="paragraph" w:customStyle="1" w:styleId="44">
    <w:name w:val="表格内容"/>
    <w:basedOn w:val="45"/>
    <w:next w:val="28"/>
    <w:autoRedefine/>
    <w:qFormat/>
    <w:uiPriority w:val="0"/>
    <w:pPr>
      <w:jc w:val="center"/>
    </w:pPr>
    <w:rPr>
      <w:rFonts w:ascii="Calibri" w:hAnsi="Calibri"/>
      <w:szCs w:val="22"/>
    </w:rPr>
  </w:style>
  <w:style w:type="paragraph" w:customStyle="1" w:styleId="45">
    <w:name w:val="WW-正文缩进"/>
    <w:basedOn w:val="1"/>
    <w:autoRedefine/>
    <w:semiHidden/>
    <w:qFormat/>
    <w:uiPriority w:val="0"/>
    <w:pPr>
      <w:ind w:firstLine="420" w:firstLineChars="200"/>
    </w:pPr>
    <w:rPr>
      <w:kern w:val="0"/>
      <w:sz w:val="28"/>
      <w:szCs w:val="20"/>
    </w:rPr>
  </w:style>
  <w:style w:type="paragraph" w:customStyle="1" w:styleId="46">
    <w:name w:val="YJ题注"/>
    <w:basedOn w:val="8"/>
    <w:autoRedefine/>
    <w:qFormat/>
    <w:uiPriority w:val="0"/>
    <w:pPr>
      <w:spacing w:line="520" w:lineRule="exact"/>
    </w:pPr>
    <w:rPr>
      <w:szCs w:val="24"/>
    </w:rPr>
  </w:style>
  <w:style w:type="paragraph" w:customStyle="1" w:styleId="47">
    <w:name w:val="表内文字"/>
    <w:basedOn w:val="48"/>
    <w:link w:val="114"/>
    <w:autoRedefine/>
    <w:qFormat/>
    <w:uiPriority w:val="0"/>
    <w:pPr>
      <w:widowControl/>
      <w:spacing w:line="300" w:lineRule="exact"/>
    </w:pPr>
    <w:rPr>
      <w:rFonts w:ascii="宋体" w:hAnsi="宋体"/>
      <w:szCs w:val="22"/>
    </w:rPr>
  </w:style>
  <w:style w:type="paragraph" w:customStyle="1" w:styleId="48">
    <w:name w:val="表文字"/>
    <w:basedOn w:val="1"/>
    <w:autoRedefine/>
    <w:qFormat/>
    <w:uiPriority w:val="0"/>
    <w:pPr>
      <w:overflowPunct w:val="0"/>
      <w:autoSpaceDE w:val="0"/>
      <w:autoSpaceDN w:val="0"/>
      <w:adjustRightInd w:val="0"/>
      <w:spacing w:line="240" w:lineRule="atLeast"/>
      <w:jc w:val="center"/>
      <w:textAlignment w:val="baseline"/>
    </w:pPr>
    <w:rPr>
      <w:kern w:val="0"/>
    </w:rPr>
  </w:style>
  <w:style w:type="paragraph" w:customStyle="1" w:styleId="49">
    <w:name w:val="标题3 CDD"/>
    <w:basedOn w:val="1"/>
    <w:autoRedefine/>
    <w:qFormat/>
    <w:uiPriority w:val="0"/>
    <w:pPr>
      <w:adjustRightInd w:val="0"/>
      <w:snapToGrid w:val="0"/>
      <w:spacing w:line="500" w:lineRule="exact"/>
      <w:ind w:firstLine="482"/>
    </w:pPr>
    <w:rPr>
      <w:rFonts w:hAnsi="宋体"/>
      <w:b/>
    </w:rPr>
  </w:style>
  <w:style w:type="paragraph" w:customStyle="1" w:styleId="50">
    <w:name w:val="正文 CDD"/>
    <w:basedOn w:val="1"/>
    <w:autoRedefine/>
    <w:qFormat/>
    <w:uiPriority w:val="0"/>
    <w:pPr>
      <w:ind w:firstLine="480"/>
    </w:pPr>
    <w:rPr>
      <w:rFonts w:ascii="等线" w:hAnsi="宋体"/>
    </w:rPr>
  </w:style>
  <w:style w:type="paragraph" w:customStyle="1" w:styleId="51">
    <w:name w:val="MEL表字-书"/>
    <w:basedOn w:val="1"/>
    <w:link w:val="65"/>
    <w:qFormat/>
    <w:uiPriority w:val="0"/>
    <w:pPr>
      <w:spacing w:line="260" w:lineRule="exact"/>
      <w:contextualSpacing/>
      <w:jc w:val="center"/>
    </w:pPr>
    <w:rPr>
      <w:rFonts w:ascii="宋体" w:hAnsi="宋体"/>
      <w:kern w:val="0"/>
      <w:sz w:val="21"/>
      <w:szCs w:val="21"/>
    </w:rPr>
  </w:style>
  <w:style w:type="paragraph" w:customStyle="1" w:styleId="52">
    <w:name w:val="文本"/>
    <w:basedOn w:val="13"/>
    <w:autoRedefine/>
    <w:qFormat/>
    <w:uiPriority w:val="0"/>
    <w:pPr>
      <w:adjustRightInd w:val="0"/>
      <w:snapToGrid w:val="0"/>
      <w:spacing w:line="520" w:lineRule="exact"/>
      <w:ind w:firstLine="200" w:firstLineChars="200"/>
    </w:pPr>
    <w:rPr>
      <w:rFonts w:eastAsia="仿宋_GB2312"/>
    </w:rPr>
  </w:style>
  <w:style w:type="paragraph" w:customStyle="1" w:styleId="53">
    <w:name w:val="表格1"/>
    <w:basedOn w:val="1"/>
    <w:autoRedefine/>
    <w:qFormat/>
    <w:uiPriority w:val="0"/>
    <w:pPr>
      <w:adjustRightInd w:val="0"/>
      <w:snapToGrid w:val="0"/>
      <w:jc w:val="center"/>
    </w:pPr>
    <w:rPr>
      <w:rFonts w:eastAsia="方正仿宋_GBK"/>
      <w:color w:val="000000"/>
      <w:kern w:val="0"/>
    </w:rPr>
  </w:style>
  <w:style w:type="paragraph" w:styleId="54">
    <w:name w:val="List Paragraph"/>
    <w:basedOn w:val="1"/>
    <w:autoRedefine/>
    <w:qFormat/>
    <w:uiPriority w:val="99"/>
    <w:pPr>
      <w:ind w:firstLine="420" w:firstLineChars="200"/>
    </w:pPr>
  </w:style>
  <w:style w:type="paragraph" w:customStyle="1" w:styleId="55">
    <w:name w:val="p0"/>
    <w:basedOn w:val="1"/>
    <w:autoRedefine/>
    <w:qFormat/>
    <w:uiPriority w:val="0"/>
    <w:pPr>
      <w:widowControl/>
    </w:pPr>
    <w:rPr>
      <w:kern w:val="0"/>
      <w:szCs w:val="21"/>
    </w:rPr>
  </w:style>
  <w:style w:type="paragraph" w:customStyle="1" w:styleId="56">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7">
    <w:name w:val="FL正文字体"/>
    <w:basedOn w:val="41"/>
    <w:link w:val="98"/>
    <w:autoRedefine/>
    <w:qFormat/>
    <w:uiPriority w:val="0"/>
    <w:rPr>
      <w:color w:val="000000" w:themeColor="text1"/>
      <w:kern w:val="0"/>
      <w14:textFill>
        <w14:solidFill>
          <w14:schemeClr w14:val="tx1"/>
        </w14:solidFill>
      </w14:textFill>
    </w:rPr>
  </w:style>
  <w:style w:type="character" w:customStyle="1" w:styleId="58">
    <w:name w:val="表字-书 Char"/>
    <w:link w:val="42"/>
    <w:autoRedefine/>
    <w:qFormat/>
    <w:uiPriority w:val="0"/>
    <w:rPr>
      <w:rFonts w:ascii="宋体" w:hAnsi="宋体" w:cs="Arial"/>
      <w:spacing w:val="-6"/>
      <w:kern w:val="2"/>
      <w:sz w:val="21"/>
      <w:szCs w:val="21"/>
    </w:rPr>
  </w:style>
  <w:style w:type="character" w:customStyle="1" w:styleId="59">
    <w:name w:val="YJ正文* 字符"/>
    <w:link w:val="41"/>
    <w:autoRedefine/>
    <w:qFormat/>
    <w:locked/>
    <w:uiPriority w:val="0"/>
    <w:rPr>
      <w:rFonts w:ascii="宋体" w:hAnsi="宋体" w:cs="宋体"/>
      <w:color w:val="FF0000"/>
      <w:kern w:val="2"/>
      <w:sz w:val="21"/>
      <w:szCs w:val="21"/>
    </w:rPr>
  </w:style>
  <w:style w:type="character" w:customStyle="1" w:styleId="60">
    <w:name w:val="MEL正文* 字符"/>
    <w:link w:val="38"/>
    <w:autoRedefine/>
    <w:qFormat/>
    <w:uiPriority w:val="0"/>
    <w:rPr>
      <w:rFonts w:ascii="宋体" w:hAnsi="宋体"/>
      <w:sz w:val="24"/>
      <w:szCs w:val="24"/>
    </w:rPr>
  </w:style>
  <w:style w:type="character" w:customStyle="1" w:styleId="61">
    <w:name w:val="CDD正文 Char"/>
    <w:link w:val="62"/>
    <w:autoRedefine/>
    <w:qFormat/>
    <w:locked/>
    <w:uiPriority w:val="0"/>
    <w:rPr>
      <w:rFonts w:ascii="宋体" w:hAnsi="宋体"/>
      <w:kern w:val="2"/>
      <w:sz w:val="24"/>
      <w:szCs w:val="24"/>
    </w:rPr>
  </w:style>
  <w:style w:type="paragraph" w:customStyle="1" w:styleId="62">
    <w:name w:val="CDD正文"/>
    <w:basedOn w:val="1"/>
    <w:link w:val="61"/>
    <w:autoRedefine/>
    <w:qFormat/>
    <w:uiPriority w:val="0"/>
    <w:pPr>
      <w:suppressLineNumbers/>
      <w:suppressAutoHyphens/>
      <w:snapToGrid w:val="0"/>
      <w:spacing w:line="520" w:lineRule="exact"/>
      <w:ind w:firstLine="200" w:firstLineChars="200"/>
      <w:outlineLvl w:val="3"/>
    </w:pPr>
    <w:rPr>
      <w:rFonts w:ascii="宋体" w:hAnsi="宋体"/>
    </w:rPr>
  </w:style>
  <w:style w:type="character" w:customStyle="1" w:styleId="63">
    <w:name w:val="正文(首行缩进) Char Char"/>
    <w:link w:val="64"/>
    <w:autoRedefine/>
    <w:qFormat/>
    <w:locked/>
    <w:uiPriority w:val="99"/>
    <w:rPr>
      <w:rFonts w:hAnsi="宋体"/>
      <w:spacing w:val="-2"/>
      <w:sz w:val="24"/>
      <w:szCs w:val="24"/>
    </w:rPr>
  </w:style>
  <w:style w:type="paragraph" w:customStyle="1" w:styleId="64">
    <w:name w:val="正文(首行缩进)"/>
    <w:basedOn w:val="1"/>
    <w:link w:val="63"/>
    <w:autoRedefine/>
    <w:qFormat/>
    <w:uiPriority w:val="99"/>
    <w:pPr>
      <w:tabs>
        <w:tab w:val="left" w:pos="4584"/>
      </w:tabs>
      <w:adjustRightInd w:val="0"/>
      <w:snapToGrid w:val="0"/>
      <w:spacing w:line="520" w:lineRule="exact"/>
      <w:ind w:firstLine="531" w:firstLineChars="225"/>
    </w:pPr>
    <w:rPr>
      <w:rFonts w:hAnsi="宋体"/>
      <w:spacing w:val="-2"/>
      <w:kern w:val="0"/>
    </w:rPr>
  </w:style>
  <w:style w:type="character" w:customStyle="1" w:styleId="65">
    <w:name w:val="MEL表字-书 字符"/>
    <w:link w:val="51"/>
    <w:autoRedefine/>
    <w:qFormat/>
    <w:uiPriority w:val="0"/>
    <w:rPr>
      <w:rFonts w:ascii="宋体" w:hAnsi="宋体"/>
      <w:sz w:val="21"/>
      <w:szCs w:val="21"/>
    </w:rPr>
  </w:style>
  <w:style w:type="character" w:customStyle="1" w:styleId="66">
    <w:name w:val="题注 字符3"/>
    <w:autoRedefine/>
    <w:qFormat/>
    <w:uiPriority w:val="0"/>
    <w:rPr>
      <w:rFonts w:ascii="黑体" w:hAnsi="黑体" w:eastAsia="黑体"/>
      <w:sz w:val="21"/>
    </w:rPr>
  </w:style>
  <w:style w:type="character" w:customStyle="1" w:styleId="67">
    <w:name w:val="标题 3 字符"/>
    <w:basedOn w:val="31"/>
    <w:link w:val="4"/>
    <w:autoRedefine/>
    <w:qFormat/>
    <w:uiPriority w:val="9"/>
    <w:rPr>
      <w:b/>
      <w:bCs/>
      <w:kern w:val="2"/>
      <w:sz w:val="32"/>
      <w:szCs w:val="32"/>
    </w:rPr>
  </w:style>
  <w:style w:type="character" w:customStyle="1" w:styleId="68">
    <w:name w:val="文档结构图 字符"/>
    <w:basedOn w:val="31"/>
    <w:link w:val="9"/>
    <w:autoRedefine/>
    <w:qFormat/>
    <w:uiPriority w:val="0"/>
    <w:rPr>
      <w:rFonts w:ascii="宋体" w:hAnsi="宋体" w:cs="宋体"/>
      <w:kern w:val="2"/>
      <w:sz w:val="18"/>
      <w:szCs w:val="18"/>
    </w:rPr>
  </w:style>
  <w:style w:type="character" w:customStyle="1" w:styleId="69">
    <w:name w:val="批注文字 字符"/>
    <w:link w:val="10"/>
    <w:autoRedefine/>
    <w:qFormat/>
    <w:uiPriority w:val="99"/>
    <w:rPr>
      <w:kern w:val="2"/>
      <w:sz w:val="24"/>
      <w:szCs w:val="24"/>
    </w:rPr>
  </w:style>
  <w:style w:type="character" w:customStyle="1" w:styleId="70">
    <w:name w:val="正文文本 字符"/>
    <w:link w:val="11"/>
    <w:autoRedefine/>
    <w:qFormat/>
    <w:uiPriority w:val="0"/>
    <w:rPr>
      <w:rFonts w:ascii="宋体" w:hAnsi="宋体" w:cs="宋体"/>
      <w:b/>
      <w:bCs/>
      <w:color w:val="ED0000"/>
      <w:sz w:val="24"/>
      <w:szCs w:val="24"/>
    </w:rPr>
  </w:style>
  <w:style w:type="character" w:customStyle="1" w:styleId="71">
    <w:name w:val="页脚 字符"/>
    <w:link w:val="17"/>
    <w:autoRedefine/>
    <w:qFormat/>
    <w:uiPriority w:val="99"/>
    <w:rPr>
      <w:kern w:val="2"/>
      <w:sz w:val="18"/>
      <w:szCs w:val="18"/>
    </w:rPr>
  </w:style>
  <w:style w:type="character" w:customStyle="1" w:styleId="72">
    <w:name w:val="页眉 字符"/>
    <w:link w:val="18"/>
    <w:autoRedefine/>
    <w:qFormat/>
    <w:uiPriority w:val="0"/>
    <w:rPr>
      <w:sz w:val="18"/>
      <w:szCs w:val="18"/>
    </w:rPr>
  </w:style>
  <w:style w:type="character" w:customStyle="1" w:styleId="73">
    <w:name w:val="正文文本缩进 3 字符"/>
    <w:basedOn w:val="31"/>
    <w:link w:val="23"/>
    <w:qFormat/>
    <w:uiPriority w:val="0"/>
    <w:rPr>
      <w:rFonts w:ascii="宋体" w:hAnsi="宋体" w:eastAsia="楷体_GB2312" w:cs="宋体"/>
      <w:kern w:val="2"/>
      <w:sz w:val="32"/>
    </w:rPr>
  </w:style>
  <w:style w:type="character" w:customStyle="1" w:styleId="74">
    <w:name w:val="fbrq"/>
    <w:qFormat/>
    <w:uiPriority w:val="0"/>
  </w:style>
  <w:style w:type="character" w:customStyle="1" w:styleId="75">
    <w:name w:val="active"/>
    <w:qFormat/>
    <w:uiPriority w:val="0"/>
    <w:rPr>
      <w:color w:val="000000"/>
      <w:shd w:val="clear" w:color="auto" w:fill="F7F7F7"/>
    </w:rPr>
  </w:style>
  <w:style w:type="character" w:customStyle="1" w:styleId="76">
    <w:name w:val="active1"/>
    <w:autoRedefine/>
    <w:qFormat/>
    <w:uiPriority w:val="0"/>
    <w:rPr>
      <w:shd w:val="clear" w:color="auto" w:fill="FFFFFF"/>
    </w:rPr>
  </w:style>
  <w:style w:type="character" w:customStyle="1" w:styleId="77">
    <w:name w:val="first-child1"/>
    <w:autoRedefine/>
    <w:qFormat/>
    <w:uiPriority w:val="0"/>
  </w:style>
  <w:style w:type="character" w:customStyle="1" w:styleId="78">
    <w:name w:val="first-child2"/>
    <w:autoRedefine/>
    <w:qFormat/>
    <w:uiPriority w:val="0"/>
  </w:style>
  <w:style w:type="character" w:customStyle="1" w:styleId="79">
    <w:name w:val="first-child"/>
    <w:autoRedefine/>
    <w:qFormat/>
    <w:uiPriority w:val="0"/>
    <w:rPr>
      <w:color w:val="DF1C00"/>
    </w:rPr>
  </w:style>
  <w:style w:type="paragraph" w:customStyle="1" w:styleId="80">
    <w:name w:val="Table Paragraph"/>
    <w:basedOn w:val="1"/>
    <w:autoRedefine/>
    <w:qFormat/>
    <w:uiPriority w:val="1"/>
    <w:rPr>
      <w:rFonts w:ascii="楷体" w:hAnsi="楷体" w:eastAsia="楷体" w:cs="楷体"/>
      <w:sz w:val="21"/>
      <w:szCs w:val="22"/>
      <w:lang w:val="zh-CN" w:bidi="zh-CN"/>
    </w:rPr>
  </w:style>
  <w:style w:type="paragraph" w:customStyle="1" w:styleId="81">
    <w:name w:val="Char"/>
    <w:basedOn w:val="1"/>
    <w:autoRedefine/>
    <w:qFormat/>
    <w:uiPriority w:val="0"/>
    <w:rPr>
      <w:sz w:val="21"/>
    </w:rPr>
  </w:style>
  <w:style w:type="paragraph" w:customStyle="1" w:styleId="82">
    <w:name w:val="样式 首行缩进:  2 字符1"/>
    <w:basedOn w:val="1"/>
    <w:autoRedefine/>
    <w:qFormat/>
    <w:uiPriority w:val="0"/>
    <w:pPr>
      <w:spacing w:line="400" w:lineRule="exact"/>
    </w:pPr>
    <w:rPr>
      <w:rFonts w:ascii="宋体"/>
      <w:sz w:val="21"/>
      <w:szCs w:val="20"/>
    </w:rPr>
  </w:style>
  <w:style w:type="character" w:customStyle="1" w:styleId="83">
    <w:name w:val="报告书正文 Char"/>
    <w:link w:val="84"/>
    <w:autoRedefine/>
    <w:qFormat/>
    <w:uiPriority w:val="0"/>
    <w:rPr>
      <w:sz w:val="24"/>
      <w:lang w:val="zh-CN"/>
    </w:rPr>
  </w:style>
  <w:style w:type="paragraph" w:customStyle="1" w:styleId="84">
    <w:name w:val="报告书正文"/>
    <w:basedOn w:val="1"/>
    <w:link w:val="83"/>
    <w:autoRedefine/>
    <w:qFormat/>
    <w:uiPriority w:val="0"/>
    <w:pPr>
      <w:spacing w:line="360" w:lineRule="auto"/>
    </w:pPr>
    <w:rPr>
      <w:kern w:val="0"/>
      <w:szCs w:val="20"/>
      <w:lang w:val="zh-CN"/>
    </w:rPr>
  </w:style>
  <w:style w:type="character" w:customStyle="1" w:styleId="85">
    <w:name w:val="页脚 Char2"/>
    <w:autoRedefine/>
    <w:qFormat/>
    <w:uiPriority w:val="99"/>
    <w:rPr>
      <w:sz w:val="18"/>
      <w:szCs w:val="18"/>
    </w:rPr>
  </w:style>
  <w:style w:type="character" w:customStyle="1" w:styleId="86">
    <w:name w:val="寇 字符"/>
    <w:link w:val="87"/>
    <w:autoRedefine/>
    <w:qFormat/>
    <w:uiPriority w:val="0"/>
    <w:rPr>
      <w:rFonts w:ascii="宋体" w:hAnsi="宋体"/>
      <w:color w:val="FF0000"/>
      <w:kern w:val="2"/>
      <w:sz w:val="24"/>
      <w:szCs w:val="24"/>
    </w:rPr>
  </w:style>
  <w:style w:type="paragraph" w:customStyle="1" w:styleId="87">
    <w:name w:val="寇"/>
    <w:basedOn w:val="41"/>
    <w:link w:val="86"/>
    <w:autoRedefine/>
    <w:qFormat/>
    <w:uiPriority w:val="0"/>
  </w:style>
  <w:style w:type="character" w:customStyle="1" w:styleId="88">
    <w:name w:val="标题 1 字符"/>
    <w:link w:val="2"/>
    <w:autoRedefine/>
    <w:qFormat/>
    <w:uiPriority w:val="0"/>
    <w:rPr>
      <w:rFonts w:ascii="宋体" w:hAnsi="宋体" w:cs="宋体"/>
      <w:b/>
      <w:color w:val="FF0000"/>
      <w:kern w:val="44"/>
      <w:sz w:val="28"/>
      <w:szCs w:val="28"/>
    </w:rPr>
  </w:style>
  <w:style w:type="character" w:customStyle="1" w:styleId="89">
    <w:name w:val="正文文本 (2)_"/>
    <w:basedOn w:val="31"/>
    <w:link w:val="90"/>
    <w:autoRedefine/>
    <w:qFormat/>
    <w:uiPriority w:val="0"/>
    <w:rPr>
      <w:rFonts w:ascii="仿宋" w:eastAsia="仿宋"/>
      <w:sz w:val="13"/>
      <w:szCs w:val="13"/>
      <w:shd w:val="clear" w:color="auto" w:fill="FFFFFF"/>
    </w:rPr>
  </w:style>
  <w:style w:type="paragraph" w:customStyle="1" w:styleId="90">
    <w:name w:val="正文文本 (2)1"/>
    <w:basedOn w:val="1"/>
    <w:link w:val="89"/>
    <w:autoRedefine/>
    <w:qFormat/>
    <w:uiPriority w:val="0"/>
    <w:pPr>
      <w:shd w:val="clear" w:color="auto" w:fill="FFFFFF"/>
      <w:spacing w:line="259" w:lineRule="exact"/>
      <w:ind w:firstLine="300"/>
      <w:jc w:val="distribute"/>
    </w:pPr>
    <w:rPr>
      <w:rFonts w:ascii="仿宋" w:eastAsia="仿宋"/>
      <w:kern w:val="0"/>
      <w:sz w:val="13"/>
      <w:szCs w:val="13"/>
    </w:rPr>
  </w:style>
  <w:style w:type="character" w:customStyle="1" w:styleId="91">
    <w:name w:val="批注主题 字符"/>
    <w:basedOn w:val="69"/>
    <w:link w:val="28"/>
    <w:autoRedefine/>
    <w:qFormat/>
    <w:uiPriority w:val="0"/>
    <w:rPr>
      <w:b/>
      <w:bCs/>
      <w:kern w:val="2"/>
      <w:sz w:val="24"/>
      <w:szCs w:val="24"/>
    </w:rPr>
  </w:style>
  <w:style w:type="character" w:customStyle="1" w:styleId="92">
    <w:name w:val="正文 楷体 Char"/>
    <w:link w:val="93"/>
    <w:autoRedefine/>
    <w:qFormat/>
    <w:uiPriority w:val="0"/>
    <w:rPr>
      <w:rFonts w:ascii="楷体_GB2312" w:hAnsi="楷体_GB2312" w:eastAsia="楷体_GB2312"/>
      <w:sz w:val="24"/>
      <w:szCs w:val="24"/>
    </w:rPr>
  </w:style>
  <w:style w:type="paragraph" w:customStyle="1" w:styleId="93">
    <w:name w:val="正文 楷体"/>
    <w:basedOn w:val="1"/>
    <w:link w:val="92"/>
    <w:autoRedefine/>
    <w:qFormat/>
    <w:uiPriority w:val="0"/>
    <w:pPr>
      <w:spacing w:line="500" w:lineRule="exact"/>
      <w:ind w:firstLine="200" w:firstLineChars="200"/>
    </w:pPr>
    <w:rPr>
      <w:rFonts w:ascii="楷体_GB2312" w:hAnsi="楷体_GB2312" w:eastAsia="楷体_GB2312"/>
      <w:kern w:val="0"/>
    </w:rPr>
  </w:style>
  <w:style w:type="character" w:customStyle="1" w:styleId="94">
    <w:name w:val="正文文本缩进 2 字符"/>
    <w:basedOn w:val="31"/>
    <w:link w:val="16"/>
    <w:autoRedefine/>
    <w:qFormat/>
    <w:uiPriority w:val="0"/>
    <w:rPr>
      <w:kern w:val="2"/>
      <w:sz w:val="24"/>
      <w:szCs w:val="24"/>
    </w:rPr>
  </w:style>
  <w:style w:type="paragraph" w:customStyle="1" w:styleId="95">
    <w:name w:val="文字"/>
    <w:basedOn w:val="41"/>
    <w:link w:val="96"/>
    <w:autoRedefine/>
    <w:qFormat/>
    <w:uiPriority w:val="0"/>
    <w:pPr>
      <w:spacing w:line="520" w:lineRule="exact"/>
    </w:pPr>
    <w:rPr>
      <w:lang w:val="zh-CN"/>
    </w:rPr>
  </w:style>
  <w:style w:type="character" w:customStyle="1" w:styleId="96">
    <w:name w:val="文字 字符"/>
    <w:link w:val="95"/>
    <w:autoRedefine/>
    <w:qFormat/>
    <w:uiPriority w:val="0"/>
    <w:rPr>
      <w:rFonts w:ascii="宋体" w:hAnsi="宋体"/>
      <w:kern w:val="2"/>
      <w:sz w:val="24"/>
      <w:szCs w:val="24"/>
      <w:lang w:val="zh-CN" w:eastAsia="zh-CN"/>
    </w:rPr>
  </w:style>
  <w:style w:type="table" w:customStyle="1" w:styleId="97">
    <w:name w:val="报告书表格样式1"/>
    <w:basedOn w:val="29"/>
    <w:autoRedefine/>
    <w:qFormat/>
    <w:uiPriority w:val="0"/>
    <w:pPr>
      <w:spacing w:line="300" w:lineRule="exact"/>
      <w:contextualSpacing/>
      <w:jc w:val="center"/>
    </w:pPr>
    <w:rPr>
      <w:rFonts w:ascii="宋体" w:hAnsi="宋体" w:cs="宋体"/>
      <w:szCs w:val="21"/>
    </w:rPr>
    <w:tblPr>
      <w:jc w:val="center"/>
      <w:tblBorders>
        <w:top w:val="single" w:color="auto" w:sz="12" w:space="0"/>
        <w:bottom w:val="single" w:color="auto" w:sz="12" w:space="0"/>
        <w:insideH w:val="single" w:color="auto" w:sz="4" w:space="0"/>
        <w:insideV w:val="single" w:color="auto" w:sz="4" w:space="0"/>
      </w:tblBorders>
      <w:tblCellMar>
        <w:left w:w="28" w:type="dxa"/>
        <w:right w:w="28" w:type="dxa"/>
      </w:tblCellMar>
    </w:tblPr>
    <w:trPr>
      <w:jc w:val="center"/>
    </w:trPr>
    <w:tcPr>
      <w:vAlign w:val="center"/>
    </w:tcPr>
  </w:style>
  <w:style w:type="character" w:customStyle="1" w:styleId="98">
    <w:name w:val="FL正文字体 字符"/>
    <w:link w:val="57"/>
    <w:autoRedefine/>
    <w:qFormat/>
    <w:uiPriority w:val="0"/>
    <w:rPr>
      <w:rFonts w:ascii="宋体" w:hAnsi="宋体" w:cs="宋体"/>
      <w:color w:val="000000" w:themeColor="text1"/>
      <w:sz w:val="21"/>
      <w:szCs w:val="21"/>
      <w14:textFill>
        <w14:solidFill>
          <w14:schemeClr w14:val="tx1"/>
        </w14:solidFill>
      </w14:textFill>
    </w:rPr>
  </w:style>
  <w:style w:type="character" w:customStyle="1" w:styleId="99">
    <w:name w:val="普通(网站) 字符"/>
    <w:link w:val="27"/>
    <w:autoRedefine/>
    <w:qFormat/>
    <w:locked/>
    <w:uiPriority w:val="99"/>
    <w:rPr>
      <w:rFonts w:ascii="宋体" w:hAnsi="宋体"/>
      <w:sz w:val="24"/>
      <w:szCs w:val="24"/>
    </w:rPr>
  </w:style>
  <w:style w:type="paragraph" w:customStyle="1" w:styleId="100">
    <w:name w:val="正文邵"/>
    <w:basedOn w:val="1"/>
    <w:autoRedefine/>
    <w:qFormat/>
    <w:uiPriority w:val="0"/>
    <w:pPr>
      <w:spacing w:line="360" w:lineRule="auto"/>
      <w:ind w:firstLine="200" w:firstLineChars="200"/>
    </w:pPr>
    <w:rPr>
      <w:szCs w:val="21"/>
    </w:rPr>
  </w:style>
  <w:style w:type="table" w:customStyle="1" w:styleId="101">
    <w:name w:val="样式1"/>
    <w:basedOn w:val="29"/>
    <w:autoRedefine/>
    <w:qFormat/>
    <w:uiPriority w:val="0"/>
    <w:tblPr>
      <w:tblBorders>
        <w:top w:val="single" w:color="auto" w:sz="12" w:space="0"/>
        <w:bottom w:val="single" w:color="auto" w:sz="12" w:space="0"/>
        <w:insideH w:val="single" w:color="auto" w:sz="6" w:space="0"/>
        <w:insideV w:val="single" w:color="auto" w:sz="6" w:space="0"/>
      </w:tblBorders>
    </w:tblPr>
  </w:style>
  <w:style w:type="paragraph" w:customStyle="1" w:styleId="102">
    <w:name w:val="报告书-表体（左对齐）小五"/>
    <w:basedOn w:val="103"/>
    <w:next w:val="44"/>
    <w:autoRedefine/>
    <w:qFormat/>
    <w:uiPriority w:val="0"/>
    <w:pPr>
      <w:tabs>
        <w:tab w:val="left" w:pos="2760"/>
      </w:tabs>
    </w:pPr>
    <w:rPr>
      <w:sz w:val="18"/>
      <w:szCs w:val="18"/>
    </w:rPr>
  </w:style>
  <w:style w:type="paragraph" w:customStyle="1" w:styleId="103">
    <w:name w:val="报告书-表体（左对齐）"/>
    <w:basedOn w:val="104"/>
    <w:autoRedefine/>
    <w:qFormat/>
    <w:uiPriority w:val="0"/>
    <w:pPr>
      <w:tabs>
        <w:tab w:val="left" w:pos="2760"/>
      </w:tabs>
      <w:textAlignment w:val="baseline"/>
    </w:pPr>
    <w:rPr>
      <w:szCs w:val="21"/>
    </w:rPr>
  </w:style>
  <w:style w:type="paragraph" w:customStyle="1" w:styleId="104">
    <w:name w:val="报告书-表体（居中）"/>
    <w:basedOn w:val="1"/>
    <w:autoRedefine/>
    <w:qFormat/>
    <w:uiPriority w:val="0"/>
    <w:pPr>
      <w:tabs>
        <w:tab w:val="left" w:pos="2760"/>
      </w:tabs>
      <w:adjustRightInd w:val="0"/>
      <w:snapToGrid w:val="0"/>
      <w:spacing w:line="260" w:lineRule="exact"/>
      <w:jc w:val="center"/>
      <w:textAlignment w:val="center"/>
    </w:pPr>
    <w:rPr>
      <w:snapToGrid w:val="0"/>
      <w:kern w:val="0"/>
      <w:szCs w:val="28"/>
    </w:rPr>
  </w:style>
  <w:style w:type="character" w:customStyle="1" w:styleId="105">
    <w:name w:val="YJ题注 Char"/>
    <w:basedOn w:val="31"/>
    <w:autoRedefine/>
    <w:qFormat/>
    <w:uiPriority w:val="0"/>
    <w:rPr>
      <w:rFonts w:hint="eastAsia" w:ascii="宋体" w:hAnsi="宋体" w:eastAsia="黑体" w:cs="宋体"/>
      <w:kern w:val="2"/>
      <w:sz w:val="24"/>
      <w:szCs w:val="24"/>
    </w:rPr>
  </w:style>
  <w:style w:type="character" w:customStyle="1" w:styleId="106">
    <w:name w:val="YJ表中字体 Char"/>
    <w:link w:val="107"/>
    <w:qFormat/>
    <w:uiPriority w:val="0"/>
    <w:rPr>
      <w:rFonts w:ascii="宋体" w:hAnsi="宋体"/>
      <w:kern w:val="2"/>
      <w:sz w:val="21"/>
      <w:szCs w:val="22"/>
    </w:rPr>
  </w:style>
  <w:style w:type="paragraph" w:customStyle="1" w:styleId="107">
    <w:name w:val="YJ表中字体"/>
    <w:basedOn w:val="5"/>
    <w:link w:val="106"/>
    <w:qFormat/>
    <w:uiPriority w:val="0"/>
    <w:pPr>
      <w:tabs>
        <w:tab w:val="left" w:pos="8176"/>
      </w:tabs>
      <w:adjustRightInd w:val="0"/>
      <w:snapToGrid w:val="0"/>
      <w:spacing w:line="300" w:lineRule="exact"/>
      <w:ind w:firstLine="0" w:firstLineChars="0"/>
      <w:jc w:val="center"/>
    </w:pPr>
    <w:rPr>
      <w:rFonts w:ascii="宋体" w:hAnsi="宋体"/>
      <w:sz w:val="21"/>
      <w:szCs w:val="22"/>
    </w:rPr>
  </w:style>
  <w:style w:type="paragraph" w:customStyle="1" w:styleId="108">
    <w:name w:val="XA表字"/>
    <w:basedOn w:val="1"/>
    <w:qFormat/>
    <w:uiPriority w:val="0"/>
    <w:pPr>
      <w:spacing w:line="300" w:lineRule="exact"/>
      <w:jc w:val="center"/>
    </w:pPr>
    <w:rPr>
      <w:rFonts w:eastAsia="楷体"/>
      <w:snapToGrid w:val="0"/>
      <w:kern w:val="0"/>
      <w:sz w:val="21"/>
    </w:rPr>
  </w:style>
  <w:style w:type="character" w:customStyle="1" w:styleId="109">
    <w:name w:val="表中文字 Char"/>
    <w:link w:val="110"/>
    <w:qFormat/>
    <w:locked/>
    <w:uiPriority w:val="0"/>
    <w:rPr>
      <w:szCs w:val="24"/>
    </w:rPr>
  </w:style>
  <w:style w:type="paragraph" w:customStyle="1" w:styleId="110">
    <w:name w:val="表中文字"/>
    <w:basedOn w:val="1"/>
    <w:link w:val="109"/>
    <w:qFormat/>
    <w:uiPriority w:val="0"/>
    <w:pPr>
      <w:jc w:val="center"/>
    </w:pPr>
    <w:rPr>
      <w:kern w:val="0"/>
      <w:sz w:val="20"/>
    </w:rPr>
  </w:style>
  <w:style w:type="character" w:customStyle="1" w:styleId="111">
    <w:name w:val="FL 字符"/>
    <w:link w:val="112"/>
    <w:qFormat/>
    <w:uiPriority w:val="0"/>
    <w:rPr>
      <w:rFonts w:ascii="宋体" w:hAnsi="宋体"/>
      <w:color w:val="FF0000"/>
      <w:kern w:val="2"/>
      <w:sz w:val="24"/>
      <w:szCs w:val="24"/>
    </w:rPr>
  </w:style>
  <w:style w:type="paragraph" w:customStyle="1" w:styleId="112">
    <w:name w:val="FL"/>
    <w:basedOn w:val="41"/>
    <w:link w:val="111"/>
    <w:qFormat/>
    <w:uiPriority w:val="0"/>
    <w:pPr>
      <w:spacing w:line="500" w:lineRule="exact"/>
      <w:ind w:firstLine="480" w:firstLineChars="200"/>
    </w:pPr>
    <w:rPr>
      <w:rFonts w:cs="Times New Roman"/>
      <w:sz w:val="24"/>
      <w:szCs w:val="24"/>
    </w:rPr>
  </w:style>
  <w:style w:type="table" w:customStyle="1" w:styleId="113">
    <w:name w:val="报告书表格样式12"/>
    <w:basedOn w:val="29"/>
    <w:qFormat/>
    <w:uiPriority w:val="0"/>
    <w:pPr>
      <w:jc w:val="center"/>
    </w:pPr>
    <w:tblPr>
      <w:tblBorders>
        <w:top w:val="single" w:color="auto" w:sz="12" w:space="0"/>
        <w:bottom w:val="single" w:color="auto" w:sz="12" w:space="0"/>
        <w:insideH w:val="single" w:color="auto" w:sz="6" w:space="0"/>
        <w:insideV w:val="single" w:color="auto" w:sz="6" w:space="0"/>
      </w:tblBorders>
      <w:tblCellMar>
        <w:left w:w="28" w:type="dxa"/>
        <w:right w:w="28" w:type="dxa"/>
      </w:tblCellMar>
    </w:tblPr>
    <w:tcPr>
      <w:vAlign w:val="center"/>
    </w:tcPr>
  </w:style>
  <w:style w:type="character" w:customStyle="1" w:styleId="114">
    <w:name w:val="表内文字 字符"/>
    <w:link w:val="47"/>
    <w:qFormat/>
    <w:locked/>
    <w:uiPriority w:val="0"/>
    <w:rPr>
      <w:rFonts w:ascii="宋体" w:hAnsi="宋体"/>
      <w:sz w:val="24"/>
      <w:szCs w:val="22"/>
    </w:rPr>
  </w:style>
  <w:style w:type="character" w:customStyle="1" w:styleId="115">
    <w:name w:val="YJ-正文 Char"/>
    <w:link w:val="39"/>
    <w:qFormat/>
    <w:uiPriority w:val="0"/>
    <w:rPr>
      <w:sz w:val="24"/>
      <w:szCs w:val="22"/>
    </w:rPr>
  </w:style>
  <w:style w:type="paragraph" w:customStyle="1" w:styleId="116">
    <w:name w:val="Table Text"/>
    <w:basedOn w:val="1"/>
    <w:semiHidden/>
    <w:qFormat/>
    <w:uiPriority w:val="0"/>
    <w:rPr>
      <w:rFonts w:ascii="宋体" w:hAnsi="宋体" w:cs="宋体"/>
      <w:sz w:val="21"/>
      <w:szCs w:val="21"/>
      <w:lang w:eastAsia="en-US"/>
    </w:rPr>
  </w:style>
  <w:style w:type="paragraph" w:customStyle="1" w:styleId="117">
    <w:name w:val="00.正文格式"/>
    <w:basedOn w:val="5"/>
    <w:qFormat/>
    <w:uiPriority w:val="0"/>
    <w:pPr>
      <w:widowControl/>
      <w:spacing w:line="360" w:lineRule="auto"/>
      <w:ind w:firstLine="200"/>
      <w:jc w:val="left"/>
    </w:pPr>
    <w:rPr>
      <w:rFonts w:hAnsi="宋体"/>
      <w:color w:val="000000"/>
      <w:kern w:val="0"/>
    </w:rPr>
  </w:style>
  <w:style w:type="character" w:customStyle="1" w:styleId="118">
    <w:name w:val="HTML 预设格式 字符"/>
    <w:basedOn w:val="31"/>
    <w:link w:val="26"/>
    <w:qFormat/>
    <w:uiPriority w:val="0"/>
    <w:rPr>
      <w:rFonts w:ascii="Courier New" w:hAnsi="Courier New" w:cs="Courier New"/>
      <w:kern w:val="2"/>
    </w:rPr>
  </w:style>
  <w:style w:type="character" w:customStyle="1" w:styleId="119">
    <w:name w:val="副标题 字符"/>
    <w:basedOn w:val="31"/>
    <w:link w:val="21"/>
    <w:qFormat/>
    <w:uiPriority w:val="11"/>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wmf"/><Relationship Id="rId12" Type="http://schemas.openxmlformats.org/officeDocument/2006/relationships/oleObject" Target="embeddings/oleObject2.bin"/><Relationship Id="rId11" Type="http://schemas.openxmlformats.org/officeDocument/2006/relationships/image" Target="media/image3.w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812C5B-0C3E-4E59-9DD7-A10267793A29}">
  <ds:schemaRefs/>
</ds:datastoreItem>
</file>

<file path=docProps/app.xml><?xml version="1.0" encoding="utf-8"?>
<Properties xmlns="http://schemas.openxmlformats.org/officeDocument/2006/extended-properties" xmlns:vt="http://schemas.openxmlformats.org/officeDocument/2006/docPropsVTypes">
  <Template>Normal.dotm</Template>
  <Pages>75</Pages>
  <Words>8107</Words>
  <Characters>8282</Characters>
  <Lines>418</Lines>
  <Paragraphs>117</Paragraphs>
  <TotalTime>3078</TotalTime>
  <ScaleCrop>false</ScaleCrop>
  <LinksUpToDate>false</LinksUpToDate>
  <CharactersWithSpaces>8382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2024-02-29T09:57:00Z</dcterms:created>
  <dc:creator>WPS_pL</dc:creator>
  <cp:lastModifiedBy>小麦啾</cp:lastModifiedBy>
  <cp:lastPrinted>2026-06-22T03:57:00Z</cp:lastPrinted>
  <dcterms:modified xsi:type="dcterms:W3CDTF">2026-08-06T03:24:42Z</dcterms:modified>
  <cp:revision>214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07371CD356894DDEB890CE1D0084F002</vt:lpwstr>
  </property>
  <property fmtid="{D5CDD505-2E9C-101B-9397-08002B2CF9AE}" pid="4" name="KSOTemplateDocerSaveRecord">
    <vt:lpwstr>eyJoZGlkIjoiM2Q5NDlmNDc3N2ZkYzk3ZGJmOTUwNTM0Mzc5MTVlNDMiLCJ1c2VySWQiOiIzMjQ5NjUzODcifQ==</vt:lpwstr>
  </property>
</Properties>
</file>