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D3E7A">
      <w:pPr>
        <w:rPr>
          <w:rFonts w:ascii="仿宋_GB2312" w:hAnsi="仿宋_GB2312" w:eastAsia="仿宋_GB2312" w:cs="仿宋_GB2312"/>
          <w:color w:val="auto"/>
          <w:sz w:val="36"/>
          <w:szCs w:val="36"/>
        </w:rPr>
      </w:pPr>
      <w:bookmarkStart w:id="0" w:name="_Hlk57883707"/>
      <w:bookmarkStart w:id="67" w:name="_GoBack"/>
      <w:bookmarkEnd w:id="67"/>
    </w:p>
    <w:p w14:paraId="6C0494CF">
      <w:pPr>
        <w:rPr>
          <w:rFonts w:ascii="仿宋_GB2312" w:hAnsi="仿宋_GB2312" w:eastAsia="仿宋_GB2312" w:cs="仿宋_GB2312"/>
          <w:color w:val="auto"/>
          <w:sz w:val="36"/>
          <w:szCs w:val="36"/>
        </w:rPr>
      </w:pPr>
    </w:p>
    <w:p w14:paraId="6A87CD31">
      <w:pPr>
        <w:rPr>
          <w:rFonts w:ascii="仿宋_GB2312" w:hAnsi="仿宋_GB2312" w:eastAsia="仿宋_GB2312" w:cs="仿宋_GB2312"/>
          <w:color w:val="auto"/>
          <w:sz w:val="36"/>
          <w:szCs w:val="36"/>
        </w:rPr>
      </w:pPr>
    </w:p>
    <w:bookmarkEnd w:id="0"/>
    <w:p w14:paraId="11BCC515">
      <w:pPr>
        <w:keepNext w:val="0"/>
        <w:keepLines w:val="0"/>
        <w:pageBreakBefore w:val="0"/>
        <w:kinsoku/>
        <w:wordWrap/>
        <w:overflowPunct/>
        <w:topLinePunct w:val="0"/>
        <w:autoSpaceDE/>
        <w:autoSpaceDN/>
        <w:bidi w:val="0"/>
        <w:adjustRightInd w:val="0"/>
        <w:snapToGrid w:val="0"/>
        <w:jc w:val="center"/>
        <w:textAlignment w:val="auto"/>
        <w:outlineLvl w:val="9"/>
        <w:rPr>
          <w:rFonts w:hint="eastAsia" w:ascii="方正小标宋_GBK" w:eastAsia="方正小标宋_GBK"/>
          <w:bCs/>
          <w:color w:val="auto"/>
          <w:sz w:val="72"/>
          <w:szCs w:val="72"/>
        </w:rPr>
      </w:pPr>
      <w:r>
        <w:rPr>
          <w:rFonts w:hint="eastAsia" w:ascii="方正小标宋_GBK" w:eastAsia="方正小标宋_GBK"/>
          <w:bCs/>
          <w:color w:val="auto"/>
          <w:sz w:val="72"/>
          <w:szCs w:val="72"/>
        </w:rPr>
        <w:t>建设项目环境影响报告表</w:t>
      </w:r>
    </w:p>
    <w:p w14:paraId="05554652">
      <w:pPr>
        <w:keepNext w:val="0"/>
        <w:keepLines w:val="0"/>
        <w:pageBreakBefore w:val="0"/>
        <w:kinsoku/>
        <w:wordWrap/>
        <w:overflowPunct/>
        <w:topLinePunct w:val="0"/>
        <w:autoSpaceDE/>
        <w:autoSpaceDN/>
        <w:bidi w:val="0"/>
        <w:adjustRightInd w:val="0"/>
        <w:snapToGrid w:val="0"/>
        <w:spacing w:before="192" w:beforeLines="80"/>
        <w:jc w:val="center"/>
        <w:textAlignment w:val="auto"/>
        <w:outlineLvl w:val="9"/>
        <w:rPr>
          <w:rFonts w:hint="eastAsia" w:ascii="楷体_GB2312" w:eastAsia="楷体_GB2312"/>
          <w:bCs/>
          <w:color w:val="auto"/>
          <w:sz w:val="48"/>
          <w:szCs w:val="48"/>
        </w:rPr>
      </w:pPr>
      <w:r>
        <w:rPr>
          <w:rFonts w:hint="eastAsia" w:ascii="楷体_GB2312" w:eastAsia="楷体_GB2312"/>
          <w:bCs/>
          <w:color w:val="auto"/>
          <w:sz w:val="48"/>
          <w:szCs w:val="48"/>
        </w:rPr>
        <w:t>（生态影响类）</w:t>
      </w:r>
    </w:p>
    <w:p w14:paraId="45E3B68C">
      <w:pPr>
        <w:keepNext w:val="0"/>
        <w:keepLines w:val="0"/>
        <w:pageBreakBefore w:val="0"/>
        <w:kinsoku/>
        <w:wordWrap/>
        <w:overflowPunct/>
        <w:topLinePunct w:val="0"/>
        <w:autoSpaceDE/>
        <w:autoSpaceDN/>
        <w:bidi w:val="0"/>
        <w:adjustRightInd w:val="0"/>
        <w:snapToGrid w:val="0"/>
        <w:spacing w:line="288" w:lineRule="auto"/>
        <w:jc w:val="center"/>
        <w:textAlignment w:val="auto"/>
        <w:outlineLvl w:val="9"/>
        <w:rPr>
          <w:rFonts w:ascii="华文仿宋" w:hAnsi="华文仿宋" w:eastAsia="华文仿宋" w:cs="华文仿宋"/>
          <w:color w:val="auto"/>
          <w:kern w:val="44"/>
          <w:sz w:val="44"/>
          <w:szCs w:val="44"/>
        </w:rPr>
      </w:pPr>
      <w:bookmarkStart w:id="1" w:name="_Hlk57883728"/>
    </w:p>
    <w:p w14:paraId="7925E00F">
      <w:pPr>
        <w:keepNext w:val="0"/>
        <w:keepLines w:val="0"/>
        <w:pageBreakBefore w:val="0"/>
        <w:kinsoku/>
        <w:wordWrap/>
        <w:overflowPunct/>
        <w:topLinePunct w:val="0"/>
        <w:autoSpaceDE/>
        <w:autoSpaceDN/>
        <w:bidi w:val="0"/>
        <w:jc w:val="center"/>
        <w:textAlignment w:val="auto"/>
        <w:outlineLvl w:val="9"/>
        <w:rPr>
          <w:rFonts w:eastAsia="仿宋"/>
          <w:color w:val="auto"/>
          <w:sz w:val="52"/>
          <w:szCs w:val="52"/>
        </w:rPr>
      </w:pPr>
    </w:p>
    <w:p w14:paraId="22A78C3C">
      <w:pPr>
        <w:keepNext w:val="0"/>
        <w:keepLines w:val="0"/>
        <w:pageBreakBefore w:val="0"/>
        <w:kinsoku/>
        <w:wordWrap/>
        <w:overflowPunct/>
        <w:topLinePunct w:val="0"/>
        <w:autoSpaceDE/>
        <w:autoSpaceDN/>
        <w:bidi w:val="0"/>
        <w:ind w:firstLine="1040"/>
        <w:textAlignment w:val="auto"/>
        <w:outlineLvl w:val="9"/>
        <w:rPr>
          <w:rFonts w:eastAsia="仿宋"/>
          <w:color w:val="auto"/>
          <w:sz w:val="44"/>
          <w:szCs w:val="44"/>
        </w:rPr>
      </w:pPr>
    </w:p>
    <w:p w14:paraId="5DDC1A77">
      <w:pPr>
        <w:keepNext w:val="0"/>
        <w:keepLines w:val="0"/>
        <w:pageBreakBefore w:val="0"/>
        <w:kinsoku/>
        <w:wordWrap/>
        <w:overflowPunct/>
        <w:topLinePunct w:val="0"/>
        <w:autoSpaceDE/>
        <w:autoSpaceDN/>
        <w:bidi w:val="0"/>
        <w:ind w:firstLine="1040"/>
        <w:textAlignment w:val="auto"/>
        <w:outlineLvl w:val="9"/>
        <w:rPr>
          <w:rFonts w:eastAsia="仿宋"/>
          <w:color w:val="auto"/>
          <w:sz w:val="44"/>
          <w:szCs w:val="44"/>
        </w:rPr>
      </w:pPr>
    </w:p>
    <w:p w14:paraId="7EA7AF37">
      <w:pPr>
        <w:keepNext w:val="0"/>
        <w:keepLines w:val="0"/>
        <w:pageBreakBefore w:val="0"/>
        <w:kinsoku/>
        <w:wordWrap/>
        <w:overflowPunct/>
        <w:topLinePunct w:val="0"/>
        <w:autoSpaceDE/>
        <w:autoSpaceDN/>
        <w:bidi w:val="0"/>
        <w:ind w:firstLine="1040"/>
        <w:textAlignment w:val="auto"/>
        <w:outlineLvl w:val="9"/>
        <w:rPr>
          <w:rFonts w:eastAsia="仿宋"/>
          <w:color w:val="auto"/>
          <w:sz w:val="44"/>
          <w:szCs w:val="44"/>
        </w:rPr>
      </w:pPr>
    </w:p>
    <w:p w14:paraId="6FE13AC9">
      <w:pPr>
        <w:keepNext w:val="0"/>
        <w:keepLines w:val="0"/>
        <w:pageBreakBefore w:val="0"/>
        <w:kinsoku/>
        <w:wordWrap/>
        <w:overflowPunct/>
        <w:topLinePunct w:val="0"/>
        <w:autoSpaceDE/>
        <w:autoSpaceDN/>
        <w:bidi w:val="0"/>
        <w:ind w:firstLine="1040"/>
        <w:textAlignment w:val="auto"/>
        <w:outlineLvl w:val="9"/>
        <w:rPr>
          <w:rFonts w:eastAsia="仿宋"/>
          <w:color w:val="auto"/>
          <w:sz w:val="44"/>
          <w:szCs w:val="44"/>
        </w:rPr>
      </w:pPr>
    </w:p>
    <w:bookmarkEnd w:id="1"/>
    <w:p w14:paraId="5B2083C8">
      <w:pPr>
        <w:keepNext w:val="0"/>
        <w:keepLines w:val="0"/>
        <w:pageBreakBefore w:val="0"/>
        <w:kinsoku/>
        <w:wordWrap/>
        <w:overflowPunct/>
        <w:topLinePunct w:val="0"/>
        <w:autoSpaceDE/>
        <w:autoSpaceDN/>
        <w:bidi w:val="0"/>
        <w:adjustRightInd w:val="0"/>
        <w:snapToGrid w:val="0"/>
        <w:spacing w:line="360" w:lineRule="auto"/>
        <w:ind w:left="2518" w:leftChars="342" w:hanging="1800" w:hangingChars="500"/>
        <w:textAlignment w:val="auto"/>
        <w:outlineLvl w:val="9"/>
        <w:rPr>
          <w:rFonts w:hint="eastAsia" w:ascii="仿宋_GB2312" w:eastAsia="仿宋_GB2312"/>
          <w:color w:val="auto"/>
          <w:sz w:val="36"/>
          <w:szCs w:val="36"/>
          <w:u w:val="single"/>
          <w:lang w:val="en-US" w:eastAsia="zh-CN"/>
        </w:rPr>
      </w:pPr>
      <w:r>
        <w:rPr>
          <w:rFonts w:hint="eastAsia" w:ascii="仿宋_GB2312" w:eastAsia="仿宋_GB2312"/>
          <w:color w:val="auto"/>
          <w:sz w:val="36"/>
          <w:szCs w:val="36"/>
        </w:rPr>
        <w:t>项目名称：</w:t>
      </w:r>
      <w:r>
        <w:rPr>
          <w:rFonts w:hint="eastAsia" w:ascii="仿宋_GB2312" w:eastAsia="仿宋_GB2312" w:cs="Times New Roman"/>
          <w:color w:val="auto"/>
          <w:sz w:val="36"/>
          <w:szCs w:val="36"/>
          <w:u w:val="single"/>
          <w:lang w:val="en-US" w:eastAsia="zh-CN"/>
        </w:rPr>
        <w:t xml:space="preserve"> 阜康西沙沟煤田火区灭火工程</w:t>
      </w:r>
      <w:r>
        <w:rPr>
          <w:rFonts w:hint="eastAsia" w:ascii="仿宋_GB2312" w:hAnsi="Times New Roman" w:eastAsia="仿宋_GB2312" w:cs="Times New Roman"/>
          <w:color w:val="auto"/>
          <w:sz w:val="36"/>
          <w:szCs w:val="36"/>
          <w:u w:val="single"/>
          <w:lang w:eastAsia="zh-CN"/>
        </w:rPr>
        <w:t xml:space="preserve"> </w:t>
      </w:r>
      <w:r>
        <w:rPr>
          <w:rFonts w:hint="eastAsia" w:ascii="仿宋_GB2312" w:eastAsia="仿宋_GB2312" w:cs="Times New Roman"/>
          <w:color w:val="auto"/>
          <w:sz w:val="36"/>
          <w:szCs w:val="36"/>
          <w:u w:val="single"/>
          <w:lang w:val="en-US" w:eastAsia="zh-CN"/>
        </w:rPr>
        <w:t xml:space="preserve">                  </w:t>
      </w:r>
      <w:r>
        <w:rPr>
          <w:rFonts w:hint="eastAsia" w:ascii="仿宋_GB2312" w:eastAsia="仿宋_GB2312"/>
          <w:color w:val="auto"/>
          <w:sz w:val="36"/>
          <w:szCs w:val="36"/>
          <w:u w:val="single"/>
        </w:rPr>
        <w:t xml:space="preserve">  </w:t>
      </w:r>
    </w:p>
    <w:p w14:paraId="63C87756">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200"/>
        <w:textAlignment w:val="auto"/>
        <w:outlineLvl w:val="9"/>
        <w:rPr>
          <w:rFonts w:hint="default" w:ascii="仿宋_GB2312" w:hAnsi="Times New Roman" w:eastAsia="仿宋_GB2312" w:cs="Times New Roman"/>
          <w:color w:val="auto"/>
          <w:sz w:val="36"/>
          <w:szCs w:val="36"/>
          <w:u w:val="single"/>
          <w:lang w:val="en-US"/>
        </w:rPr>
      </w:pPr>
      <w:r>
        <w:rPr>
          <w:rFonts w:hint="eastAsia" w:ascii="仿宋_GB2312" w:eastAsia="仿宋_GB2312"/>
          <w:color w:val="auto"/>
          <w:sz w:val="36"/>
          <w:szCs w:val="36"/>
        </w:rPr>
        <w:t>建设单位（盖章）：</w:t>
      </w:r>
      <w:r>
        <w:rPr>
          <w:rFonts w:hint="eastAsia" w:ascii="仿宋_GB2312" w:eastAsia="仿宋_GB2312" w:cs="Times New Roman"/>
          <w:color w:val="auto"/>
          <w:sz w:val="36"/>
          <w:szCs w:val="36"/>
          <w:highlight w:val="none"/>
          <w:u w:val="single"/>
          <w:lang w:val="en-US" w:eastAsia="zh-CN"/>
        </w:rPr>
        <w:t xml:space="preserve">  </w:t>
      </w:r>
      <w:r>
        <w:rPr>
          <w:rFonts w:hint="eastAsia" w:ascii="仿宋_GB2312" w:hAnsi="Times New Roman" w:eastAsia="仿宋_GB2312" w:cs="Times New Roman"/>
          <w:color w:val="auto"/>
          <w:sz w:val="36"/>
          <w:szCs w:val="36"/>
          <w:u w:val="single"/>
          <w:lang w:eastAsia="zh-CN"/>
        </w:rPr>
        <w:t>新疆</w:t>
      </w:r>
      <w:r>
        <w:rPr>
          <w:rFonts w:hint="eastAsia" w:ascii="仿宋_GB2312" w:eastAsia="仿宋_GB2312" w:cs="Times New Roman"/>
          <w:color w:val="auto"/>
          <w:sz w:val="36"/>
          <w:szCs w:val="36"/>
          <w:u w:val="single"/>
          <w:lang w:val="en-US" w:eastAsia="zh-CN"/>
        </w:rPr>
        <w:t>富城矿业投资有限公司</w:t>
      </w:r>
      <w:r>
        <w:rPr>
          <w:rFonts w:hint="eastAsia" w:ascii="仿宋_GB2312" w:eastAsia="仿宋_GB2312" w:cs="Times New Roman"/>
          <w:color w:val="auto"/>
          <w:sz w:val="36"/>
          <w:szCs w:val="36"/>
          <w:highlight w:val="none"/>
          <w:u w:val="single"/>
          <w:lang w:val="en-US" w:eastAsia="zh-CN"/>
        </w:rPr>
        <w:t xml:space="preserve">                         </w:t>
      </w:r>
    </w:p>
    <w:p w14:paraId="0A6C3545">
      <w:pPr>
        <w:keepNext w:val="0"/>
        <w:keepLines w:val="0"/>
        <w:pageBreakBefore w:val="0"/>
        <w:kinsoku/>
        <w:wordWrap/>
        <w:overflowPunct/>
        <w:topLinePunct w:val="0"/>
        <w:autoSpaceDE/>
        <w:autoSpaceDN/>
        <w:bidi w:val="0"/>
        <w:adjustRightInd w:val="0"/>
        <w:snapToGrid w:val="0"/>
        <w:spacing w:line="360" w:lineRule="auto"/>
        <w:ind w:firstLine="720" w:firstLineChars="200"/>
        <w:textAlignment w:val="auto"/>
        <w:outlineLvl w:val="9"/>
        <w:rPr>
          <w:rFonts w:hint="default" w:ascii="仿宋_GB2312" w:eastAsia="仿宋_GB2312"/>
          <w:color w:val="auto"/>
          <w:sz w:val="36"/>
          <w:szCs w:val="36"/>
          <w:u w:val="single"/>
          <w:lang w:val="en-US" w:eastAsia="zh-CN"/>
        </w:rPr>
      </w:pPr>
      <w:r>
        <w:rPr>
          <w:rFonts w:hint="eastAsia" w:ascii="仿宋_GB2312" w:eastAsia="仿宋_GB2312"/>
          <w:color w:val="auto"/>
          <w:sz w:val="36"/>
          <w:szCs w:val="36"/>
        </w:rPr>
        <w:t>编制日期：</w:t>
      </w:r>
      <w:r>
        <w:rPr>
          <w:rFonts w:hint="eastAsia" w:ascii="仿宋_GB2312" w:eastAsia="仿宋_GB2312"/>
          <w:color w:val="auto"/>
          <w:sz w:val="36"/>
          <w:szCs w:val="36"/>
          <w:u w:val="single"/>
        </w:rPr>
        <w:t xml:space="preserve"> </w:t>
      </w:r>
      <w:r>
        <w:rPr>
          <w:rFonts w:hint="eastAsia" w:ascii="仿宋_GB2312" w:eastAsia="仿宋_GB2312"/>
          <w:color w:val="auto"/>
          <w:sz w:val="36"/>
          <w:szCs w:val="36"/>
          <w:u w:val="single"/>
          <w:lang w:val="en-US" w:eastAsia="zh-CN"/>
        </w:rPr>
        <w:t xml:space="preserve">     </w:t>
      </w:r>
      <w:r>
        <w:rPr>
          <w:rFonts w:hint="eastAsia" w:ascii="仿宋_GB2312" w:hAnsi="Times New Roman" w:eastAsia="仿宋_GB2312" w:cs="Times New Roman"/>
          <w:color w:val="auto"/>
          <w:sz w:val="36"/>
          <w:szCs w:val="36"/>
          <w:u w:val="single"/>
          <w:lang w:val="en-US" w:eastAsia="zh-CN"/>
        </w:rPr>
        <w:t>202</w:t>
      </w:r>
      <w:r>
        <w:rPr>
          <w:rFonts w:hint="eastAsia" w:ascii="仿宋_GB2312" w:eastAsia="仿宋_GB2312" w:cs="Times New Roman"/>
          <w:color w:val="auto"/>
          <w:sz w:val="36"/>
          <w:szCs w:val="36"/>
          <w:u w:val="single"/>
          <w:lang w:val="en-US" w:eastAsia="zh-CN"/>
        </w:rPr>
        <w:t>6</w:t>
      </w:r>
      <w:r>
        <w:rPr>
          <w:rFonts w:hint="eastAsia" w:ascii="仿宋_GB2312" w:hAnsi="Times New Roman" w:eastAsia="仿宋_GB2312" w:cs="Times New Roman"/>
          <w:color w:val="auto"/>
          <w:sz w:val="36"/>
          <w:szCs w:val="36"/>
          <w:u w:val="single"/>
          <w:lang w:val="en-US" w:eastAsia="zh-CN"/>
        </w:rPr>
        <w:t>年</w:t>
      </w:r>
      <w:r>
        <w:rPr>
          <w:rFonts w:hint="eastAsia" w:ascii="仿宋_GB2312" w:eastAsia="仿宋_GB2312" w:cs="Times New Roman"/>
          <w:color w:val="auto"/>
          <w:sz w:val="36"/>
          <w:szCs w:val="36"/>
          <w:u w:val="single"/>
          <w:lang w:val="en-US" w:eastAsia="zh-CN"/>
        </w:rPr>
        <w:t>7</w:t>
      </w:r>
      <w:r>
        <w:rPr>
          <w:rFonts w:hint="eastAsia" w:ascii="仿宋_GB2312" w:hAnsi="Times New Roman" w:eastAsia="仿宋_GB2312" w:cs="Times New Roman"/>
          <w:color w:val="auto"/>
          <w:sz w:val="36"/>
          <w:szCs w:val="36"/>
          <w:u w:val="single"/>
          <w:lang w:val="en-US" w:eastAsia="zh-CN"/>
        </w:rPr>
        <w:t>月</w:t>
      </w:r>
      <w:r>
        <w:rPr>
          <w:rFonts w:ascii="仿宋_GB2312" w:eastAsia="仿宋_GB2312"/>
          <w:color w:val="auto"/>
          <w:sz w:val="36"/>
          <w:szCs w:val="36"/>
          <w:u w:val="single"/>
        </w:rPr>
        <w:t xml:space="preserve"> </w:t>
      </w:r>
      <w:r>
        <w:rPr>
          <w:rFonts w:hint="eastAsia" w:ascii="仿宋_GB2312" w:eastAsia="仿宋_GB2312"/>
          <w:color w:val="auto"/>
          <w:sz w:val="36"/>
          <w:szCs w:val="36"/>
          <w:u w:val="single"/>
          <w:lang w:val="en-US" w:eastAsia="zh-CN"/>
        </w:rPr>
        <w:t xml:space="preserve"> </w:t>
      </w:r>
      <w:r>
        <w:rPr>
          <w:rFonts w:ascii="仿宋_GB2312" w:eastAsia="仿宋_GB2312"/>
          <w:color w:val="auto"/>
          <w:sz w:val="36"/>
          <w:szCs w:val="36"/>
          <w:u w:val="single"/>
        </w:rPr>
        <w:t xml:space="preserve">   </w:t>
      </w:r>
      <w:r>
        <w:rPr>
          <w:rFonts w:hint="eastAsia" w:ascii="仿宋_GB2312" w:eastAsia="仿宋_GB2312"/>
          <w:color w:val="auto"/>
          <w:sz w:val="36"/>
          <w:szCs w:val="36"/>
          <w:u w:val="single"/>
          <w:lang w:val="en-US" w:eastAsia="zh-CN"/>
        </w:rPr>
        <w:t xml:space="preserve"> </w:t>
      </w:r>
      <w:r>
        <w:rPr>
          <w:rFonts w:ascii="仿宋_GB2312" w:eastAsia="仿宋_GB2312"/>
          <w:color w:val="auto"/>
          <w:sz w:val="36"/>
          <w:szCs w:val="36"/>
          <w:u w:val="single"/>
        </w:rPr>
        <w:t xml:space="preserve">    </w:t>
      </w:r>
      <w:r>
        <w:rPr>
          <w:rFonts w:hint="eastAsia" w:ascii="仿宋_GB2312" w:eastAsia="仿宋_GB2312"/>
          <w:color w:val="auto"/>
          <w:sz w:val="36"/>
          <w:szCs w:val="36"/>
          <w:u w:val="single"/>
          <w:lang w:val="en-US" w:eastAsia="zh-CN"/>
        </w:rPr>
        <w:t xml:space="preserve">         </w:t>
      </w:r>
    </w:p>
    <w:p w14:paraId="35AA2D1B">
      <w:pPr>
        <w:keepNext w:val="0"/>
        <w:keepLines w:val="0"/>
        <w:pageBreakBefore w:val="0"/>
        <w:kinsoku/>
        <w:wordWrap/>
        <w:overflowPunct/>
        <w:topLinePunct w:val="0"/>
        <w:autoSpaceDE/>
        <w:autoSpaceDN/>
        <w:bidi w:val="0"/>
        <w:adjustRightInd w:val="0"/>
        <w:snapToGrid w:val="0"/>
        <w:spacing w:line="288" w:lineRule="auto"/>
        <w:ind w:firstLine="1040"/>
        <w:textAlignment w:val="auto"/>
        <w:outlineLvl w:val="9"/>
        <w:rPr>
          <w:rFonts w:ascii="仿宋_GB2312" w:eastAsia="仿宋_GB2312"/>
          <w:color w:val="auto"/>
          <w:sz w:val="36"/>
          <w:szCs w:val="36"/>
          <w:u w:val="single"/>
        </w:rPr>
      </w:pPr>
    </w:p>
    <w:p w14:paraId="2E13E68A">
      <w:pPr>
        <w:keepNext w:val="0"/>
        <w:keepLines w:val="0"/>
        <w:pageBreakBefore w:val="0"/>
        <w:kinsoku/>
        <w:wordWrap/>
        <w:overflowPunct/>
        <w:topLinePunct w:val="0"/>
        <w:autoSpaceDE/>
        <w:autoSpaceDN/>
        <w:bidi w:val="0"/>
        <w:adjustRightInd w:val="0"/>
        <w:snapToGrid w:val="0"/>
        <w:spacing w:line="288" w:lineRule="auto"/>
        <w:ind w:firstLine="1040"/>
        <w:textAlignment w:val="auto"/>
        <w:outlineLvl w:val="9"/>
        <w:rPr>
          <w:rFonts w:ascii="仿宋_GB2312" w:eastAsia="仿宋_GB2312"/>
          <w:color w:val="auto"/>
          <w:sz w:val="36"/>
          <w:szCs w:val="36"/>
        </w:rPr>
      </w:pPr>
    </w:p>
    <w:p w14:paraId="2AC4E896">
      <w:pPr>
        <w:keepNext w:val="0"/>
        <w:keepLines w:val="0"/>
        <w:pageBreakBefore w:val="0"/>
        <w:kinsoku/>
        <w:wordWrap/>
        <w:overflowPunct/>
        <w:topLinePunct w:val="0"/>
        <w:autoSpaceDE/>
        <w:autoSpaceDN/>
        <w:bidi w:val="0"/>
        <w:adjustRightInd w:val="0"/>
        <w:snapToGrid w:val="0"/>
        <w:spacing w:line="288" w:lineRule="auto"/>
        <w:ind w:firstLine="1040"/>
        <w:textAlignment w:val="auto"/>
        <w:outlineLvl w:val="9"/>
        <w:rPr>
          <w:rFonts w:hint="eastAsia" w:ascii="仿宋_GB2312" w:eastAsia="仿宋_GB2312"/>
          <w:color w:val="auto"/>
          <w:sz w:val="36"/>
          <w:szCs w:val="36"/>
        </w:rPr>
      </w:pPr>
    </w:p>
    <w:p w14:paraId="7796095A">
      <w:pPr>
        <w:pStyle w:val="23"/>
        <w:keepNext w:val="0"/>
        <w:keepLines w:val="0"/>
        <w:pageBreakBefore w:val="0"/>
        <w:kinsoku/>
        <w:wordWrap/>
        <w:overflowPunct/>
        <w:topLinePunct w:val="0"/>
        <w:autoSpaceDE/>
        <w:autoSpaceDN/>
        <w:bidi w:val="0"/>
        <w:jc w:val="center"/>
        <w:textAlignment w:val="auto"/>
        <w:outlineLvl w:val="9"/>
        <w:rPr>
          <w:rFonts w:hint="eastAsia" w:ascii="楷体_GB2312" w:eastAsia="楷体_GB2312"/>
          <w:color w:val="auto"/>
          <w:sz w:val="36"/>
          <w:szCs w:val="36"/>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r>
        <w:rPr>
          <w:rFonts w:hint="eastAsia" w:ascii="楷体_GB2312" w:eastAsia="楷体_GB2312"/>
          <w:color w:val="auto"/>
          <w:sz w:val="36"/>
          <w:szCs w:val="36"/>
        </w:rPr>
        <w:t>中华人民共和国生态环境部制</w:t>
      </w:r>
    </w:p>
    <w:p w14:paraId="3BEB4F41">
      <w:pPr>
        <w:pStyle w:val="23"/>
        <w:keepNext w:val="0"/>
        <w:keepLines w:val="0"/>
        <w:pageBreakBefore w:val="0"/>
        <w:widowControl/>
        <w:kinsoku/>
        <w:wordWrap/>
        <w:overflowPunct/>
        <w:topLinePunct w:val="0"/>
        <w:autoSpaceDE/>
        <w:autoSpaceDN/>
        <w:bidi w:val="0"/>
        <w:adjustRightInd/>
        <w:snapToGrid/>
        <w:jc w:val="center"/>
        <w:textAlignment w:val="auto"/>
        <w:outlineLvl w:val="9"/>
        <w:rPr>
          <w:color w:val="auto"/>
        </w:rPr>
      </w:pPr>
    </w:p>
    <w:p w14:paraId="3C63F2E4">
      <w:pPr>
        <w:pStyle w:val="23"/>
        <w:keepNext w:val="0"/>
        <w:keepLines w:val="0"/>
        <w:pageBreakBefore w:val="0"/>
        <w:widowControl/>
        <w:kinsoku/>
        <w:wordWrap/>
        <w:overflowPunct/>
        <w:topLinePunct w:val="0"/>
        <w:autoSpaceDE/>
        <w:autoSpaceDN/>
        <w:bidi w:val="0"/>
        <w:adjustRightInd/>
        <w:snapToGrid/>
        <w:jc w:val="center"/>
        <w:textAlignment w:val="auto"/>
        <w:outlineLvl w:val="9"/>
        <w:rPr>
          <w:rFonts w:hint="default"/>
          <w:color w:val="auto"/>
          <w:lang w:val="en-US" w:eastAsia="zh-CN"/>
        </w:rPr>
      </w:pPr>
    </w:p>
    <w:p w14:paraId="11AB9845">
      <w:pPr>
        <w:pStyle w:val="23"/>
        <w:jc w:val="center"/>
        <w:outlineLvl w:val="0"/>
        <w:rPr>
          <w:rFonts w:hint="eastAsia" w:ascii="楷体_GB2312" w:eastAsia="楷体_GB2312"/>
          <w:color w:val="auto"/>
          <w:sz w:val="36"/>
          <w:szCs w:val="36"/>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0"/>
      </w:tblGrid>
      <w:tr w14:paraId="33B9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noWrap w:val="0"/>
            <w:vAlign w:val="center"/>
          </w:tcPr>
          <w:p w14:paraId="0F48A0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val="0"/>
                <w:bCs/>
                <w:color w:val="auto"/>
                <w:kern w:val="0"/>
                <w:sz w:val="21"/>
                <w:szCs w:val="21"/>
                <w:vertAlign w:val="baseline"/>
                <w:lang w:val="en-US" w:eastAsia="zh-CN"/>
              </w:rPr>
            </w:pPr>
          </w:p>
        </w:tc>
        <w:tc>
          <w:tcPr>
            <w:tcW w:w="4530" w:type="dxa"/>
            <w:noWrap w:val="0"/>
            <w:vAlign w:val="center"/>
          </w:tcPr>
          <w:p w14:paraId="3A99F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val="0"/>
                <w:bCs/>
                <w:color w:val="auto"/>
                <w:kern w:val="0"/>
                <w:sz w:val="21"/>
                <w:szCs w:val="21"/>
                <w:vertAlign w:val="baseline"/>
                <w:lang w:val="en-US" w:eastAsia="zh-CN"/>
              </w:rPr>
            </w:pPr>
          </w:p>
        </w:tc>
      </w:tr>
      <w:tr w14:paraId="2933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noWrap w:val="0"/>
            <w:vAlign w:val="center"/>
          </w:tcPr>
          <w:p w14:paraId="654A87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仿宋_GB2312" w:cs="Times New Roman"/>
                <w:b w:val="0"/>
                <w:bCs/>
                <w:color w:val="auto"/>
                <w:kern w:val="0"/>
                <w:sz w:val="24"/>
                <w:vertAlign w:val="baseline"/>
                <w:lang w:val="en-US" w:eastAsia="zh-CN"/>
              </w:rPr>
            </w:pPr>
            <w:r>
              <w:rPr>
                <w:rFonts w:hint="default" w:ascii="Times New Roman" w:hAnsi="Times New Roman" w:eastAsia="宋体" w:cs="Times New Roman"/>
                <w:b w:val="0"/>
                <w:bCs/>
                <w:color w:val="auto"/>
                <w:kern w:val="0"/>
                <w:sz w:val="21"/>
                <w:szCs w:val="21"/>
                <w:vertAlign w:val="baseline"/>
                <w:lang w:val="en-US" w:eastAsia="zh-CN"/>
              </w:rPr>
              <w:t>1号子火区项目区</w:t>
            </w:r>
          </w:p>
        </w:tc>
        <w:tc>
          <w:tcPr>
            <w:tcW w:w="4530" w:type="dxa"/>
            <w:noWrap w:val="0"/>
            <w:vAlign w:val="center"/>
          </w:tcPr>
          <w:p w14:paraId="0BAC9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仿宋_GB2312" w:cs="Times New Roman"/>
                <w:b w:val="0"/>
                <w:bCs/>
                <w:color w:val="auto"/>
                <w:kern w:val="0"/>
                <w:sz w:val="24"/>
                <w:vertAlign w:val="baseline"/>
                <w:lang w:val="en-US" w:eastAsia="zh-CN"/>
              </w:rPr>
            </w:pPr>
            <w:r>
              <w:rPr>
                <w:rFonts w:hint="default" w:ascii="Times New Roman" w:hAnsi="Times New Roman" w:eastAsia="宋体" w:cs="Times New Roman"/>
                <w:b w:val="0"/>
                <w:bCs/>
                <w:color w:val="auto"/>
                <w:kern w:val="0"/>
                <w:sz w:val="21"/>
                <w:szCs w:val="21"/>
                <w:vertAlign w:val="baseline"/>
                <w:lang w:val="en-US" w:eastAsia="zh-CN"/>
              </w:rPr>
              <w:t>2地子火区项目区</w:t>
            </w:r>
          </w:p>
        </w:tc>
      </w:tr>
      <w:tr w14:paraId="256B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noWrap w:val="0"/>
            <w:vAlign w:val="center"/>
          </w:tcPr>
          <w:p w14:paraId="72901F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b w:val="0"/>
                <w:bCs/>
                <w:color w:val="auto"/>
                <w:kern w:val="0"/>
                <w:sz w:val="21"/>
                <w:szCs w:val="21"/>
                <w:vertAlign w:val="baseline"/>
                <w:lang w:val="en-US" w:eastAsia="zh-CN"/>
              </w:rPr>
            </w:pPr>
          </w:p>
        </w:tc>
        <w:tc>
          <w:tcPr>
            <w:tcW w:w="4530" w:type="dxa"/>
            <w:noWrap w:val="0"/>
            <w:vAlign w:val="center"/>
          </w:tcPr>
          <w:p w14:paraId="0D6DC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b w:val="0"/>
                <w:bCs/>
                <w:color w:val="auto"/>
                <w:kern w:val="0"/>
                <w:sz w:val="21"/>
                <w:szCs w:val="21"/>
                <w:vertAlign w:val="baseline"/>
                <w:lang w:val="en-US" w:eastAsia="zh-CN"/>
              </w:rPr>
            </w:pPr>
          </w:p>
        </w:tc>
      </w:tr>
      <w:tr w14:paraId="2D02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noWrap w:val="0"/>
            <w:vAlign w:val="center"/>
          </w:tcPr>
          <w:p w14:paraId="5C289F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val="0"/>
                <w:bCs/>
                <w:color w:val="auto"/>
                <w:kern w:val="0"/>
                <w:sz w:val="21"/>
                <w:szCs w:val="21"/>
                <w:vertAlign w:val="baseline"/>
                <w:lang w:val="en-US" w:eastAsia="zh-CN"/>
              </w:rPr>
            </w:pPr>
            <w:r>
              <w:rPr>
                <w:rFonts w:hint="default" w:ascii="Times New Roman" w:hAnsi="Times New Roman" w:eastAsia="宋体" w:cs="Times New Roman"/>
                <w:b w:val="0"/>
                <w:bCs/>
                <w:color w:val="auto"/>
                <w:kern w:val="0"/>
                <w:sz w:val="21"/>
                <w:szCs w:val="21"/>
                <w:vertAlign w:val="baseline"/>
                <w:lang w:val="en-US" w:eastAsia="zh-CN"/>
              </w:rPr>
              <w:t>3号子火区项目区</w:t>
            </w:r>
          </w:p>
        </w:tc>
        <w:tc>
          <w:tcPr>
            <w:tcW w:w="4530" w:type="dxa"/>
            <w:noWrap w:val="0"/>
            <w:vAlign w:val="center"/>
          </w:tcPr>
          <w:p w14:paraId="6A945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val="0"/>
                <w:bCs/>
                <w:color w:val="auto"/>
                <w:kern w:val="0"/>
                <w:sz w:val="21"/>
                <w:szCs w:val="21"/>
                <w:vertAlign w:val="baseline"/>
                <w:lang w:val="en-US" w:eastAsia="zh-CN"/>
              </w:rPr>
            </w:pPr>
            <w:r>
              <w:rPr>
                <w:rFonts w:hint="default" w:ascii="Times New Roman" w:hAnsi="Times New Roman" w:eastAsia="宋体" w:cs="Times New Roman"/>
                <w:b w:val="0"/>
                <w:bCs/>
                <w:color w:val="auto"/>
                <w:kern w:val="0"/>
                <w:sz w:val="21"/>
                <w:szCs w:val="21"/>
                <w:vertAlign w:val="baseline"/>
                <w:lang w:val="en-US" w:eastAsia="zh-CN"/>
              </w:rPr>
              <w:t>取土场</w:t>
            </w:r>
          </w:p>
        </w:tc>
      </w:tr>
      <w:tr w14:paraId="718C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noWrap w:val="0"/>
            <w:vAlign w:val="center"/>
          </w:tcPr>
          <w:p w14:paraId="3D63E9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b w:val="0"/>
                <w:bCs/>
                <w:color w:val="auto"/>
                <w:kern w:val="0"/>
                <w:sz w:val="21"/>
                <w:szCs w:val="21"/>
                <w:vertAlign w:val="baseline"/>
                <w:lang w:val="en-US" w:eastAsia="zh-CN"/>
              </w:rPr>
            </w:pPr>
          </w:p>
        </w:tc>
        <w:tc>
          <w:tcPr>
            <w:tcW w:w="4530" w:type="dxa"/>
            <w:noWrap w:val="0"/>
            <w:vAlign w:val="center"/>
          </w:tcPr>
          <w:p w14:paraId="1F6C17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val="0"/>
                <w:bCs/>
                <w:color w:val="auto"/>
                <w:kern w:val="0"/>
                <w:sz w:val="21"/>
                <w:szCs w:val="21"/>
                <w:vertAlign w:val="baseline"/>
                <w:lang w:val="en-US" w:eastAsia="zh-CN"/>
              </w:rPr>
            </w:pPr>
          </w:p>
        </w:tc>
      </w:tr>
      <w:tr w14:paraId="7383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noWrap w:val="0"/>
            <w:vAlign w:val="center"/>
          </w:tcPr>
          <w:p w14:paraId="6C1B78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b w:val="0"/>
                <w:bCs/>
                <w:color w:val="auto"/>
                <w:kern w:val="0"/>
                <w:sz w:val="21"/>
                <w:szCs w:val="21"/>
                <w:vertAlign w:val="baseline"/>
                <w:lang w:val="en-US" w:eastAsia="zh-CN"/>
              </w:rPr>
            </w:pPr>
            <w:r>
              <w:rPr>
                <w:rFonts w:hint="default" w:ascii="Times New Roman" w:hAnsi="Times New Roman" w:cs="Times New Roman"/>
                <w:b w:val="0"/>
                <w:bCs/>
                <w:color w:val="auto"/>
                <w:kern w:val="0"/>
                <w:sz w:val="21"/>
                <w:szCs w:val="21"/>
                <w:vertAlign w:val="baseline"/>
                <w:lang w:val="en-US" w:eastAsia="zh-CN"/>
              </w:rPr>
              <w:t>项目区植被1</w:t>
            </w:r>
          </w:p>
        </w:tc>
        <w:tc>
          <w:tcPr>
            <w:tcW w:w="4530" w:type="dxa"/>
            <w:noWrap w:val="0"/>
            <w:vAlign w:val="center"/>
          </w:tcPr>
          <w:p w14:paraId="4F9839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val="0"/>
                <w:bCs/>
                <w:color w:val="auto"/>
                <w:kern w:val="0"/>
                <w:sz w:val="21"/>
                <w:szCs w:val="21"/>
                <w:vertAlign w:val="baseline"/>
                <w:lang w:val="en-US" w:eastAsia="zh-CN"/>
              </w:rPr>
            </w:pPr>
            <w:r>
              <w:rPr>
                <w:rFonts w:hint="default" w:ascii="Times New Roman" w:hAnsi="Times New Roman" w:cs="Times New Roman"/>
                <w:b w:val="0"/>
                <w:bCs/>
                <w:color w:val="auto"/>
                <w:kern w:val="0"/>
                <w:sz w:val="21"/>
                <w:szCs w:val="21"/>
                <w:vertAlign w:val="baseline"/>
                <w:lang w:val="en-US" w:eastAsia="zh-CN"/>
              </w:rPr>
              <w:t>项目区植被2</w:t>
            </w:r>
          </w:p>
        </w:tc>
      </w:tr>
    </w:tbl>
    <w:p w14:paraId="48BA9DFF">
      <w:pPr>
        <w:pStyle w:val="23"/>
        <w:jc w:val="center"/>
        <w:outlineLvl w:val="0"/>
        <w:rPr>
          <w:rFonts w:hint="eastAsia" w:ascii="宋体" w:hAnsi="宋体" w:eastAsia="宋体" w:cs="宋体"/>
          <w:b/>
          <w:bCs/>
          <w:color w:val="auto"/>
          <w:sz w:val="24"/>
          <w:szCs w:val="24"/>
          <w:lang w:val="en-US"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r>
        <w:rPr>
          <w:rFonts w:hint="eastAsia" w:ascii="宋体" w:hAnsi="宋体" w:eastAsia="宋体" w:cs="宋体"/>
          <w:b/>
          <w:bCs/>
          <w:color w:val="auto"/>
          <w:sz w:val="24"/>
          <w:szCs w:val="24"/>
          <w:lang w:val="en-US" w:eastAsia="zh-CN"/>
        </w:rPr>
        <w:t>工作区现状照片</w:t>
      </w:r>
    </w:p>
    <w:p w14:paraId="1AECCD4A">
      <w:pPr>
        <w:pStyle w:val="19"/>
        <w:tabs>
          <w:tab w:val="right" w:leader="dot" w:pos="8844"/>
        </w:tabs>
        <w:spacing w:line="360" w:lineRule="auto"/>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目  录</w:t>
      </w:r>
    </w:p>
    <w:p w14:paraId="4EC1F388">
      <w:pPr>
        <w:pStyle w:val="19"/>
        <w:tabs>
          <w:tab w:val="right" w:leader="dot" w:pos="8844"/>
        </w:tabs>
        <w:spacing w:line="360" w:lineRule="auto"/>
        <w:rPr>
          <w:color w:val="auto"/>
          <w:sz w:val="28"/>
          <w:szCs w:val="28"/>
        </w:rPr>
      </w:pPr>
      <w:r>
        <w:rPr>
          <w:rFonts w:hint="eastAsia" w:ascii="楷体_GB2312" w:eastAsia="楷体_GB2312"/>
          <w:color w:val="auto"/>
          <w:sz w:val="28"/>
          <w:szCs w:val="28"/>
          <w:lang w:eastAsia="zh-CN"/>
        </w:rPr>
        <w:fldChar w:fldCharType="begin"/>
      </w:r>
      <w:r>
        <w:rPr>
          <w:rFonts w:hint="eastAsia" w:ascii="楷体_GB2312" w:eastAsia="楷体_GB2312"/>
          <w:color w:val="auto"/>
          <w:sz w:val="28"/>
          <w:szCs w:val="28"/>
          <w:lang w:eastAsia="zh-CN"/>
        </w:rPr>
        <w:instrText xml:space="preserve">TOC \o "1-1" \h \u </w:instrText>
      </w:r>
      <w:r>
        <w:rPr>
          <w:rFonts w:hint="eastAsia" w:ascii="楷体_GB2312" w:eastAsia="楷体_GB2312"/>
          <w:color w:val="auto"/>
          <w:sz w:val="28"/>
          <w:szCs w:val="28"/>
          <w:lang w:eastAsia="zh-CN"/>
        </w:rPr>
        <w:fldChar w:fldCharType="separate"/>
      </w:r>
      <w:r>
        <w:rPr>
          <w:rFonts w:hint="eastAsia" w:ascii="楷体_GB2312" w:eastAsia="楷体_GB2312"/>
          <w:color w:val="auto"/>
          <w:sz w:val="28"/>
          <w:szCs w:val="28"/>
          <w:lang w:eastAsia="zh-CN"/>
        </w:rPr>
        <w:fldChar w:fldCharType="begin"/>
      </w:r>
      <w:r>
        <w:rPr>
          <w:rFonts w:hint="eastAsia" w:ascii="楷体_GB2312" w:eastAsia="楷体_GB2312"/>
          <w:color w:val="auto"/>
          <w:sz w:val="28"/>
          <w:szCs w:val="28"/>
          <w:lang w:eastAsia="zh-CN"/>
        </w:rPr>
        <w:instrText xml:space="preserve"> HYPERLINK \l _Toc18120 </w:instrText>
      </w:r>
      <w:r>
        <w:rPr>
          <w:rFonts w:hint="eastAsia" w:ascii="楷体_GB2312" w:eastAsia="楷体_GB2312"/>
          <w:color w:val="auto"/>
          <w:sz w:val="28"/>
          <w:szCs w:val="28"/>
          <w:lang w:eastAsia="zh-CN"/>
        </w:rPr>
        <w:fldChar w:fldCharType="separate"/>
      </w:r>
      <w:r>
        <w:rPr>
          <w:rFonts w:hint="eastAsia" w:ascii="黑体" w:hAnsi="黑体" w:eastAsia="黑体"/>
          <w:snapToGrid w:val="0"/>
          <w:color w:val="auto"/>
          <w:sz w:val="28"/>
          <w:szCs w:val="28"/>
        </w:rPr>
        <w:t>一、建设项目基本情况</w:t>
      </w:r>
      <w:r>
        <w:rPr>
          <w:color w:val="auto"/>
          <w:sz w:val="28"/>
          <w:szCs w:val="28"/>
        </w:rPr>
        <w:tab/>
      </w:r>
      <w:r>
        <w:rPr>
          <w:color w:val="auto"/>
          <w:sz w:val="28"/>
          <w:szCs w:val="28"/>
        </w:rPr>
        <w:fldChar w:fldCharType="begin"/>
      </w:r>
      <w:r>
        <w:rPr>
          <w:color w:val="auto"/>
          <w:sz w:val="28"/>
          <w:szCs w:val="28"/>
        </w:rPr>
        <w:instrText xml:space="preserve"> PAGEREF _Toc18120 \h </w:instrText>
      </w:r>
      <w:r>
        <w:rPr>
          <w:color w:val="auto"/>
          <w:sz w:val="28"/>
          <w:szCs w:val="28"/>
        </w:rPr>
        <w:fldChar w:fldCharType="separate"/>
      </w:r>
      <w:r>
        <w:rPr>
          <w:color w:val="auto"/>
          <w:sz w:val="28"/>
          <w:szCs w:val="28"/>
        </w:rPr>
        <w:t>1</w:t>
      </w:r>
      <w:r>
        <w:rPr>
          <w:color w:val="auto"/>
          <w:sz w:val="28"/>
          <w:szCs w:val="28"/>
        </w:rPr>
        <w:fldChar w:fldCharType="end"/>
      </w:r>
      <w:r>
        <w:rPr>
          <w:rFonts w:hint="eastAsia" w:ascii="楷体_GB2312" w:eastAsia="楷体_GB2312"/>
          <w:color w:val="auto"/>
          <w:sz w:val="28"/>
          <w:szCs w:val="28"/>
          <w:lang w:eastAsia="zh-CN"/>
        </w:rPr>
        <w:fldChar w:fldCharType="end"/>
      </w:r>
    </w:p>
    <w:p w14:paraId="2ECA16B1">
      <w:pPr>
        <w:pStyle w:val="19"/>
        <w:tabs>
          <w:tab w:val="right" w:leader="dot" w:pos="8844"/>
        </w:tabs>
        <w:spacing w:line="360" w:lineRule="auto"/>
        <w:rPr>
          <w:color w:val="auto"/>
          <w:sz w:val="28"/>
          <w:szCs w:val="28"/>
        </w:rPr>
      </w:pPr>
      <w:r>
        <w:rPr>
          <w:rFonts w:hint="eastAsia" w:ascii="楷体_GB2312" w:eastAsia="楷体_GB2312"/>
          <w:color w:val="auto"/>
          <w:sz w:val="28"/>
          <w:szCs w:val="28"/>
          <w:lang w:eastAsia="zh-CN"/>
        </w:rPr>
        <w:fldChar w:fldCharType="begin"/>
      </w:r>
      <w:r>
        <w:rPr>
          <w:rFonts w:hint="eastAsia" w:ascii="楷体_GB2312" w:eastAsia="楷体_GB2312"/>
          <w:color w:val="auto"/>
          <w:sz w:val="28"/>
          <w:szCs w:val="28"/>
          <w:lang w:eastAsia="zh-CN"/>
        </w:rPr>
        <w:instrText xml:space="preserve"> HYPERLINK \l _Toc20477 </w:instrText>
      </w:r>
      <w:r>
        <w:rPr>
          <w:rFonts w:hint="eastAsia" w:ascii="楷体_GB2312" w:eastAsia="楷体_GB2312"/>
          <w:color w:val="auto"/>
          <w:sz w:val="28"/>
          <w:szCs w:val="28"/>
          <w:lang w:eastAsia="zh-CN"/>
        </w:rPr>
        <w:fldChar w:fldCharType="separate"/>
      </w:r>
      <w:r>
        <w:rPr>
          <w:rFonts w:hint="eastAsia" w:ascii="黑体" w:hAnsi="黑体" w:eastAsia="黑体"/>
          <w:snapToGrid w:val="0"/>
          <w:color w:val="auto"/>
          <w:sz w:val="28"/>
          <w:szCs w:val="28"/>
        </w:rPr>
        <w:t>二、建设内容</w:t>
      </w:r>
      <w:r>
        <w:rPr>
          <w:color w:val="auto"/>
          <w:sz w:val="28"/>
          <w:szCs w:val="28"/>
        </w:rPr>
        <w:tab/>
      </w:r>
      <w:r>
        <w:rPr>
          <w:color w:val="auto"/>
          <w:sz w:val="28"/>
          <w:szCs w:val="28"/>
        </w:rPr>
        <w:fldChar w:fldCharType="begin"/>
      </w:r>
      <w:r>
        <w:rPr>
          <w:color w:val="auto"/>
          <w:sz w:val="28"/>
          <w:szCs w:val="28"/>
        </w:rPr>
        <w:instrText xml:space="preserve"> PAGEREF _Toc20477 \h </w:instrText>
      </w:r>
      <w:r>
        <w:rPr>
          <w:color w:val="auto"/>
          <w:sz w:val="28"/>
          <w:szCs w:val="28"/>
        </w:rPr>
        <w:fldChar w:fldCharType="separate"/>
      </w:r>
      <w:r>
        <w:rPr>
          <w:color w:val="auto"/>
          <w:sz w:val="28"/>
          <w:szCs w:val="28"/>
        </w:rPr>
        <w:t>19</w:t>
      </w:r>
      <w:r>
        <w:rPr>
          <w:color w:val="auto"/>
          <w:sz w:val="28"/>
          <w:szCs w:val="28"/>
        </w:rPr>
        <w:fldChar w:fldCharType="end"/>
      </w:r>
      <w:r>
        <w:rPr>
          <w:rFonts w:hint="eastAsia" w:ascii="楷体_GB2312" w:eastAsia="楷体_GB2312"/>
          <w:color w:val="auto"/>
          <w:sz w:val="28"/>
          <w:szCs w:val="28"/>
          <w:lang w:eastAsia="zh-CN"/>
        </w:rPr>
        <w:fldChar w:fldCharType="end"/>
      </w:r>
    </w:p>
    <w:p w14:paraId="7AC834C0">
      <w:pPr>
        <w:pStyle w:val="19"/>
        <w:tabs>
          <w:tab w:val="right" w:leader="dot" w:pos="8844"/>
        </w:tabs>
        <w:spacing w:line="360" w:lineRule="auto"/>
        <w:rPr>
          <w:color w:val="auto"/>
          <w:sz w:val="28"/>
          <w:szCs w:val="28"/>
        </w:rPr>
      </w:pPr>
      <w:r>
        <w:rPr>
          <w:rFonts w:hint="eastAsia" w:ascii="楷体_GB2312" w:eastAsia="楷体_GB2312"/>
          <w:color w:val="auto"/>
          <w:sz w:val="28"/>
          <w:szCs w:val="28"/>
          <w:lang w:eastAsia="zh-CN"/>
        </w:rPr>
        <w:fldChar w:fldCharType="begin"/>
      </w:r>
      <w:r>
        <w:rPr>
          <w:rFonts w:hint="eastAsia" w:ascii="楷体_GB2312" w:eastAsia="楷体_GB2312"/>
          <w:color w:val="auto"/>
          <w:sz w:val="28"/>
          <w:szCs w:val="28"/>
          <w:lang w:eastAsia="zh-CN"/>
        </w:rPr>
        <w:instrText xml:space="preserve"> HYPERLINK \l _Toc17922 </w:instrText>
      </w:r>
      <w:r>
        <w:rPr>
          <w:rFonts w:hint="eastAsia" w:ascii="楷体_GB2312" w:eastAsia="楷体_GB2312"/>
          <w:color w:val="auto"/>
          <w:sz w:val="28"/>
          <w:szCs w:val="28"/>
          <w:lang w:eastAsia="zh-CN"/>
        </w:rPr>
        <w:fldChar w:fldCharType="separate"/>
      </w:r>
      <w:r>
        <w:rPr>
          <w:rFonts w:hint="eastAsia" w:ascii="黑体" w:hAnsi="黑体" w:eastAsia="黑体"/>
          <w:snapToGrid w:val="0"/>
          <w:color w:val="auto"/>
          <w:sz w:val="28"/>
          <w:szCs w:val="28"/>
        </w:rPr>
        <w:t>三、生态环境现状、保护目标及评价标准</w:t>
      </w:r>
      <w:r>
        <w:rPr>
          <w:color w:val="auto"/>
          <w:sz w:val="28"/>
          <w:szCs w:val="28"/>
        </w:rPr>
        <w:tab/>
      </w:r>
      <w:r>
        <w:rPr>
          <w:color w:val="auto"/>
          <w:sz w:val="28"/>
          <w:szCs w:val="28"/>
        </w:rPr>
        <w:fldChar w:fldCharType="begin"/>
      </w:r>
      <w:r>
        <w:rPr>
          <w:color w:val="auto"/>
          <w:sz w:val="28"/>
          <w:szCs w:val="28"/>
        </w:rPr>
        <w:instrText xml:space="preserve"> PAGEREF _Toc17922 \h </w:instrText>
      </w:r>
      <w:r>
        <w:rPr>
          <w:color w:val="auto"/>
          <w:sz w:val="28"/>
          <w:szCs w:val="28"/>
        </w:rPr>
        <w:fldChar w:fldCharType="separate"/>
      </w:r>
      <w:r>
        <w:rPr>
          <w:color w:val="auto"/>
          <w:sz w:val="28"/>
          <w:szCs w:val="28"/>
        </w:rPr>
        <w:t>48</w:t>
      </w:r>
      <w:r>
        <w:rPr>
          <w:color w:val="auto"/>
          <w:sz w:val="28"/>
          <w:szCs w:val="28"/>
        </w:rPr>
        <w:fldChar w:fldCharType="end"/>
      </w:r>
      <w:r>
        <w:rPr>
          <w:rFonts w:hint="eastAsia" w:ascii="楷体_GB2312" w:eastAsia="楷体_GB2312"/>
          <w:color w:val="auto"/>
          <w:sz w:val="28"/>
          <w:szCs w:val="28"/>
          <w:lang w:eastAsia="zh-CN"/>
        </w:rPr>
        <w:fldChar w:fldCharType="end"/>
      </w:r>
    </w:p>
    <w:p w14:paraId="7A427262">
      <w:pPr>
        <w:pStyle w:val="19"/>
        <w:tabs>
          <w:tab w:val="right" w:leader="dot" w:pos="8844"/>
        </w:tabs>
        <w:spacing w:line="360" w:lineRule="auto"/>
        <w:rPr>
          <w:color w:val="auto"/>
          <w:sz w:val="28"/>
          <w:szCs w:val="28"/>
        </w:rPr>
      </w:pPr>
      <w:r>
        <w:rPr>
          <w:rFonts w:hint="eastAsia" w:ascii="楷体_GB2312" w:eastAsia="楷体_GB2312"/>
          <w:color w:val="auto"/>
          <w:sz w:val="28"/>
          <w:szCs w:val="28"/>
          <w:lang w:eastAsia="zh-CN"/>
        </w:rPr>
        <w:fldChar w:fldCharType="begin"/>
      </w:r>
      <w:r>
        <w:rPr>
          <w:rFonts w:hint="eastAsia" w:ascii="楷体_GB2312" w:eastAsia="楷体_GB2312"/>
          <w:color w:val="auto"/>
          <w:sz w:val="28"/>
          <w:szCs w:val="28"/>
          <w:lang w:eastAsia="zh-CN"/>
        </w:rPr>
        <w:instrText xml:space="preserve"> HYPERLINK \l _Toc18808 </w:instrText>
      </w:r>
      <w:r>
        <w:rPr>
          <w:rFonts w:hint="eastAsia" w:ascii="楷体_GB2312" w:eastAsia="楷体_GB2312"/>
          <w:color w:val="auto"/>
          <w:sz w:val="28"/>
          <w:szCs w:val="28"/>
          <w:lang w:eastAsia="zh-CN"/>
        </w:rPr>
        <w:fldChar w:fldCharType="separate"/>
      </w:r>
      <w:r>
        <w:rPr>
          <w:rFonts w:hint="eastAsia" w:ascii="黑体" w:hAnsi="黑体" w:eastAsia="黑体"/>
          <w:snapToGrid w:val="0"/>
          <w:color w:val="auto"/>
          <w:sz w:val="28"/>
          <w:szCs w:val="28"/>
        </w:rPr>
        <w:t>四、生态环境影响分析</w:t>
      </w:r>
      <w:r>
        <w:rPr>
          <w:color w:val="auto"/>
          <w:sz w:val="28"/>
          <w:szCs w:val="28"/>
        </w:rPr>
        <w:tab/>
      </w:r>
      <w:r>
        <w:rPr>
          <w:color w:val="auto"/>
          <w:sz w:val="28"/>
          <w:szCs w:val="28"/>
        </w:rPr>
        <w:fldChar w:fldCharType="begin"/>
      </w:r>
      <w:r>
        <w:rPr>
          <w:color w:val="auto"/>
          <w:sz w:val="28"/>
          <w:szCs w:val="28"/>
        </w:rPr>
        <w:instrText xml:space="preserve"> PAGEREF _Toc18808 \h </w:instrText>
      </w:r>
      <w:r>
        <w:rPr>
          <w:color w:val="auto"/>
          <w:sz w:val="28"/>
          <w:szCs w:val="28"/>
        </w:rPr>
        <w:fldChar w:fldCharType="separate"/>
      </w:r>
      <w:r>
        <w:rPr>
          <w:color w:val="auto"/>
          <w:sz w:val="28"/>
          <w:szCs w:val="28"/>
        </w:rPr>
        <w:t>62</w:t>
      </w:r>
      <w:r>
        <w:rPr>
          <w:color w:val="auto"/>
          <w:sz w:val="28"/>
          <w:szCs w:val="28"/>
        </w:rPr>
        <w:fldChar w:fldCharType="end"/>
      </w:r>
      <w:r>
        <w:rPr>
          <w:rFonts w:hint="eastAsia" w:ascii="楷体_GB2312" w:eastAsia="楷体_GB2312"/>
          <w:color w:val="auto"/>
          <w:sz w:val="28"/>
          <w:szCs w:val="28"/>
          <w:lang w:eastAsia="zh-CN"/>
        </w:rPr>
        <w:fldChar w:fldCharType="end"/>
      </w:r>
    </w:p>
    <w:p w14:paraId="4483565F">
      <w:pPr>
        <w:pStyle w:val="19"/>
        <w:tabs>
          <w:tab w:val="right" w:leader="dot" w:pos="8844"/>
        </w:tabs>
        <w:spacing w:line="360" w:lineRule="auto"/>
        <w:rPr>
          <w:color w:val="auto"/>
          <w:sz w:val="28"/>
          <w:szCs w:val="28"/>
        </w:rPr>
      </w:pPr>
      <w:r>
        <w:rPr>
          <w:rFonts w:hint="eastAsia" w:ascii="楷体_GB2312" w:eastAsia="楷体_GB2312"/>
          <w:color w:val="auto"/>
          <w:sz w:val="28"/>
          <w:szCs w:val="28"/>
          <w:lang w:eastAsia="zh-CN"/>
        </w:rPr>
        <w:fldChar w:fldCharType="begin"/>
      </w:r>
      <w:r>
        <w:rPr>
          <w:rFonts w:hint="eastAsia" w:ascii="楷体_GB2312" w:eastAsia="楷体_GB2312"/>
          <w:color w:val="auto"/>
          <w:sz w:val="28"/>
          <w:szCs w:val="28"/>
          <w:lang w:eastAsia="zh-CN"/>
        </w:rPr>
        <w:instrText xml:space="preserve"> HYPERLINK \l _Toc32569 </w:instrText>
      </w:r>
      <w:r>
        <w:rPr>
          <w:rFonts w:hint="eastAsia" w:ascii="楷体_GB2312" w:eastAsia="楷体_GB2312"/>
          <w:color w:val="auto"/>
          <w:sz w:val="28"/>
          <w:szCs w:val="28"/>
          <w:lang w:eastAsia="zh-CN"/>
        </w:rPr>
        <w:fldChar w:fldCharType="separate"/>
      </w:r>
      <w:r>
        <w:rPr>
          <w:rFonts w:hint="eastAsia" w:ascii="黑体" w:hAnsi="黑体" w:eastAsia="黑体"/>
          <w:snapToGrid w:val="0"/>
          <w:color w:val="auto"/>
          <w:sz w:val="28"/>
          <w:szCs w:val="28"/>
        </w:rPr>
        <w:t>五、主要生态环境保护措施</w:t>
      </w:r>
      <w:r>
        <w:rPr>
          <w:color w:val="auto"/>
          <w:sz w:val="28"/>
          <w:szCs w:val="28"/>
        </w:rPr>
        <w:tab/>
      </w:r>
      <w:r>
        <w:rPr>
          <w:color w:val="auto"/>
          <w:sz w:val="28"/>
          <w:szCs w:val="28"/>
        </w:rPr>
        <w:fldChar w:fldCharType="begin"/>
      </w:r>
      <w:r>
        <w:rPr>
          <w:color w:val="auto"/>
          <w:sz w:val="28"/>
          <w:szCs w:val="28"/>
        </w:rPr>
        <w:instrText xml:space="preserve"> PAGEREF _Toc32569 \h </w:instrText>
      </w:r>
      <w:r>
        <w:rPr>
          <w:color w:val="auto"/>
          <w:sz w:val="28"/>
          <w:szCs w:val="28"/>
        </w:rPr>
        <w:fldChar w:fldCharType="separate"/>
      </w:r>
      <w:r>
        <w:rPr>
          <w:color w:val="auto"/>
          <w:sz w:val="28"/>
          <w:szCs w:val="28"/>
        </w:rPr>
        <w:t>81</w:t>
      </w:r>
      <w:r>
        <w:rPr>
          <w:color w:val="auto"/>
          <w:sz w:val="28"/>
          <w:szCs w:val="28"/>
        </w:rPr>
        <w:fldChar w:fldCharType="end"/>
      </w:r>
      <w:r>
        <w:rPr>
          <w:rFonts w:hint="eastAsia" w:ascii="楷体_GB2312" w:eastAsia="楷体_GB2312"/>
          <w:color w:val="auto"/>
          <w:sz w:val="28"/>
          <w:szCs w:val="28"/>
          <w:lang w:eastAsia="zh-CN"/>
        </w:rPr>
        <w:fldChar w:fldCharType="end"/>
      </w:r>
    </w:p>
    <w:p w14:paraId="4420D735">
      <w:pPr>
        <w:pStyle w:val="19"/>
        <w:tabs>
          <w:tab w:val="right" w:leader="dot" w:pos="8844"/>
        </w:tabs>
        <w:spacing w:line="360" w:lineRule="auto"/>
        <w:rPr>
          <w:color w:val="auto"/>
          <w:sz w:val="28"/>
          <w:szCs w:val="28"/>
        </w:rPr>
      </w:pPr>
      <w:r>
        <w:rPr>
          <w:rFonts w:hint="eastAsia" w:ascii="楷体_GB2312" w:eastAsia="楷体_GB2312"/>
          <w:color w:val="auto"/>
          <w:sz w:val="28"/>
          <w:szCs w:val="28"/>
          <w:lang w:eastAsia="zh-CN"/>
        </w:rPr>
        <w:fldChar w:fldCharType="begin"/>
      </w:r>
      <w:r>
        <w:rPr>
          <w:rFonts w:hint="eastAsia" w:ascii="楷体_GB2312" w:eastAsia="楷体_GB2312"/>
          <w:color w:val="auto"/>
          <w:sz w:val="28"/>
          <w:szCs w:val="28"/>
          <w:lang w:eastAsia="zh-CN"/>
        </w:rPr>
        <w:instrText xml:space="preserve"> HYPERLINK \l _Toc2941 </w:instrText>
      </w:r>
      <w:r>
        <w:rPr>
          <w:rFonts w:hint="eastAsia" w:ascii="楷体_GB2312" w:eastAsia="楷体_GB2312"/>
          <w:color w:val="auto"/>
          <w:sz w:val="28"/>
          <w:szCs w:val="28"/>
          <w:lang w:eastAsia="zh-CN"/>
        </w:rPr>
        <w:fldChar w:fldCharType="separate"/>
      </w:r>
      <w:r>
        <w:rPr>
          <w:rFonts w:hint="eastAsia" w:ascii="黑体" w:hAnsi="黑体" w:eastAsia="黑体"/>
          <w:snapToGrid w:val="0"/>
          <w:color w:val="auto"/>
          <w:sz w:val="28"/>
          <w:szCs w:val="28"/>
        </w:rPr>
        <w:t>六、生态环境保护措施监督检查清单</w:t>
      </w:r>
      <w:r>
        <w:rPr>
          <w:color w:val="auto"/>
          <w:sz w:val="28"/>
          <w:szCs w:val="28"/>
        </w:rPr>
        <w:tab/>
      </w:r>
      <w:r>
        <w:rPr>
          <w:color w:val="auto"/>
          <w:sz w:val="28"/>
          <w:szCs w:val="28"/>
        </w:rPr>
        <w:fldChar w:fldCharType="begin"/>
      </w:r>
      <w:r>
        <w:rPr>
          <w:color w:val="auto"/>
          <w:sz w:val="28"/>
          <w:szCs w:val="28"/>
        </w:rPr>
        <w:instrText xml:space="preserve"> PAGEREF _Toc2941 \h </w:instrText>
      </w:r>
      <w:r>
        <w:rPr>
          <w:color w:val="auto"/>
          <w:sz w:val="28"/>
          <w:szCs w:val="28"/>
        </w:rPr>
        <w:fldChar w:fldCharType="separate"/>
      </w:r>
      <w:r>
        <w:rPr>
          <w:color w:val="auto"/>
          <w:sz w:val="28"/>
          <w:szCs w:val="28"/>
        </w:rPr>
        <w:t>99</w:t>
      </w:r>
      <w:r>
        <w:rPr>
          <w:color w:val="auto"/>
          <w:sz w:val="28"/>
          <w:szCs w:val="28"/>
        </w:rPr>
        <w:fldChar w:fldCharType="end"/>
      </w:r>
      <w:r>
        <w:rPr>
          <w:rFonts w:hint="eastAsia" w:ascii="楷体_GB2312" w:eastAsia="楷体_GB2312"/>
          <w:color w:val="auto"/>
          <w:sz w:val="28"/>
          <w:szCs w:val="28"/>
          <w:lang w:eastAsia="zh-CN"/>
        </w:rPr>
        <w:fldChar w:fldCharType="end"/>
      </w:r>
    </w:p>
    <w:p w14:paraId="27AF935A">
      <w:pPr>
        <w:pStyle w:val="19"/>
        <w:tabs>
          <w:tab w:val="right" w:leader="dot" w:pos="8844"/>
        </w:tabs>
        <w:spacing w:line="360" w:lineRule="auto"/>
        <w:rPr>
          <w:color w:val="auto"/>
          <w:sz w:val="28"/>
          <w:szCs w:val="28"/>
        </w:rPr>
      </w:pPr>
      <w:r>
        <w:rPr>
          <w:rFonts w:hint="eastAsia" w:ascii="楷体_GB2312" w:eastAsia="楷体_GB2312"/>
          <w:color w:val="auto"/>
          <w:sz w:val="28"/>
          <w:szCs w:val="28"/>
          <w:lang w:eastAsia="zh-CN"/>
        </w:rPr>
        <w:fldChar w:fldCharType="begin"/>
      </w:r>
      <w:r>
        <w:rPr>
          <w:rFonts w:hint="eastAsia" w:ascii="楷体_GB2312" w:eastAsia="楷体_GB2312"/>
          <w:color w:val="auto"/>
          <w:sz w:val="28"/>
          <w:szCs w:val="28"/>
          <w:lang w:eastAsia="zh-CN"/>
        </w:rPr>
        <w:instrText xml:space="preserve"> HYPERLINK \l _Toc21578 </w:instrText>
      </w:r>
      <w:r>
        <w:rPr>
          <w:rFonts w:hint="eastAsia" w:ascii="楷体_GB2312" w:eastAsia="楷体_GB2312"/>
          <w:color w:val="auto"/>
          <w:sz w:val="28"/>
          <w:szCs w:val="28"/>
          <w:lang w:eastAsia="zh-CN"/>
        </w:rPr>
        <w:fldChar w:fldCharType="separate"/>
      </w:r>
      <w:r>
        <w:rPr>
          <w:rFonts w:hint="eastAsia" w:ascii="黑体" w:hAnsi="黑体" w:eastAsia="黑体"/>
          <w:snapToGrid w:val="0"/>
          <w:color w:val="auto"/>
          <w:sz w:val="28"/>
          <w:szCs w:val="28"/>
        </w:rPr>
        <w:t>七、结论</w:t>
      </w:r>
      <w:r>
        <w:rPr>
          <w:color w:val="auto"/>
          <w:sz w:val="28"/>
          <w:szCs w:val="28"/>
        </w:rPr>
        <w:tab/>
      </w:r>
      <w:r>
        <w:rPr>
          <w:color w:val="auto"/>
          <w:sz w:val="28"/>
          <w:szCs w:val="28"/>
        </w:rPr>
        <w:fldChar w:fldCharType="begin"/>
      </w:r>
      <w:r>
        <w:rPr>
          <w:color w:val="auto"/>
          <w:sz w:val="28"/>
          <w:szCs w:val="28"/>
        </w:rPr>
        <w:instrText xml:space="preserve"> PAGEREF _Toc21578 \h </w:instrText>
      </w:r>
      <w:r>
        <w:rPr>
          <w:color w:val="auto"/>
          <w:sz w:val="28"/>
          <w:szCs w:val="28"/>
        </w:rPr>
        <w:fldChar w:fldCharType="separate"/>
      </w:r>
      <w:r>
        <w:rPr>
          <w:color w:val="auto"/>
          <w:sz w:val="28"/>
          <w:szCs w:val="28"/>
        </w:rPr>
        <w:t>101</w:t>
      </w:r>
      <w:r>
        <w:rPr>
          <w:color w:val="auto"/>
          <w:sz w:val="28"/>
          <w:szCs w:val="28"/>
        </w:rPr>
        <w:fldChar w:fldCharType="end"/>
      </w:r>
      <w:r>
        <w:rPr>
          <w:rFonts w:hint="eastAsia" w:ascii="楷体_GB2312" w:eastAsia="楷体_GB2312"/>
          <w:color w:val="auto"/>
          <w:sz w:val="28"/>
          <w:szCs w:val="28"/>
          <w:lang w:eastAsia="zh-CN"/>
        </w:rPr>
        <w:fldChar w:fldCharType="end"/>
      </w:r>
    </w:p>
    <w:p w14:paraId="3FA28D6E">
      <w:pPr>
        <w:pStyle w:val="23"/>
        <w:spacing w:line="360" w:lineRule="auto"/>
        <w:jc w:val="center"/>
        <w:outlineLvl w:val="0"/>
        <w:rPr>
          <w:rFonts w:hint="eastAsia" w:ascii="楷体_GB2312" w:eastAsia="楷体_GB2312"/>
          <w:color w:val="auto"/>
          <w:sz w:val="36"/>
          <w:szCs w:val="36"/>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r>
        <w:rPr>
          <w:rFonts w:hint="eastAsia" w:ascii="楷体_GB2312" w:eastAsia="楷体_GB2312"/>
          <w:color w:val="auto"/>
          <w:sz w:val="28"/>
          <w:szCs w:val="28"/>
          <w:lang w:eastAsia="zh-CN"/>
        </w:rPr>
        <w:fldChar w:fldCharType="end"/>
      </w:r>
    </w:p>
    <w:p w14:paraId="6474F31D">
      <w:pPr>
        <w:pStyle w:val="20"/>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Times New Roman" w:hAnsi="Times New Roman" w:eastAsia="宋体"/>
          <w:b/>
          <w:caps w:val="0"/>
          <w:color w:val="auto"/>
          <w:sz w:val="24"/>
          <w:szCs w:val="24"/>
          <w:highlight w:val="none"/>
        </w:rPr>
      </w:pPr>
      <w:bookmarkStart w:id="2" w:name="_Toc18120"/>
      <w:r>
        <w:rPr>
          <w:rFonts w:hint="eastAsia" w:ascii="Times New Roman" w:hAnsi="Times New Roman" w:eastAsia="宋体"/>
          <w:b/>
          <w:caps w:val="0"/>
          <w:color w:val="auto"/>
          <w:sz w:val="24"/>
          <w:szCs w:val="24"/>
          <w:highlight w:val="none"/>
        </w:rPr>
        <w:t>附图</w:t>
      </w:r>
    </w:p>
    <w:p w14:paraId="3AF3B64B">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rPr>
      </w:pPr>
      <w:r>
        <w:rPr>
          <w:rFonts w:hint="eastAsia" w:ascii="Times New Roman" w:hAnsi="Times New Roman" w:eastAsia="宋体" w:cs="Times New Roman"/>
          <w:caps w:val="0"/>
          <w:color w:val="auto"/>
          <w:sz w:val="24"/>
          <w:szCs w:val="24"/>
          <w:highlight w:val="none"/>
        </w:rPr>
        <w:t>附图</w:t>
      </w:r>
      <w:r>
        <w:rPr>
          <w:rFonts w:hint="eastAsia" w:ascii="Times New Roman" w:hAnsi="Times New Roman" w:eastAsia="宋体" w:cs="Times New Roman"/>
          <w:caps w:val="0"/>
          <w:color w:val="auto"/>
          <w:sz w:val="24"/>
          <w:szCs w:val="24"/>
          <w:highlight w:val="none"/>
          <w:lang w:val="en-US" w:eastAsia="zh-CN"/>
        </w:rPr>
        <w:t xml:space="preserve">1  </w:t>
      </w:r>
      <w:r>
        <w:rPr>
          <w:rFonts w:hint="eastAsia" w:ascii="Times New Roman" w:hAnsi="Times New Roman" w:eastAsia="宋体" w:cs="Times New Roman"/>
          <w:caps w:val="0"/>
          <w:color w:val="auto"/>
          <w:sz w:val="24"/>
          <w:szCs w:val="24"/>
          <w:highlight w:val="none"/>
        </w:rPr>
        <w:t>项目地理位置示意图</w:t>
      </w:r>
    </w:p>
    <w:p w14:paraId="0B243EF8">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rPr>
        <w:t>附图</w:t>
      </w:r>
      <w:r>
        <w:rPr>
          <w:rFonts w:hint="eastAsia" w:ascii="Times New Roman" w:hAnsi="Times New Roman" w:eastAsia="宋体" w:cs="Times New Roman"/>
          <w:caps w:val="0"/>
          <w:color w:val="auto"/>
          <w:sz w:val="24"/>
          <w:szCs w:val="24"/>
          <w:highlight w:val="none"/>
          <w:lang w:val="en-US" w:eastAsia="zh-CN"/>
        </w:rPr>
        <w:t>2</w:t>
      </w:r>
      <w:r>
        <w:rPr>
          <w:rFonts w:hint="eastAsia" w:ascii="Times New Roman" w:hAnsi="Times New Roman" w:eastAsia="宋体" w:cs="Times New Roman"/>
          <w:caps w:val="0"/>
          <w:color w:val="auto"/>
          <w:sz w:val="24"/>
          <w:szCs w:val="24"/>
          <w:highlight w:val="none"/>
        </w:rPr>
        <w:t xml:space="preserve"> </w:t>
      </w:r>
      <w:r>
        <w:rPr>
          <w:rFonts w:hint="eastAsia" w:ascii="Times New Roman" w:hAnsi="Times New Roman" w:eastAsia="宋体" w:cs="Times New Roman"/>
          <w:caps w:val="0"/>
          <w:color w:val="auto"/>
          <w:sz w:val="24"/>
          <w:szCs w:val="24"/>
          <w:highlight w:val="none"/>
          <w:lang w:val="en-US" w:eastAsia="zh-CN"/>
        </w:rPr>
        <w:t xml:space="preserve"> </w:t>
      </w:r>
      <w:r>
        <w:rPr>
          <w:rFonts w:hint="eastAsia" w:ascii="Times New Roman" w:hAnsi="Times New Roman" w:eastAsia="宋体" w:cs="Times New Roman"/>
          <w:caps w:val="0"/>
          <w:color w:val="auto"/>
          <w:sz w:val="24"/>
          <w:szCs w:val="24"/>
          <w:highlight w:val="none"/>
        </w:rPr>
        <w:t>项目</w:t>
      </w:r>
      <w:r>
        <w:rPr>
          <w:rFonts w:hint="eastAsia" w:ascii="Times New Roman" w:hAnsi="Times New Roman" w:eastAsia="宋体" w:cs="Times New Roman"/>
          <w:caps w:val="0"/>
          <w:color w:val="auto"/>
          <w:sz w:val="24"/>
          <w:szCs w:val="24"/>
          <w:highlight w:val="none"/>
          <w:lang w:val="en-US" w:eastAsia="zh-CN"/>
        </w:rPr>
        <w:t>周边环境现状图</w:t>
      </w:r>
    </w:p>
    <w:p w14:paraId="7172B7E2">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rPr>
        <w:t>附图</w:t>
      </w:r>
      <w:r>
        <w:rPr>
          <w:rFonts w:hint="eastAsia" w:ascii="Times New Roman" w:hAnsi="Times New Roman" w:eastAsia="宋体" w:cs="Times New Roman"/>
          <w:caps w:val="0"/>
          <w:color w:val="auto"/>
          <w:sz w:val="24"/>
          <w:szCs w:val="24"/>
          <w:highlight w:val="none"/>
          <w:lang w:val="en-US" w:eastAsia="zh-CN"/>
        </w:rPr>
        <w:t>3  项目与重点生态区域位置关系图</w:t>
      </w:r>
    </w:p>
    <w:p w14:paraId="4EF15196">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rPr>
        <w:t>附图</w:t>
      </w:r>
      <w:r>
        <w:rPr>
          <w:rFonts w:hint="eastAsia" w:ascii="Times New Roman" w:hAnsi="Times New Roman" w:eastAsia="宋体" w:cs="Times New Roman"/>
          <w:caps w:val="0"/>
          <w:color w:val="auto"/>
          <w:sz w:val="24"/>
          <w:szCs w:val="24"/>
          <w:highlight w:val="none"/>
          <w:lang w:val="en-US" w:eastAsia="zh-CN"/>
        </w:rPr>
        <w:t>4  项目与阜康市饮用水水源地位置关系图</w:t>
      </w:r>
    </w:p>
    <w:p w14:paraId="74AC9F73">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rPr>
        <w:t>附图</w:t>
      </w:r>
      <w:r>
        <w:rPr>
          <w:rFonts w:hint="eastAsia" w:ascii="Times New Roman" w:hAnsi="Times New Roman" w:eastAsia="宋体" w:cs="Times New Roman"/>
          <w:caps w:val="0"/>
          <w:color w:val="auto"/>
          <w:sz w:val="24"/>
          <w:szCs w:val="24"/>
          <w:highlight w:val="none"/>
          <w:lang w:val="en-US" w:eastAsia="zh-CN"/>
        </w:rPr>
        <w:t>5  项目与昌吉回族自治州环境管控单元分类图位置关系图</w:t>
      </w:r>
    </w:p>
    <w:p w14:paraId="7386A93C">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rPr>
        <w:t>附图</w:t>
      </w:r>
      <w:r>
        <w:rPr>
          <w:rFonts w:hint="eastAsia" w:ascii="Times New Roman" w:hAnsi="Times New Roman" w:eastAsia="宋体" w:cs="Times New Roman"/>
          <w:caps w:val="0"/>
          <w:color w:val="auto"/>
          <w:sz w:val="24"/>
          <w:szCs w:val="24"/>
          <w:highlight w:val="none"/>
          <w:lang w:val="en-US" w:eastAsia="zh-CN"/>
        </w:rPr>
        <w:t>6  新疆维吾尔自治区“三线一单”信息应用平台查询结果</w:t>
      </w:r>
    </w:p>
    <w:p w14:paraId="52529EA1">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aps w:val="0"/>
          <w:color w:val="auto"/>
          <w:sz w:val="24"/>
          <w:szCs w:val="24"/>
          <w:highlight w:val="none"/>
          <w:lang w:val="en-US"/>
        </w:rPr>
      </w:pPr>
      <w:r>
        <w:rPr>
          <w:rFonts w:hint="eastAsia" w:ascii="Times New Roman" w:hAnsi="Times New Roman" w:eastAsia="宋体" w:cs="Times New Roman"/>
          <w:caps w:val="0"/>
          <w:color w:val="auto"/>
          <w:sz w:val="24"/>
          <w:szCs w:val="24"/>
          <w:highlight w:val="none"/>
        </w:rPr>
        <w:t>附图</w:t>
      </w:r>
      <w:r>
        <w:rPr>
          <w:rFonts w:hint="eastAsia" w:ascii="Times New Roman" w:hAnsi="Times New Roman" w:eastAsia="宋体" w:cs="Times New Roman"/>
          <w:caps w:val="0"/>
          <w:color w:val="auto"/>
          <w:sz w:val="24"/>
          <w:szCs w:val="24"/>
          <w:highlight w:val="none"/>
          <w:lang w:val="en-US" w:eastAsia="zh-CN"/>
        </w:rPr>
        <w:t>7  项目总平面布置图</w:t>
      </w:r>
    </w:p>
    <w:p w14:paraId="583CCF73">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rPr>
      </w:pPr>
      <w:r>
        <w:rPr>
          <w:rFonts w:hint="default" w:ascii="Times New Roman" w:hAnsi="Times New Roman" w:eastAsia="宋体" w:cs="Times New Roman"/>
          <w:caps w:val="0"/>
          <w:color w:val="auto"/>
          <w:sz w:val="24"/>
          <w:szCs w:val="24"/>
          <w:highlight w:val="none"/>
          <w:lang w:val="en-US" w:eastAsia="zh-CN"/>
        </w:rPr>
        <w:t>附图</w:t>
      </w:r>
      <w:r>
        <w:rPr>
          <w:rFonts w:hint="eastAsia" w:ascii="Times New Roman" w:hAnsi="Times New Roman" w:eastAsia="宋体" w:cs="Times New Roman"/>
          <w:caps w:val="0"/>
          <w:color w:val="auto"/>
          <w:sz w:val="24"/>
          <w:szCs w:val="24"/>
          <w:highlight w:val="none"/>
          <w:lang w:val="en-US" w:eastAsia="zh-CN"/>
        </w:rPr>
        <w:t>8  生态功能区划图</w:t>
      </w:r>
    </w:p>
    <w:p w14:paraId="59FEF4F8">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default" w:ascii="Times New Roman" w:hAnsi="Times New Roman" w:eastAsia="宋体" w:cs="Times New Roman"/>
          <w:caps w:val="0"/>
          <w:color w:val="auto"/>
          <w:sz w:val="24"/>
          <w:szCs w:val="24"/>
          <w:highlight w:val="none"/>
          <w:lang w:val="en-US" w:eastAsia="zh-CN"/>
        </w:rPr>
        <w:t>附图</w:t>
      </w:r>
      <w:r>
        <w:rPr>
          <w:rFonts w:hint="eastAsia" w:cs="Times New Roman"/>
          <w:caps w:val="0"/>
          <w:color w:val="auto"/>
          <w:sz w:val="24"/>
          <w:szCs w:val="24"/>
          <w:highlight w:val="none"/>
          <w:lang w:val="en-US" w:eastAsia="zh-CN"/>
        </w:rPr>
        <w:t>9</w:t>
      </w:r>
      <w:r>
        <w:rPr>
          <w:rFonts w:hint="eastAsia" w:ascii="Times New Roman" w:hAnsi="Times New Roman" w:eastAsia="宋体" w:cs="Times New Roman"/>
          <w:caps w:val="0"/>
          <w:color w:val="auto"/>
          <w:sz w:val="24"/>
          <w:szCs w:val="24"/>
          <w:highlight w:val="none"/>
          <w:lang w:val="en-US" w:eastAsia="zh-CN"/>
        </w:rPr>
        <w:t xml:space="preserve">  项目区土壤类型图</w:t>
      </w:r>
    </w:p>
    <w:p w14:paraId="33C4D4BD">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rPr>
      </w:pPr>
      <w:r>
        <w:rPr>
          <w:rFonts w:hint="default" w:ascii="Times New Roman" w:hAnsi="Times New Roman" w:eastAsia="宋体" w:cs="Times New Roman"/>
          <w:caps w:val="0"/>
          <w:color w:val="auto"/>
          <w:sz w:val="24"/>
          <w:szCs w:val="24"/>
          <w:highlight w:val="none"/>
          <w:lang w:val="en-US" w:eastAsia="zh-CN"/>
        </w:rPr>
        <w:t>附图</w:t>
      </w:r>
      <w:r>
        <w:rPr>
          <w:rFonts w:hint="eastAsia" w:cs="Times New Roman"/>
          <w:caps w:val="0"/>
          <w:color w:val="auto"/>
          <w:sz w:val="24"/>
          <w:szCs w:val="24"/>
          <w:highlight w:val="none"/>
          <w:lang w:val="en-US" w:eastAsia="zh-CN"/>
        </w:rPr>
        <w:t>10</w:t>
      </w:r>
      <w:r>
        <w:rPr>
          <w:rFonts w:hint="eastAsia" w:ascii="Times New Roman" w:hAnsi="Times New Roman" w:eastAsia="宋体" w:cs="Times New Roman"/>
          <w:caps w:val="0"/>
          <w:color w:val="auto"/>
          <w:sz w:val="24"/>
          <w:szCs w:val="24"/>
          <w:highlight w:val="none"/>
          <w:lang w:val="en-US" w:eastAsia="zh-CN"/>
        </w:rPr>
        <w:t xml:space="preserve">  项目区土地利用现状图</w:t>
      </w:r>
    </w:p>
    <w:p w14:paraId="19EACB55">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rPr>
      </w:pPr>
      <w:r>
        <w:rPr>
          <w:rFonts w:hint="eastAsia" w:ascii="Times New Roman" w:hAnsi="Times New Roman" w:eastAsia="宋体" w:cs="Times New Roman"/>
          <w:caps w:val="0"/>
          <w:color w:val="auto"/>
          <w:sz w:val="24"/>
          <w:szCs w:val="24"/>
          <w:highlight w:val="none"/>
          <w:lang w:val="en-US" w:eastAsia="zh-CN"/>
        </w:rPr>
        <w:t>附图</w:t>
      </w:r>
      <w:r>
        <w:rPr>
          <w:rFonts w:hint="eastAsia" w:cs="Times New Roman"/>
          <w:caps w:val="0"/>
          <w:color w:val="auto"/>
          <w:sz w:val="24"/>
          <w:szCs w:val="24"/>
          <w:highlight w:val="none"/>
          <w:lang w:val="en-US" w:eastAsia="zh-CN"/>
        </w:rPr>
        <w:t>11</w:t>
      </w:r>
      <w:r>
        <w:rPr>
          <w:rFonts w:hint="eastAsia" w:ascii="Times New Roman" w:hAnsi="Times New Roman" w:eastAsia="宋体" w:cs="Times New Roman"/>
          <w:caps w:val="0"/>
          <w:color w:val="auto"/>
          <w:sz w:val="24"/>
          <w:szCs w:val="24"/>
          <w:highlight w:val="none"/>
          <w:lang w:val="en-US" w:eastAsia="zh-CN"/>
        </w:rPr>
        <w:t xml:space="preserve">  项目区植被类型图</w:t>
      </w:r>
    </w:p>
    <w:p w14:paraId="1615BE0E">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rPr>
      </w:pPr>
      <w:r>
        <w:rPr>
          <w:rFonts w:hint="eastAsia" w:ascii="Times New Roman" w:hAnsi="Times New Roman" w:eastAsia="宋体" w:cs="Times New Roman"/>
          <w:caps w:val="0"/>
          <w:color w:val="auto"/>
          <w:sz w:val="24"/>
          <w:szCs w:val="24"/>
          <w:highlight w:val="none"/>
          <w:lang w:val="en-US" w:eastAsia="zh-CN"/>
        </w:rPr>
        <w:t>附图</w:t>
      </w:r>
      <w:r>
        <w:rPr>
          <w:rFonts w:hint="eastAsia" w:cs="Times New Roman"/>
          <w:caps w:val="0"/>
          <w:color w:val="auto"/>
          <w:sz w:val="24"/>
          <w:szCs w:val="24"/>
          <w:highlight w:val="none"/>
          <w:lang w:val="en-US" w:eastAsia="zh-CN"/>
        </w:rPr>
        <w:t>12</w:t>
      </w:r>
      <w:r>
        <w:rPr>
          <w:rFonts w:hint="eastAsia" w:ascii="Times New Roman" w:hAnsi="Times New Roman" w:eastAsia="宋体" w:cs="Times New Roman"/>
          <w:caps w:val="0"/>
          <w:color w:val="auto"/>
          <w:sz w:val="24"/>
          <w:szCs w:val="24"/>
          <w:highlight w:val="none"/>
          <w:lang w:val="en-US" w:eastAsia="zh-CN"/>
        </w:rPr>
        <w:t xml:space="preserve">  新疆第六次沙化监测：沙化土地类型分布图</w:t>
      </w:r>
    </w:p>
    <w:p w14:paraId="256A9669">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rPr>
      </w:pPr>
      <w:r>
        <w:rPr>
          <w:rFonts w:hint="eastAsia" w:ascii="Times New Roman" w:hAnsi="Times New Roman" w:eastAsia="宋体" w:cs="Times New Roman"/>
          <w:caps w:val="0"/>
          <w:color w:val="auto"/>
          <w:sz w:val="24"/>
          <w:szCs w:val="24"/>
          <w:highlight w:val="none"/>
        </w:rPr>
        <w:t>附图</w:t>
      </w:r>
      <w:r>
        <w:rPr>
          <w:rFonts w:hint="eastAsia" w:cs="Times New Roman"/>
          <w:caps w:val="0"/>
          <w:color w:val="auto"/>
          <w:sz w:val="24"/>
          <w:szCs w:val="24"/>
          <w:highlight w:val="none"/>
          <w:lang w:val="en-US" w:eastAsia="zh-CN"/>
        </w:rPr>
        <w:t>13</w:t>
      </w:r>
      <w:r>
        <w:rPr>
          <w:rFonts w:hint="eastAsia" w:ascii="Times New Roman" w:hAnsi="Times New Roman" w:eastAsia="宋体" w:cs="Times New Roman"/>
          <w:caps w:val="0"/>
          <w:color w:val="auto"/>
          <w:sz w:val="24"/>
          <w:szCs w:val="24"/>
          <w:highlight w:val="none"/>
          <w:lang w:val="en-US" w:eastAsia="zh-CN"/>
        </w:rPr>
        <w:t xml:space="preserve">  项目环境空气现状监测点位分布图</w:t>
      </w:r>
    </w:p>
    <w:p w14:paraId="51C51644">
      <w:pPr>
        <w:pStyle w:val="20"/>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Times New Roman" w:hAnsi="Times New Roman" w:eastAsia="宋体"/>
          <w:b/>
          <w:caps w:val="0"/>
          <w:color w:val="auto"/>
          <w:sz w:val="24"/>
          <w:szCs w:val="24"/>
          <w:highlight w:val="none"/>
        </w:rPr>
      </w:pPr>
    </w:p>
    <w:p w14:paraId="1C69ED8D">
      <w:pPr>
        <w:pStyle w:val="20"/>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Times New Roman" w:hAnsi="Times New Roman" w:eastAsia="宋体"/>
          <w:b/>
          <w:caps w:val="0"/>
          <w:color w:val="auto"/>
          <w:sz w:val="24"/>
          <w:szCs w:val="24"/>
          <w:highlight w:val="none"/>
        </w:rPr>
      </w:pPr>
      <w:r>
        <w:rPr>
          <w:rFonts w:hint="eastAsia" w:ascii="Times New Roman" w:hAnsi="Times New Roman" w:eastAsia="宋体"/>
          <w:b/>
          <w:caps w:val="0"/>
          <w:color w:val="auto"/>
          <w:sz w:val="24"/>
          <w:szCs w:val="24"/>
          <w:highlight w:val="none"/>
        </w:rPr>
        <w:t>附件</w:t>
      </w:r>
    </w:p>
    <w:p w14:paraId="53F6399B">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附件1  项目环评委托书</w:t>
      </w:r>
    </w:p>
    <w:p w14:paraId="4D0E8224">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附件2  《关于对&lt;阜康西沙沟煤田火区详细勘查报告&gt;的批复》（昌州应急</w:t>
      </w:r>
      <w:r>
        <w:rPr>
          <w:rFonts w:hint="default" w:ascii="Times New Roman" w:hAnsi="Times New Roman" w:eastAsia="宋体" w:cs="Times New Roman"/>
          <w:caps w:val="0"/>
          <w:color w:val="auto"/>
          <w:sz w:val="24"/>
          <w:szCs w:val="24"/>
          <w:highlight w:val="none"/>
          <w:lang w:val="en-US" w:eastAsia="zh-CN"/>
        </w:rPr>
        <w:t>〔</w:t>
      </w:r>
      <w:r>
        <w:rPr>
          <w:rFonts w:hint="eastAsia" w:ascii="Times New Roman" w:hAnsi="Times New Roman" w:eastAsia="宋体" w:cs="Times New Roman"/>
          <w:caps w:val="0"/>
          <w:color w:val="auto"/>
          <w:sz w:val="24"/>
          <w:szCs w:val="24"/>
          <w:highlight w:val="none"/>
          <w:lang w:val="en-US" w:eastAsia="zh-CN"/>
        </w:rPr>
        <w:t>2025</w:t>
      </w:r>
      <w:r>
        <w:rPr>
          <w:rFonts w:hint="default" w:ascii="Times New Roman" w:hAnsi="Times New Roman" w:eastAsia="宋体" w:cs="Times New Roman"/>
          <w:caps w:val="0"/>
          <w:color w:val="auto"/>
          <w:sz w:val="24"/>
          <w:szCs w:val="24"/>
          <w:highlight w:val="none"/>
          <w:lang w:val="en-US" w:eastAsia="zh-CN"/>
        </w:rPr>
        <w:t>〕</w:t>
      </w:r>
      <w:r>
        <w:rPr>
          <w:rFonts w:hint="eastAsia" w:ascii="Times New Roman" w:hAnsi="Times New Roman" w:eastAsia="宋体" w:cs="Times New Roman"/>
          <w:caps w:val="0"/>
          <w:color w:val="auto"/>
          <w:sz w:val="24"/>
          <w:szCs w:val="24"/>
          <w:highlight w:val="none"/>
          <w:lang w:val="en-US" w:eastAsia="zh-CN"/>
        </w:rPr>
        <w:t>4</w:t>
      </w:r>
      <w:r>
        <w:rPr>
          <w:rFonts w:hint="default" w:ascii="Times New Roman" w:hAnsi="Times New Roman" w:eastAsia="宋体" w:cs="Times New Roman"/>
          <w:caps w:val="0"/>
          <w:color w:val="auto"/>
          <w:sz w:val="24"/>
          <w:szCs w:val="24"/>
          <w:highlight w:val="none"/>
          <w:lang w:val="en-US" w:eastAsia="zh-CN"/>
        </w:rPr>
        <w:t>号</w:t>
      </w:r>
      <w:r>
        <w:rPr>
          <w:rFonts w:hint="eastAsia" w:ascii="Times New Roman" w:hAnsi="Times New Roman" w:eastAsia="宋体" w:cs="Times New Roman"/>
          <w:caps w:val="0"/>
          <w:color w:val="auto"/>
          <w:sz w:val="24"/>
          <w:szCs w:val="24"/>
          <w:highlight w:val="none"/>
          <w:lang w:val="en-US" w:eastAsia="zh-CN"/>
        </w:rPr>
        <w:t>）</w:t>
      </w:r>
    </w:p>
    <w:p w14:paraId="1B92CA4D">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附件3  项目初步设计批复</w:t>
      </w:r>
    </w:p>
    <w:p w14:paraId="7523572F">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附件4  《国家发展改革委关于新疆煤田火区治理规划（修改）（2016-2025年）的复函》（发改能源</w:t>
      </w:r>
      <w:r>
        <w:rPr>
          <w:rFonts w:hint="default" w:ascii="Times New Roman" w:hAnsi="Times New Roman" w:eastAsia="宋体" w:cs="Times New Roman"/>
          <w:caps w:val="0"/>
          <w:color w:val="auto"/>
          <w:sz w:val="24"/>
          <w:szCs w:val="24"/>
          <w:highlight w:val="none"/>
          <w:lang w:val="en-US" w:eastAsia="zh-CN"/>
        </w:rPr>
        <w:t>〔20</w:t>
      </w:r>
      <w:r>
        <w:rPr>
          <w:rFonts w:hint="eastAsia" w:ascii="Times New Roman" w:hAnsi="Times New Roman" w:eastAsia="宋体" w:cs="Times New Roman"/>
          <w:caps w:val="0"/>
          <w:color w:val="auto"/>
          <w:sz w:val="24"/>
          <w:szCs w:val="24"/>
          <w:highlight w:val="none"/>
          <w:lang w:val="en-US" w:eastAsia="zh-CN"/>
        </w:rPr>
        <w:t>16</w:t>
      </w:r>
      <w:r>
        <w:rPr>
          <w:rFonts w:hint="default" w:ascii="Times New Roman" w:hAnsi="Times New Roman" w:eastAsia="宋体" w:cs="Times New Roman"/>
          <w:caps w:val="0"/>
          <w:color w:val="auto"/>
          <w:sz w:val="24"/>
          <w:szCs w:val="24"/>
          <w:highlight w:val="none"/>
          <w:lang w:val="en-US" w:eastAsia="zh-CN"/>
        </w:rPr>
        <w:t>〕</w:t>
      </w:r>
      <w:r>
        <w:rPr>
          <w:rFonts w:hint="eastAsia" w:ascii="Times New Roman" w:hAnsi="Times New Roman" w:eastAsia="宋体" w:cs="Times New Roman"/>
          <w:caps w:val="0"/>
          <w:color w:val="auto"/>
          <w:sz w:val="24"/>
          <w:szCs w:val="24"/>
          <w:highlight w:val="none"/>
          <w:lang w:val="en-US" w:eastAsia="zh-CN"/>
        </w:rPr>
        <w:t>1459</w:t>
      </w:r>
      <w:r>
        <w:rPr>
          <w:rFonts w:hint="default" w:ascii="Times New Roman" w:hAnsi="Times New Roman" w:eastAsia="宋体" w:cs="Times New Roman"/>
          <w:caps w:val="0"/>
          <w:color w:val="auto"/>
          <w:sz w:val="24"/>
          <w:szCs w:val="24"/>
          <w:highlight w:val="none"/>
          <w:lang w:val="en-US" w:eastAsia="zh-CN"/>
        </w:rPr>
        <w:t>号</w:t>
      </w:r>
      <w:r>
        <w:rPr>
          <w:rFonts w:hint="eastAsia" w:ascii="Times New Roman" w:hAnsi="Times New Roman" w:eastAsia="宋体" w:cs="Times New Roman"/>
          <w:caps w:val="0"/>
          <w:color w:val="auto"/>
          <w:sz w:val="24"/>
          <w:szCs w:val="24"/>
          <w:highlight w:val="none"/>
          <w:lang w:val="en-US" w:eastAsia="zh-CN"/>
        </w:rPr>
        <w:t>）</w:t>
      </w:r>
    </w:p>
    <w:p w14:paraId="7DD6AA30">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附件5  《关于印发新疆维吾尔自治区煤田灭火工作实施方案的通知》（新政办发</w:t>
      </w:r>
      <w:r>
        <w:rPr>
          <w:rFonts w:hint="default" w:ascii="Times New Roman" w:hAnsi="Times New Roman" w:eastAsia="宋体" w:cs="Times New Roman"/>
          <w:caps w:val="0"/>
          <w:color w:val="auto"/>
          <w:sz w:val="24"/>
          <w:szCs w:val="24"/>
          <w:highlight w:val="none"/>
          <w:lang w:val="en-US" w:eastAsia="zh-CN"/>
        </w:rPr>
        <w:t>〔</w:t>
      </w:r>
      <w:r>
        <w:rPr>
          <w:rFonts w:hint="eastAsia" w:ascii="Times New Roman" w:hAnsi="Times New Roman" w:eastAsia="宋体" w:cs="Times New Roman"/>
          <w:caps w:val="0"/>
          <w:color w:val="auto"/>
          <w:sz w:val="24"/>
          <w:szCs w:val="24"/>
          <w:highlight w:val="none"/>
          <w:lang w:val="en-US" w:eastAsia="zh-CN"/>
        </w:rPr>
        <w:t>2022</w:t>
      </w:r>
      <w:r>
        <w:rPr>
          <w:rFonts w:hint="default" w:ascii="Times New Roman" w:hAnsi="Times New Roman" w:eastAsia="宋体" w:cs="Times New Roman"/>
          <w:caps w:val="0"/>
          <w:color w:val="auto"/>
          <w:sz w:val="24"/>
          <w:szCs w:val="24"/>
          <w:highlight w:val="none"/>
          <w:lang w:val="en-US" w:eastAsia="zh-CN"/>
        </w:rPr>
        <w:t>〕</w:t>
      </w:r>
      <w:r>
        <w:rPr>
          <w:rFonts w:hint="eastAsia" w:ascii="Times New Roman" w:hAnsi="Times New Roman" w:eastAsia="宋体" w:cs="Times New Roman"/>
          <w:caps w:val="0"/>
          <w:color w:val="auto"/>
          <w:sz w:val="24"/>
          <w:szCs w:val="24"/>
          <w:highlight w:val="none"/>
          <w:lang w:val="en-US" w:eastAsia="zh-CN"/>
        </w:rPr>
        <w:t>54</w:t>
      </w:r>
      <w:r>
        <w:rPr>
          <w:rFonts w:hint="default" w:ascii="Times New Roman" w:hAnsi="Times New Roman" w:eastAsia="宋体" w:cs="Times New Roman"/>
          <w:caps w:val="0"/>
          <w:color w:val="auto"/>
          <w:sz w:val="24"/>
          <w:szCs w:val="24"/>
          <w:highlight w:val="none"/>
          <w:lang w:val="en-US" w:eastAsia="zh-CN"/>
        </w:rPr>
        <w:t>号</w:t>
      </w:r>
      <w:r>
        <w:rPr>
          <w:rFonts w:hint="eastAsia" w:ascii="Times New Roman" w:hAnsi="Times New Roman" w:eastAsia="宋体" w:cs="Times New Roman"/>
          <w:caps w:val="0"/>
          <w:color w:val="auto"/>
          <w:sz w:val="24"/>
          <w:szCs w:val="24"/>
          <w:highlight w:val="none"/>
          <w:lang w:val="en-US" w:eastAsia="zh-CN"/>
        </w:rPr>
        <w:t>）</w:t>
      </w:r>
    </w:p>
    <w:p w14:paraId="24185543">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附件6  《新疆维吾尔自治区人民政府办公厅关于&lt;新疆维吾尔自治区煤田灭火工作实施方案&gt;的补充通知》（新政办发</w:t>
      </w:r>
      <w:r>
        <w:rPr>
          <w:rFonts w:hint="default" w:ascii="Times New Roman" w:hAnsi="Times New Roman" w:eastAsia="宋体" w:cs="Times New Roman"/>
          <w:caps w:val="0"/>
          <w:color w:val="auto"/>
          <w:sz w:val="24"/>
          <w:szCs w:val="24"/>
          <w:highlight w:val="none"/>
          <w:lang w:val="en-US" w:eastAsia="zh-CN"/>
        </w:rPr>
        <w:t>〔</w:t>
      </w:r>
      <w:r>
        <w:rPr>
          <w:rFonts w:hint="eastAsia" w:ascii="Times New Roman" w:hAnsi="Times New Roman" w:eastAsia="宋体" w:cs="Times New Roman"/>
          <w:caps w:val="0"/>
          <w:color w:val="auto"/>
          <w:sz w:val="24"/>
          <w:szCs w:val="24"/>
          <w:highlight w:val="none"/>
          <w:lang w:val="en-US" w:eastAsia="zh-CN"/>
        </w:rPr>
        <w:t>2024</w:t>
      </w:r>
      <w:r>
        <w:rPr>
          <w:rFonts w:hint="default" w:ascii="Times New Roman" w:hAnsi="Times New Roman" w:eastAsia="宋体" w:cs="Times New Roman"/>
          <w:caps w:val="0"/>
          <w:color w:val="auto"/>
          <w:sz w:val="24"/>
          <w:szCs w:val="24"/>
          <w:highlight w:val="none"/>
          <w:lang w:val="en-US" w:eastAsia="zh-CN"/>
        </w:rPr>
        <w:t>〕</w:t>
      </w:r>
      <w:r>
        <w:rPr>
          <w:rFonts w:hint="eastAsia" w:ascii="Times New Roman" w:hAnsi="Times New Roman" w:eastAsia="宋体" w:cs="Times New Roman"/>
          <w:caps w:val="0"/>
          <w:color w:val="auto"/>
          <w:sz w:val="24"/>
          <w:szCs w:val="24"/>
          <w:highlight w:val="none"/>
          <w:lang w:val="en-US" w:eastAsia="zh-CN"/>
        </w:rPr>
        <w:t>17</w:t>
      </w:r>
      <w:r>
        <w:rPr>
          <w:rFonts w:hint="default" w:ascii="Times New Roman" w:hAnsi="Times New Roman" w:eastAsia="宋体" w:cs="Times New Roman"/>
          <w:caps w:val="0"/>
          <w:color w:val="auto"/>
          <w:sz w:val="24"/>
          <w:szCs w:val="24"/>
          <w:highlight w:val="none"/>
          <w:lang w:val="en-US" w:eastAsia="zh-CN"/>
        </w:rPr>
        <w:t>号</w:t>
      </w:r>
      <w:r>
        <w:rPr>
          <w:rFonts w:hint="eastAsia" w:ascii="Times New Roman" w:hAnsi="Times New Roman" w:eastAsia="宋体" w:cs="Times New Roman"/>
          <w:caps w:val="0"/>
          <w:color w:val="auto"/>
          <w:sz w:val="24"/>
          <w:szCs w:val="24"/>
          <w:highlight w:val="none"/>
          <w:lang w:val="en-US" w:eastAsia="zh-CN"/>
        </w:rPr>
        <w:t>）</w:t>
      </w:r>
    </w:p>
    <w:p w14:paraId="08ACC48E">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附件7  《昌吉回族自治州人民政府办公室关于印发&lt;昌吉州煤田灭火工作实施方案&gt;的通知》（昌州政办发</w:t>
      </w:r>
      <w:r>
        <w:rPr>
          <w:rFonts w:hint="default" w:ascii="Times New Roman" w:hAnsi="Times New Roman" w:eastAsia="宋体" w:cs="Times New Roman"/>
          <w:caps w:val="0"/>
          <w:color w:val="auto"/>
          <w:sz w:val="24"/>
          <w:szCs w:val="24"/>
          <w:highlight w:val="none"/>
          <w:lang w:val="en-US" w:eastAsia="zh-CN"/>
        </w:rPr>
        <w:t>〔</w:t>
      </w:r>
      <w:r>
        <w:rPr>
          <w:rFonts w:hint="eastAsia" w:ascii="Times New Roman" w:hAnsi="Times New Roman" w:eastAsia="宋体" w:cs="Times New Roman"/>
          <w:caps w:val="0"/>
          <w:color w:val="auto"/>
          <w:sz w:val="24"/>
          <w:szCs w:val="24"/>
          <w:highlight w:val="none"/>
          <w:lang w:val="en-US" w:eastAsia="zh-CN"/>
        </w:rPr>
        <w:t>2024</w:t>
      </w:r>
      <w:r>
        <w:rPr>
          <w:rFonts w:hint="default" w:ascii="Times New Roman" w:hAnsi="Times New Roman" w:eastAsia="宋体" w:cs="Times New Roman"/>
          <w:caps w:val="0"/>
          <w:color w:val="auto"/>
          <w:sz w:val="24"/>
          <w:szCs w:val="24"/>
          <w:highlight w:val="none"/>
          <w:lang w:val="en-US" w:eastAsia="zh-CN"/>
        </w:rPr>
        <w:t>〕</w:t>
      </w:r>
      <w:r>
        <w:rPr>
          <w:rFonts w:hint="eastAsia" w:ascii="Times New Roman" w:hAnsi="Times New Roman" w:eastAsia="宋体" w:cs="Times New Roman"/>
          <w:caps w:val="0"/>
          <w:color w:val="auto"/>
          <w:sz w:val="24"/>
          <w:szCs w:val="24"/>
          <w:highlight w:val="none"/>
          <w:lang w:val="en-US" w:eastAsia="zh-CN"/>
        </w:rPr>
        <w:t>15</w:t>
      </w:r>
      <w:r>
        <w:rPr>
          <w:rFonts w:hint="default" w:ascii="Times New Roman" w:hAnsi="Times New Roman" w:eastAsia="宋体" w:cs="Times New Roman"/>
          <w:caps w:val="0"/>
          <w:color w:val="auto"/>
          <w:sz w:val="24"/>
          <w:szCs w:val="24"/>
          <w:highlight w:val="none"/>
          <w:lang w:val="en-US" w:eastAsia="zh-CN"/>
        </w:rPr>
        <w:t>号</w:t>
      </w:r>
      <w:r>
        <w:rPr>
          <w:rFonts w:hint="eastAsia" w:ascii="Times New Roman" w:hAnsi="Times New Roman" w:eastAsia="宋体" w:cs="Times New Roman"/>
          <w:caps w:val="0"/>
          <w:color w:val="auto"/>
          <w:sz w:val="24"/>
          <w:szCs w:val="24"/>
          <w:highlight w:val="none"/>
          <w:lang w:val="en-US" w:eastAsia="zh-CN"/>
        </w:rPr>
        <w:t>）</w:t>
      </w:r>
    </w:p>
    <w:p w14:paraId="266067BD">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附件8 《关于新疆富城矿业投资有限公司阜康市康龙煤矿60万吨/年改扩建项目环境影响报告书的批复》（新环函</w:t>
      </w:r>
      <w:r>
        <w:rPr>
          <w:rFonts w:hint="default" w:ascii="Times New Roman" w:hAnsi="Times New Roman" w:eastAsia="宋体" w:cs="Times New Roman"/>
          <w:caps w:val="0"/>
          <w:color w:val="auto"/>
          <w:sz w:val="24"/>
          <w:szCs w:val="24"/>
          <w:highlight w:val="none"/>
          <w:lang w:val="en-US" w:eastAsia="zh-CN"/>
        </w:rPr>
        <w:t>〔20</w:t>
      </w:r>
      <w:r>
        <w:rPr>
          <w:rFonts w:hint="eastAsia" w:ascii="Times New Roman" w:hAnsi="Times New Roman" w:eastAsia="宋体" w:cs="Times New Roman"/>
          <w:caps w:val="0"/>
          <w:color w:val="auto"/>
          <w:sz w:val="24"/>
          <w:szCs w:val="24"/>
          <w:highlight w:val="none"/>
          <w:lang w:val="en-US" w:eastAsia="zh-CN"/>
        </w:rPr>
        <w:t>14</w:t>
      </w:r>
      <w:r>
        <w:rPr>
          <w:rFonts w:hint="default" w:ascii="Times New Roman" w:hAnsi="Times New Roman" w:eastAsia="宋体" w:cs="Times New Roman"/>
          <w:caps w:val="0"/>
          <w:color w:val="auto"/>
          <w:sz w:val="24"/>
          <w:szCs w:val="24"/>
          <w:highlight w:val="none"/>
          <w:lang w:val="en-US" w:eastAsia="zh-CN"/>
        </w:rPr>
        <w:t>〕</w:t>
      </w:r>
      <w:r>
        <w:rPr>
          <w:rFonts w:hint="eastAsia" w:ascii="Times New Roman" w:hAnsi="Times New Roman" w:eastAsia="宋体" w:cs="Times New Roman"/>
          <w:caps w:val="0"/>
          <w:color w:val="auto"/>
          <w:sz w:val="24"/>
          <w:szCs w:val="24"/>
          <w:highlight w:val="none"/>
          <w:lang w:val="en-US" w:eastAsia="zh-CN"/>
        </w:rPr>
        <w:t>143</w:t>
      </w:r>
      <w:r>
        <w:rPr>
          <w:rFonts w:hint="default" w:ascii="Times New Roman" w:hAnsi="Times New Roman" w:eastAsia="宋体" w:cs="Times New Roman"/>
          <w:caps w:val="0"/>
          <w:color w:val="auto"/>
          <w:sz w:val="24"/>
          <w:szCs w:val="24"/>
          <w:highlight w:val="none"/>
          <w:lang w:val="en-US" w:eastAsia="zh-CN"/>
        </w:rPr>
        <w:t>号</w:t>
      </w:r>
      <w:r>
        <w:rPr>
          <w:rFonts w:hint="eastAsia" w:ascii="Times New Roman" w:hAnsi="Times New Roman" w:eastAsia="宋体" w:cs="Times New Roman"/>
          <w:caps w:val="0"/>
          <w:color w:val="auto"/>
          <w:sz w:val="24"/>
          <w:szCs w:val="24"/>
          <w:highlight w:val="none"/>
          <w:lang w:val="en-US" w:eastAsia="zh-CN"/>
        </w:rPr>
        <w:t>）</w:t>
      </w:r>
    </w:p>
    <w:p w14:paraId="220B4CFD">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附件9  康龙煤矿采矿许可证</w:t>
      </w:r>
    </w:p>
    <w:p w14:paraId="3B4FEF0A">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附件10  环境空气质量现状监测数据</w:t>
      </w:r>
    </w:p>
    <w:p w14:paraId="577D1ABC">
      <w:pPr>
        <w:pStyle w:val="2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caps w:val="0"/>
          <w:color w:val="auto"/>
          <w:sz w:val="24"/>
          <w:szCs w:val="24"/>
          <w:highlight w:val="none"/>
        </w:rPr>
      </w:pPr>
      <w:r>
        <w:rPr>
          <w:rFonts w:hint="eastAsia" w:ascii="Times New Roman" w:hAnsi="Times New Roman" w:eastAsia="宋体" w:cs="Times New Roman"/>
          <w:caps w:val="0"/>
          <w:color w:val="auto"/>
          <w:sz w:val="24"/>
          <w:szCs w:val="24"/>
          <w:highlight w:val="none"/>
        </w:rPr>
        <w:br w:type="page"/>
      </w:r>
    </w:p>
    <w:p w14:paraId="33B8654A">
      <w:pPr>
        <w:pStyle w:val="23"/>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一、建设项目基本情况</w:t>
      </w:r>
      <w:bookmarkEnd w:id="2"/>
    </w:p>
    <w:tbl>
      <w:tblPr>
        <w:tblStyle w:val="26"/>
        <w:tblW w:w="507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68"/>
        <w:gridCol w:w="2799"/>
        <w:gridCol w:w="2133"/>
        <w:gridCol w:w="3001"/>
      </w:tblGrid>
      <w:tr w14:paraId="498D25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93" w:type="pct"/>
            <w:noWrap w:val="0"/>
            <w:tcMar>
              <w:top w:w="16" w:type="dxa"/>
              <w:left w:w="16" w:type="dxa"/>
              <w:right w:w="16" w:type="dxa"/>
            </w:tcMar>
            <w:vAlign w:val="center"/>
          </w:tcPr>
          <w:p w14:paraId="27E8346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rPr>
            </w:pPr>
            <w:r>
              <w:rPr>
                <w:rFonts w:hint="eastAsia" w:ascii="Times New Roman" w:hAnsi="Times New Roman" w:cs="宋体"/>
                <w:b/>
                <w:bCs/>
                <w:color w:val="auto"/>
                <w:sz w:val="24"/>
                <w:szCs w:val="24"/>
              </w:rPr>
              <w:t>建设项目名称</w:t>
            </w:r>
          </w:p>
        </w:tc>
        <w:tc>
          <w:tcPr>
            <w:tcW w:w="4406" w:type="pct"/>
            <w:gridSpan w:val="3"/>
            <w:noWrap w:val="0"/>
            <w:vAlign w:val="center"/>
          </w:tcPr>
          <w:p w14:paraId="700D6EB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宋体"/>
                <w:color w:val="auto"/>
                <w:sz w:val="24"/>
                <w:szCs w:val="24"/>
                <w:lang w:val="en-US" w:eastAsia="zh-CN"/>
              </w:rPr>
            </w:pPr>
            <w:r>
              <w:rPr>
                <w:rFonts w:hint="eastAsia" w:cs="宋体"/>
                <w:color w:val="auto"/>
                <w:sz w:val="24"/>
                <w:szCs w:val="24"/>
                <w:lang w:val="en-US" w:eastAsia="zh-CN"/>
              </w:rPr>
              <w:t>阜康西沙沟煤田火区灭火工程</w:t>
            </w:r>
          </w:p>
        </w:tc>
      </w:tr>
      <w:tr w14:paraId="2EE1F8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593" w:type="pct"/>
            <w:noWrap w:val="0"/>
            <w:tcMar>
              <w:top w:w="16" w:type="dxa"/>
              <w:left w:w="16" w:type="dxa"/>
              <w:right w:w="16" w:type="dxa"/>
            </w:tcMar>
            <w:vAlign w:val="center"/>
          </w:tcPr>
          <w:p w14:paraId="06F1B298">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宋体"/>
                <w:b/>
                <w:bCs/>
                <w:color w:val="auto"/>
                <w:sz w:val="24"/>
                <w:szCs w:val="24"/>
              </w:rPr>
            </w:pPr>
            <w:r>
              <w:rPr>
                <w:rFonts w:hint="eastAsia" w:ascii="Times New Roman" w:hAnsi="Times New Roman" w:cs="宋体"/>
                <w:b/>
                <w:bCs/>
                <w:color w:val="auto"/>
                <w:sz w:val="24"/>
                <w:szCs w:val="24"/>
              </w:rPr>
              <w:t>项目代码</w:t>
            </w:r>
          </w:p>
        </w:tc>
        <w:tc>
          <w:tcPr>
            <w:tcW w:w="4406" w:type="pct"/>
            <w:gridSpan w:val="3"/>
            <w:noWrap w:val="0"/>
            <w:vAlign w:val="center"/>
          </w:tcPr>
          <w:p w14:paraId="5AB13F2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宋体"/>
                <w:color w:val="auto"/>
                <w:sz w:val="24"/>
                <w:szCs w:val="24"/>
                <w:lang w:val="en-US" w:eastAsia="zh-CN"/>
              </w:rPr>
            </w:pPr>
            <w:r>
              <w:rPr>
                <w:rFonts w:hint="eastAsia" w:cs="宋体"/>
                <w:color w:val="auto"/>
                <w:sz w:val="24"/>
                <w:szCs w:val="24"/>
                <w:lang w:val="en-US" w:eastAsia="zh-CN"/>
              </w:rPr>
              <w:t>无</w:t>
            </w:r>
          </w:p>
        </w:tc>
      </w:tr>
      <w:tr w14:paraId="7AA329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593" w:type="pct"/>
            <w:noWrap w:val="0"/>
            <w:tcMar>
              <w:top w:w="16" w:type="dxa"/>
              <w:left w:w="16" w:type="dxa"/>
              <w:right w:w="16" w:type="dxa"/>
            </w:tcMar>
            <w:vAlign w:val="center"/>
          </w:tcPr>
          <w:p w14:paraId="1F355CD5">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宋体"/>
                <w:b/>
                <w:bCs/>
                <w:color w:val="auto"/>
                <w:sz w:val="24"/>
                <w:szCs w:val="24"/>
                <w:highlight w:val="none"/>
              </w:rPr>
            </w:pPr>
            <w:r>
              <w:rPr>
                <w:rFonts w:hint="eastAsia" w:ascii="Times New Roman" w:hAnsi="Times New Roman" w:cs="宋体"/>
                <w:b/>
                <w:bCs/>
                <w:color w:val="auto"/>
                <w:sz w:val="24"/>
                <w:szCs w:val="24"/>
                <w:highlight w:val="none"/>
              </w:rPr>
              <w:t>建设单位联系人</w:t>
            </w:r>
          </w:p>
        </w:tc>
        <w:tc>
          <w:tcPr>
            <w:tcW w:w="1554" w:type="pct"/>
            <w:noWrap w:val="0"/>
            <w:vAlign w:val="center"/>
          </w:tcPr>
          <w:p w14:paraId="52E915E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宋体"/>
                <w:color w:val="auto"/>
                <w:sz w:val="24"/>
                <w:szCs w:val="24"/>
                <w:highlight w:val="none"/>
                <w:lang w:val="en-US" w:eastAsia="zh-CN"/>
              </w:rPr>
            </w:pPr>
          </w:p>
        </w:tc>
        <w:tc>
          <w:tcPr>
            <w:tcW w:w="1185" w:type="pct"/>
            <w:noWrap w:val="0"/>
            <w:vAlign w:val="center"/>
          </w:tcPr>
          <w:p w14:paraId="7C0DAC6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b/>
                <w:bCs/>
                <w:color w:val="auto"/>
                <w:sz w:val="24"/>
                <w:szCs w:val="24"/>
                <w:highlight w:val="none"/>
                <w:u w:val="none"/>
                <w:lang w:val="en-US" w:eastAsia="zh-CN"/>
              </w:rPr>
              <w:t>联系方式</w:t>
            </w:r>
          </w:p>
        </w:tc>
        <w:tc>
          <w:tcPr>
            <w:tcW w:w="1666" w:type="pct"/>
            <w:noWrap w:val="0"/>
            <w:vAlign w:val="center"/>
          </w:tcPr>
          <w:p w14:paraId="05E9459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u w:val="none"/>
                <w:lang w:val="en-US" w:eastAsia="zh-CN"/>
              </w:rPr>
            </w:pPr>
          </w:p>
        </w:tc>
      </w:tr>
      <w:tr w14:paraId="1A6BD2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593" w:type="pct"/>
            <w:noWrap w:val="0"/>
            <w:tcMar>
              <w:top w:w="16" w:type="dxa"/>
              <w:left w:w="16" w:type="dxa"/>
              <w:right w:w="16" w:type="dxa"/>
            </w:tcMar>
            <w:vAlign w:val="center"/>
          </w:tcPr>
          <w:p w14:paraId="156ABE60">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宋体"/>
                <w:b/>
                <w:bCs/>
                <w:color w:val="auto"/>
                <w:sz w:val="24"/>
                <w:szCs w:val="24"/>
              </w:rPr>
            </w:pPr>
            <w:r>
              <w:rPr>
                <w:rFonts w:hint="eastAsia" w:ascii="Times New Roman" w:hAnsi="Times New Roman" w:cs="宋体"/>
                <w:b/>
                <w:bCs/>
                <w:color w:val="auto"/>
                <w:sz w:val="24"/>
                <w:szCs w:val="24"/>
              </w:rPr>
              <w:t>建设地点</w:t>
            </w:r>
          </w:p>
        </w:tc>
        <w:tc>
          <w:tcPr>
            <w:tcW w:w="4406" w:type="pct"/>
            <w:gridSpan w:val="3"/>
            <w:noWrap w:val="0"/>
            <w:vAlign w:val="center"/>
          </w:tcPr>
          <w:p w14:paraId="01F4BD0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宋体"/>
                <w:color w:val="auto"/>
                <w:sz w:val="24"/>
                <w:szCs w:val="24"/>
                <w:lang w:val="en-US" w:eastAsia="zh-CN"/>
              </w:rPr>
            </w:pPr>
          </w:p>
        </w:tc>
      </w:tr>
      <w:tr w14:paraId="3E1DA8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593" w:type="pct"/>
            <w:noWrap w:val="0"/>
            <w:tcMar>
              <w:top w:w="16" w:type="dxa"/>
              <w:left w:w="16" w:type="dxa"/>
              <w:right w:w="16" w:type="dxa"/>
            </w:tcMar>
            <w:vAlign w:val="center"/>
          </w:tcPr>
          <w:p w14:paraId="2E107BF3">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宋体"/>
                <w:b/>
                <w:bCs/>
                <w:color w:val="auto"/>
                <w:sz w:val="24"/>
                <w:szCs w:val="24"/>
                <w:highlight w:val="none"/>
              </w:rPr>
            </w:pPr>
            <w:r>
              <w:rPr>
                <w:rFonts w:hint="eastAsia" w:ascii="Times New Roman" w:hAnsi="Times New Roman" w:cs="宋体"/>
                <w:b/>
                <w:bCs/>
                <w:color w:val="auto"/>
                <w:sz w:val="24"/>
                <w:szCs w:val="24"/>
                <w:highlight w:val="none"/>
              </w:rPr>
              <w:t>地理坐标</w:t>
            </w:r>
          </w:p>
        </w:tc>
        <w:tc>
          <w:tcPr>
            <w:tcW w:w="4406" w:type="pct"/>
            <w:gridSpan w:val="3"/>
            <w:noWrap w:val="0"/>
            <w:vAlign w:val="center"/>
          </w:tcPr>
          <w:p w14:paraId="55B6A7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240" w:firstLineChars="100"/>
              <w:jc w:val="both"/>
              <w:textAlignment w:val="auto"/>
              <w:rPr>
                <w:rFonts w:hint="default" w:ascii="Times New Roman" w:hAnsi="Times New Roman" w:eastAsia="宋体" w:cs="Times New Roman"/>
                <w:color w:val="auto"/>
                <w:sz w:val="24"/>
                <w:szCs w:val="24"/>
                <w:highlight w:val="yellow"/>
                <w:lang w:val="en-US" w:eastAsia="zh-CN"/>
              </w:rPr>
            </w:pPr>
          </w:p>
        </w:tc>
      </w:tr>
      <w:tr w14:paraId="647F82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09" w:hRule="atLeast"/>
          <w:jc w:val="center"/>
        </w:trPr>
        <w:tc>
          <w:tcPr>
            <w:tcW w:w="593" w:type="pct"/>
            <w:noWrap w:val="0"/>
            <w:tcMar>
              <w:top w:w="16" w:type="dxa"/>
              <w:left w:w="16" w:type="dxa"/>
              <w:right w:w="16" w:type="dxa"/>
            </w:tcMar>
            <w:vAlign w:val="center"/>
          </w:tcPr>
          <w:p w14:paraId="3DA5D4E9">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宋体"/>
                <w:b/>
                <w:bCs/>
                <w:color w:val="auto"/>
                <w:sz w:val="24"/>
                <w:szCs w:val="24"/>
              </w:rPr>
            </w:pPr>
            <w:r>
              <w:rPr>
                <w:rFonts w:hint="eastAsia" w:ascii="Times New Roman" w:hAnsi="Times New Roman" w:cs="宋体"/>
                <w:b/>
                <w:bCs/>
                <w:color w:val="auto"/>
                <w:sz w:val="24"/>
                <w:szCs w:val="24"/>
              </w:rPr>
              <w:t>建设项目</w:t>
            </w:r>
          </w:p>
          <w:p w14:paraId="4AE09ECA">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宋体"/>
                <w:b/>
                <w:bCs/>
                <w:color w:val="auto"/>
                <w:sz w:val="24"/>
                <w:szCs w:val="24"/>
              </w:rPr>
            </w:pPr>
            <w:r>
              <w:rPr>
                <w:rFonts w:hint="eastAsia" w:ascii="Times New Roman" w:hAnsi="Times New Roman" w:cs="宋体"/>
                <w:b/>
                <w:bCs/>
                <w:color w:val="auto"/>
                <w:sz w:val="24"/>
                <w:szCs w:val="24"/>
              </w:rPr>
              <w:t>行业类别</w:t>
            </w:r>
          </w:p>
        </w:tc>
        <w:tc>
          <w:tcPr>
            <w:tcW w:w="1554" w:type="pct"/>
            <w:noWrap w:val="0"/>
            <w:vAlign w:val="center"/>
          </w:tcPr>
          <w:p w14:paraId="3B31332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宋体"/>
                <w:color w:val="auto"/>
                <w:sz w:val="24"/>
                <w:szCs w:val="24"/>
                <w:lang w:val="en-US" w:eastAsia="zh-CN"/>
              </w:rPr>
            </w:pPr>
            <w:r>
              <w:rPr>
                <w:rFonts w:hint="default" w:ascii="Times New Roman" w:hAnsi="Times New Roman" w:cs="宋体"/>
                <w:color w:val="auto"/>
                <w:sz w:val="24"/>
                <w:szCs w:val="24"/>
              </w:rPr>
              <w:t>四</w:t>
            </w:r>
            <w:r>
              <w:rPr>
                <w:rFonts w:hint="eastAsia" w:cs="宋体"/>
                <w:color w:val="auto"/>
                <w:sz w:val="24"/>
                <w:szCs w:val="24"/>
                <w:lang w:eastAsia="zh-CN"/>
              </w:rPr>
              <w:t>、</w:t>
            </w:r>
            <w:r>
              <w:rPr>
                <w:rFonts w:hint="eastAsia" w:cs="宋体"/>
                <w:color w:val="auto"/>
                <w:sz w:val="24"/>
                <w:szCs w:val="24"/>
                <w:lang w:val="en-US" w:eastAsia="zh-CN"/>
              </w:rPr>
              <w:t>煤炭开采和洗选业06—矿区修复治理工程（含煤矿火烧区治理工程）</w:t>
            </w:r>
          </w:p>
        </w:tc>
        <w:tc>
          <w:tcPr>
            <w:tcW w:w="1185" w:type="pct"/>
            <w:noWrap w:val="0"/>
            <w:vAlign w:val="center"/>
          </w:tcPr>
          <w:p w14:paraId="2CB7DFE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highlight w:val="none"/>
              </w:rPr>
            </w:pPr>
            <w:r>
              <w:rPr>
                <w:rFonts w:hint="eastAsia" w:ascii="Times New Roman" w:hAnsi="Times New Roman" w:cs="宋体"/>
                <w:b/>
                <w:bCs/>
                <w:color w:val="auto"/>
                <w:sz w:val="24"/>
                <w:szCs w:val="24"/>
                <w:highlight w:val="none"/>
              </w:rPr>
              <w:t>用地（用海）面积（m</w:t>
            </w:r>
            <w:r>
              <w:rPr>
                <w:rFonts w:hint="eastAsia" w:ascii="Times New Roman" w:hAnsi="Times New Roman" w:cs="宋体"/>
                <w:b/>
                <w:bCs/>
                <w:color w:val="auto"/>
                <w:sz w:val="24"/>
                <w:szCs w:val="24"/>
                <w:highlight w:val="none"/>
                <w:vertAlign w:val="superscript"/>
              </w:rPr>
              <w:t>2</w:t>
            </w:r>
            <w:r>
              <w:rPr>
                <w:rFonts w:hint="eastAsia" w:ascii="Times New Roman" w:hAnsi="Times New Roman" w:cs="宋体"/>
                <w:b/>
                <w:bCs/>
                <w:color w:val="auto"/>
                <w:sz w:val="24"/>
                <w:szCs w:val="24"/>
                <w:highlight w:val="none"/>
              </w:rPr>
              <w:t>）</w:t>
            </w:r>
            <w:r>
              <w:rPr>
                <w:rFonts w:hint="default" w:ascii="Times New Roman" w:hAnsi="Times New Roman" w:cs="宋体"/>
                <w:b/>
                <w:bCs/>
                <w:color w:val="auto"/>
                <w:sz w:val="24"/>
                <w:szCs w:val="24"/>
                <w:highlight w:val="none"/>
              </w:rPr>
              <w:t>/</w:t>
            </w:r>
            <w:r>
              <w:rPr>
                <w:rFonts w:hint="eastAsia" w:ascii="Times New Roman" w:hAnsi="Times New Roman" w:cs="宋体"/>
                <w:b/>
                <w:bCs/>
                <w:color w:val="auto"/>
                <w:sz w:val="24"/>
                <w:szCs w:val="24"/>
                <w:highlight w:val="none"/>
              </w:rPr>
              <w:t>长度（</w:t>
            </w:r>
            <w:r>
              <w:rPr>
                <w:rFonts w:hint="default" w:ascii="Times New Roman" w:hAnsi="Times New Roman" w:cs="宋体"/>
                <w:b/>
                <w:bCs/>
                <w:color w:val="auto"/>
                <w:sz w:val="24"/>
                <w:szCs w:val="24"/>
                <w:highlight w:val="none"/>
              </w:rPr>
              <w:t>km</w:t>
            </w:r>
            <w:r>
              <w:rPr>
                <w:rFonts w:hint="eastAsia" w:ascii="Times New Roman" w:hAnsi="Times New Roman" w:cs="宋体"/>
                <w:b/>
                <w:bCs/>
                <w:color w:val="auto"/>
                <w:sz w:val="24"/>
                <w:szCs w:val="24"/>
                <w:highlight w:val="none"/>
              </w:rPr>
              <w:t>）</w:t>
            </w:r>
          </w:p>
        </w:tc>
        <w:tc>
          <w:tcPr>
            <w:tcW w:w="1666" w:type="pct"/>
            <w:noWrap w:val="0"/>
            <w:vAlign w:val="center"/>
          </w:tcPr>
          <w:p w14:paraId="0B3AF53A">
            <w:pPr>
              <w:keepNext w:val="0"/>
              <w:keepLines w:val="0"/>
              <w:suppressLineNumbers w:val="0"/>
              <w:spacing w:before="0" w:beforeAutospacing="0" w:after="0" w:afterAutospacing="0"/>
              <w:ind w:left="0" w:right="0"/>
              <w:jc w:val="both"/>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总占地面积：84194m</w:t>
            </w:r>
            <w:r>
              <w:rPr>
                <w:rFonts w:hint="eastAsia" w:cs="Times New Roman"/>
                <w:color w:val="auto"/>
                <w:sz w:val="24"/>
                <w:szCs w:val="24"/>
                <w:highlight w:val="none"/>
                <w:vertAlign w:val="superscript"/>
                <w:lang w:val="en-US" w:eastAsia="zh-CN"/>
              </w:rPr>
              <w:t>2</w:t>
            </w:r>
          </w:p>
          <w:p w14:paraId="740B87A1">
            <w:pPr>
              <w:keepNext w:val="0"/>
              <w:keepLines w:val="0"/>
              <w:suppressLineNumbers w:val="0"/>
              <w:spacing w:before="0" w:beforeAutospacing="0" w:after="0" w:afterAutospacing="0"/>
              <w:ind w:left="0" w:right="0"/>
              <w:jc w:val="both"/>
              <w:rPr>
                <w:rFonts w:hint="eastAsia" w:cs="Times New Roman"/>
                <w:color w:val="auto"/>
                <w:sz w:val="24"/>
                <w:szCs w:val="24"/>
                <w:highlight w:val="none"/>
                <w:vertAlign w:val="superscript"/>
                <w:lang w:val="en-US" w:eastAsia="zh-CN"/>
              </w:rPr>
            </w:pPr>
            <w:r>
              <w:rPr>
                <w:rFonts w:hint="eastAsia" w:cs="Times New Roman"/>
                <w:color w:val="auto"/>
                <w:sz w:val="24"/>
                <w:szCs w:val="24"/>
                <w:highlight w:val="none"/>
                <w:lang w:val="en-US" w:eastAsia="zh-CN"/>
              </w:rPr>
              <w:t>其中，火区治理范围面积：</w:t>
            </w:r>
            <w:r>
              <w:rPr>
                <w:rFonts w:hint="eastAsia" w:cs="Times New Roman"/>
                <w:color w:val="auto"/>
                <w:spacing w:val="-1"/>
                <w:sz w:val="24"/>
                <w:szCs w:val="24"/>
                <w:highlight w:val="none"/>
                <w:lang w:val="en-US" w:eastAsia="zh-CN"/>
              </w:rPr>
              <w:t>66964</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2</w:t>
            </w:r>
          </w:p>
          <w:p w14:paraId="4F3A2DE9">
            <w:pPr>
              <w:keepNext w:val="0"/>
              <w:keepLines w:val="0"/>
              <w:suppressLineNumbers w:val="0"/>
              <w:spacing w:before="0" w:beforeAutospacing="0" w:after="0" w:afterAutospacing="0"/>
              <w:ind w:left="0" w:right="0"/>
              <w:jc w:val="both"/>
              <w:rPr>
                <w:rFonts w:hint="default" w:cs="Times New Roman"/>
                <w:color w:val="auto"/>
                <w:sz w:val="24"/>
                <w:szCs w:val="24"/>
                <w:highlight w:val="none"/>
                <w:vertAlign w:val="superscript"/>
                <w:lang w:val="en-US" w:eastAsia="zh-CN"/>
              </w:rPr>
            </w:pPr>
            <w:r>
              <w:rPr>
                <w:rFonts w:hint="eastAsia" w:cs="Times New Roman"/>
                <w:color w:val="auto"/>
                <w:sz w:val="24"/>
                <w:szCs w:val="24"/>
                <w:highlight w:val="none"/>
                <w:lang w:val="en-US" w:eastAsia="zh-CN"/>
              </w:rPr>
              <w:t>取土场面积：</w:t>
            </w:r>
            <w:r>
              <w:rPr>
                <w:rFonts w:hint="eastAsia" w:cs="Times New Roman"/>
                <w:color w:val="auto"/>
                <w:spacing w:val="-1"/>
                <w:sz w:val="24"/>
                <w:szCs w:val="24"/>
                <w:highlight w:val="none"/>
                <w:lang w:val="en-US" w:eastAsia="zh-CN"/>
              </w:rPr>
              <w:t>17230</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2</w:t>
            </w:r>
          </w:p>
        </w:tc>
      </w:tr>
      <w:tr w14:paraId="0C387C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93" w:type="pct"/>
            <w:noWrap w:val="0"/>
            <w:tcMar>
              <w:top w:w="16" w:type="dxa"/>
              <w:left w:w="16" w:type="dxa"/>
              <w:right w:w="16" w:type="dxa"/>
            </w:tcMar>
            <w:vAlign w:val="center"/>
          </w:tcPr>
          <w:p w14:paraId="4B75D617">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宋体"/>
                <w:b/>
                <w:bCs/>
                <w:color w:val="auto"/>
                <w:sz w:val="24"/>
                <w:szCs w:val="24"/>
              </w:rPr>
            </w:pPr>
            <w:r>
              <w:rPr>
                <w:rFonts w:hint="eastAsia" w:ascii="Times New Roman" w:hAnsi="Times New Roman" w:cs="宋体"/>
                <w:b/>
                <w:bCs/>
                <w:color w:val="auto"/>
                <w:sz w:val="24"/>
                <w:szCs w:val="24"/>
              </w:rPr>
              <w:t>建设性质</w:t>
            </w:r>
          </w:p>
        </w:tc>
        <w:tc>
          <w:tcPr>
            <w:tcW w:w="1554" w:type="pct"/>
            <w:noWrap w:val="0"/>
            <w:vAlign w:val="center"/>
          </w:tcPr>
          <w:p w14:paraId="49D793C7">
            <w:pPr>
              <w:keepNext w:val="0"/>
              <w:keepLines w:val="0"/>
              <w:suppressLineNumbers w:val="0"/>
              <w:adjustRightInd w:val="0"/>
              <w:snapToGrid w:val="0"/>
              <w:spacing w:before="0" w:beforeAutospacing="0" w:after="0" w:afterAutospacing="0"/>
              <w:ind w:left="0" w:right="0"/>
              <w:jc w:val="left"/>
              <w:rPr>
                <w:rFonts w:hint="default" w:ascii="Times New Roman" w:hAnsi="Times New Roman" w:cs="宋体"/>
                <w:color w:val="auto"/>
                <w:sz w:val="24"/>
                <w:szCs w:val="24"/>
              </w:rPr>
            </w:pPr>
            <w:r>
              <w:rPr>
                <w:rFonts w:hint="eastAsia" w:ascii="Times New Roman" w:hAnsi="Times New Roman" w:cs="宋体"/>
                <w:color w:val="auto"/>
                <w:sz w:val="24"/>
                <w:szCs w:val="24"/>
              </w:rPr>
              <w:sym w:font="Wingdings 2" w:char="0052"/>
            </w:r>
            <w:r>
              <w:rPr>
                <w:rFonts w:hint="eastAsia" w:ascii="Times New Roman" w:hAnsi="Times New Roman" w:cs="宋体"/>
                <w:color w:val="auto"/>
                <w:sz w:val="24"/>
                <w:szCs w:val="24"/>
              </w:rPr>
              <w:t>新建（迁建）</w:t>
            </w:r>
          </w:p>
          <w:p w14:paraId="04F12B58">
            <w:pPr>
              <w:keepNext w:val="0"/>
              <w:keepLines w:val="0"/>
              <w:suppressLineNumbers w:val="0"/>
              <w:adjustRightInd w:val="0"/>
              <w:snapToGrid w:val="0"/>
              <w:spacing w:before="0" w:beforeAutospacing="0" w:after="0" w:afterAutospacing="0"/>
              <w:ind w:left="0" w:right="0"/>
              <w:jc w:val="left"/>
              <w:rPr>
                <w:rFonts w:hint="default" w:ascii="Times New Roman" w:hAnsi="Times New Roman" w:cs="宋体"/>
                <w:color w:val="auto"/>
                <w:sz w:val="24"/>
                <w:szCs w:val="24"/>
              </w:rPr>
            </w:pPr>
            <w:r>
              <w:rPr>
                <w:rFonts w:hint="eastAsia" w:ascii="Times New Roman" w:hAnsi="Times New Roman" w:cs="宋体"/>
                <w:color w:val="auto"/>
                <w:sz w:val="24"/>
                <w:szCs w:val="24"/>
              </w:rPr>
              <w:t>□改建</w:t>
            </w:r>
          </w:p>
          <w:p w14:paraId="7D05560B">
            <w:pPr>
              <w:keepNext w:val="0"/>
              <w:keepLines w:val="0"/>
              <w:suppressLineNumbers w:val="0"/>
              <w:adjustRightInd w:val="0"/>
              <w:snapToGrid w:val="0"/>
              <w:spacing w:before="0" w:beforeAutospacing="0" w:after="0" w:afterAutospacing="0"/>
              <w:ind w:left="0" w:right="0"/>
              <w:jc w:val="left"/>
              <w:rPr>
                <w:rFonts w:hint="default" w:ascii="Times New Roman" w:hAnsi="Times New Roman" w:cs="宋体"/>
                <w:color w:val="auto"/>
                <w:sz w:val="24"/>
                <w:szCs w:val="24"/>
              </w:rPr>
            </w:pPr>
            <w:r>
              <w:rPr>
                <w:rFonts w:hint="eastAsia" w:ascii="Times New Roman" w:hAnsi="Times New Roman" w:cs="宋体"/>
                <w:color w:val="auto"/>
                <w:sz w:val="24"/>
                <w:szCs w:val="24"/>
              </w:rPr>
              <w:sym w:font="Wingdings 2" w:char="00A3"/>
            </w:r>
            <w:r>
              <w:rPr>
                <w:rFonts w:hint="eastAsia" w:ascii="Times New Roman" w:hAnsi="Times New Roman" w:cs="宋体"/>
                <w:color w:val="auto"/>
                <w:sz w:val="24"/>
                <w:szCs w:val="24"/>
              </w:rPr>
              <w:t>扩建</w:t>
            </w:r>
          </w:p>
          <w:p w14:paraId="5D627252">
            <w:pPr>
              <w:keepNext w:val="0"/>
              <w:keepLines w:val="0"/>
              <w:suppressLineNumbers w:val="0"/>
              <w:adjustRightInd w:val="0"/>
              <w:snapToGrid w:val="0"/>
              <w:spacing w:before="0" w:beforeAutospacing="0" w:after="0" w:afterAutospacing="0"/>
              <w:ind w:left="0" w:right="0"/>
              <w:jc w:val="left"/>
              <w:rPr>
                <w:rFonts w:hint="default" w:ascii="Times New Roman" w:hAnsi="Times New Roman" w:cs="宋体"/>
                <w:color w:val="auto"/>
                <w:sz w:val="24"/>
                <w:szCs w:val="24"/>
              </w:rPr>
            </w:pPr>
            <w:r>
              <w:rPr>
                <w:rFonts w:hint="eastAsia" w:ascii="Times New Roman" w:hAnsi="Times New Roman" w:cs="宋体"/>
                <w:color w:val="auto"/>
                <w:sz w:val="24"/>
                <w:szCs w:val="24"/>
              </w:rPr>
              <w:t>□技术改造</w:t>
            </w:r>
          </w:p>
        </w:tc>
        <w:tc>
          <w:tcPr>
            <w:tcW w:w="1185" w:type="pct"/>
            <w:noWrap w:val="0"/>
            <w:vAlign w:val="center"/>
          </w:tcPr>
          <w:p w14:paraId="2FA0488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rPr>
            </w:pPr>
            <w:r>
              <w:rPr>
                <w:rFonts w:hint="eastAsia" w:ascii="Times New Roman" w:hAnsi="Times New Roman" w:cs="宋体"/>
                <w:b/>
                <w:bCs/>
                <w:color w:val="auto"/>
                <w:sz w:val="24"/>
                <w:szCs w:val="24"/>
              </w:rPr>
              <w:t>建设项目</w:t>
            </w:r>
          </w:p>
          <w:p w14:paraId="2178378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rPr>
            </w:pPr>
            <w:r>
              <w:rPr>
                <w:rFonts w:hint="eastAsia" w:ascii="Times New Roman" w:hAnsi="Times New Roman" w:cs="宋体"/>
                <w:b/>
                <w:bCs/>
                <w:color w:val="auto"/>
                <w:sz w:val="24"/>
                <w:szCs w:val="24"/>
              </w:rPr>
              <w:t>申报情形</w:t>
            </w:r>
          </w:p>
        </w:tc>
        <w:tc>
          <w:tcPr>
            <w:tcW w:w="1666" w:type="pct"/>
            <w:noWrap w:val="0"/>
            <w:vAlign w:val="center"/>
          </w:tcPr>
          <w:p w14:paraId="41592B21">
            <w:pPr>
              <w:keepNext w:val="0"/>
              <w:keepLines w:val="0"/>
              <w:suppressLineNumbers w:val="0"/>
              <w:adjustRightInd w:val="0"/>
              <w:snapToGrid w:val="0"/>
              <w:spacing w:before="0" w:beforeAutospacing="0" w:after="0" w:afterAutospacing="0"/>
              <w:ind w:left="0" w:right="0"/>
              <w:jc w:val="left"/>
              <w:rPr>
                <w:rFonts w:hint="default" w:ascii="Times New Roman" w:hAnsi="Times New Roman" w:cs="宋体"/>
                <w:color w:val="auto"/>
                <w:sz w:val="24"/>
                <w:szCs w:val="24"/>
              </w:rPr>
            </w:pPr>
            <w:r>
              <w:rPr>
                <w:rFonts w:hint="eastAsia" w:ascii="Times New Roman" w:hAnsi="Times New Roman" w:cs="宋体"/>
                <w:color w:val="auto"/>
                <w:sz w:val="24"/>
                <w:szCs w:val="24"/>
              </w:rPr>
              <w:sym w:font="Wingdings 2" w:char="0052"/>
            </w:r>
            <w:r>
              <w:rPr>
                <w:rFonts w:hint="eastAsia" w:ascii="Times New Roman" w:hAnsi="Times New Roman" w:cs="宋体"/>
                <w:color w:val="auto"/>
                <w:sz w:val="24"/>
                <w:szCs w:val="24"/>
              </w:rPr>
              <w:t>首次申报项目</w:t>
            </w:r>
          </w:p>
          <w:p w14:paraId="1D094FBD">
            <w:pPr>
              <w:keepNext w:val="0"/>
              <w:keepLines w:val="0"/>
              <w:suppressLineNumbers w:val="0"/>
              <w:adjustRightInd w:val="0"/>
              <w:snapToGrid w:val="0"/>
              <w:spacing w:before="0" w:beforeAutospacing="0" w:after="0" w:afterAutospacing="0"/>
              <w:ind w:left="0" w:right="0"/>
              <w:jc w:val="left"/>
              <w:rPr>
                <w:rFonts w:hint="default" w:ascii="Times New Roman" w:hAnsi="Times New Roman" w:cs="宋体"/>
                <w:color w:val="auto"/>
                <w:sz w:val="24"/>
                <w:szCs w:val="24"/>
              </w:rPr>
            </w:pPr>
            <w:r>
              <w:rPr>
                <w:rFonts w:hint="eastAsia" w:ascii="Times New Roman" w:hAnsi="Times New Roman" w:cs="宋体"/>
                <w:color w:val="auto"/>
                <w:sz w:val="24"/>
                <w:szCs w:val="24"/>
              </w:rPr>
              <w:t>□不予批准后再次申报项目</w:t>
            </w:r>
          </w:p>
          <w:p w14:paraId="678B4866">
            <w:pPr>
              <w:keepNext w:val="0"/>
              <w:keepLines w:val="0"/>
              <w:suppressLineNumbers w:val="0"/>
              <w:adjustRightInd w:val="0"/>
              <w:snapToGrid w:val="0"/>
              <w:spacing w:before="0" w:beforeAutospacing="0" w:after="0" w:afterAutospacing="0"/>
              <w:ind w:left="0" w:right="0"/>
              <w:jc w:val="left"/>
              <w:rPr>
                <w:rFonts w:hint="default" w:ascii="Times New Roman" w:hAnsi="Times New Roman" w:cs="宋体"/>
                <w:color w:val="auto"/>
                <w:sz w:val="24"/>
                <w:szCs w:val="24"/>
              </w:rPr>
            </w:pPr>
            <w:r>
              <w:rPr>
                <w:rFonts w:hint="eastAsia" w:ascii="Times New Roman" w:hAnsi="Times New Roman" w:cs="宋体"/>
                <w:color w:val="auto"/>
                <w:sz w:val="24"/>
                <w:szCs w:val="24"/>
              </w:rPr>
              <w:t>□超五年重新审核项目</w:t>
            </w:r>
          </w:p>
          <w:p w14:paraId="51601866">
            <w:pPr>
              <w:keepNext w:val="0"/>
              <w:keepLines w:val="0"/>
              <w:suppressLineNumbers w:val="0"/>
              <w:adjustRightInd w:val="0"/>
              <w:snapToGrid w:val="0"/>
              <w:spacing w:before="0" w:beforeAutospacing="0" w:after="0" w:afterAutospacing="0"/>
              <w:ind w:left="0" w:right="0"/>
              <w:rPr>
                <w:rFonts w:hint="default" w:ascii="Times New Roman" w:hAnsi="Times New Roman" w:cs="宋体"/>
                <w:color w:val="auto"/>
                <w:sz w:val="24"/>
                <w:szCs w:val="24"/>
              </w:rPr>
            </w:pPr>
            <w:r>
              <w:rPr>
                <w:rFonts w:hint="eastAsia" w:ascii="Times New Roman" w:hAnsi="Times New Roman" w:cs="宋体"/>
                <w:color w:val="auto"/>
                <w:sz w:val="24"/>
                <w:szCs w:val="24"/>
              </w:rPr>
              <w:t>□重大变动重新报批项目</w:t>
            </w:r>
          </w:p>
        </w:tc>
      </w:tr>
      <w:tr w14:paraId="57335B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93" w:type="pct"/>
            <w:noWrap w:val="0"/>
            <w:tcMar>
              <w:top w:w="16" w:type="dxa"/>
              <w:left w:w="16" w:type="dxa"/>
              <w:right w:w="16" w:type="dxa"/>
            </w:tcMar>
            <w:vAlign w:val="center"/>
          </w:tcPr>
          <w:p w14:paraId="46BCEFC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rPr>
            </w:pPr>
            <w:r>
              <w:rPr>
                <w:rFonts w:hint="eastAsia" w:ascii="Times New Roman" w:hAnsi="Times New Roman" w:cs="宋体"/>
                <w:b/>
                <w:bCs/>
                <w:color w:val="auto"/>
                <w:sz w:val="24"/>
                <w:szCs w:val="24"/>
              </w:rPr>
              <w:t>项目审批（核准</w:t>
            </w:r>
            <w:r>
              <w:rPr>
                <w:rFonts w:hint="default" w:ascii="Times New Roman" w:hAnsi="Times New Roman" w:cs="宋体"/>
                <w:b/>
                <w:bCs/>
                <w:color w:val="auto"/>
                <w:sz w:val="24"/>
                <w:szCs w:val="24"/>
              </w:rPr>
              <w:t>/</w:t>
            </w:r>
          </w:p>
          <w:p w14:paraId="7D3ABFB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rPr>
            </w:pPr>
            <w:r>
              <w:rPr>
                <w:rFonts w:hint="eastAsia" w:ascii="Times New Roman" w:hAnsi="Times New Roman" w:cs="宋体"/>
                <w:b/>
                <w:bCs/>
                <w:color w:val="auto"/>
                <w:sz w:val="24"/>
                <w:szCs w:val="24"/>
              </w:rPr>
              <w:t>备案）部门（选填）</w:t>
            </w:r>
          </w:p>
        </w:tc>
        <w:tc>
          <w:tcPr>
            <w:tcW w:w="1554" w:type="pct"/>
            <w:noWrap w:val="0"/>
            <w:vAlign w:val="center"/>
          </w:tcPr>
          <w:p w14:paraId="2137451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宋体"/>
                <w:color w:val="auto"/>
                <w:sz w:val="24"/>
                <w:szCs w:val="24"/>
                <w:lang w:val="en-US" w:eastAsia="zh-CN"/>
              </w:rPr>
            </w:pPr>
            <w:r>
              <w:rPr>
                <w:rFonts w:hint="eastAsia" w:cs="宋体"/>
                <w:color w:val="auto"/>
                <w:sz w:val="24"/>
                <w:szCs w:val="24"/>
                <w:lang w:val="en-US" w:eastAsia="zh-CN"/>
              </w:rPr>
              <w:t>昌吉回族自治州人民政府</w:t>
            </w:r>
          </w:p>
        </w:tc>
        <w:tc>
          <w:tcPr>
            <w:tcW w:w="1185" w:type="pct"/>
            <w:noWrap w:val="0"/>
            <w:vAlign w:val="center"/>
          </w:tcPr>
          <w:p w14:paraId="3FA992A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rPr>
            </w:pPr>
            <w:r>
              <w:rPr>
                <w:rFonts w:hint="eastAsia" w:ascii="Times New Roman" w:hAnsi="Times New Roman" w:cs="宋体"/>
                <w:b/>
                <w:bCs/>
                <w:color w:val="auto"/>
                <w:sz w:val="24"/>
                <w:szCs w:val="24"/>
              </w:rPr>
              <w:t>项目审批（核准</w:t>
            </w:r>
            <w:r>
              <w:rPr>
                <w:rFonts w:hint="default" w:ascii="Times New Roman" w:hAnsi="Times New Roman" w:cs="宋体"/>
                <w:b/>
                <w:bCs/>
                <w:color w:val="auto"/>
                <w:sz w:val="24"/>
                <w:szCs w:val="24"/>
              </w:rPr>
              <w:t>/</w:t>
            </w:r>
          </w:p>
          <w:p w14:paraId="49F451A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rPr>
            </w:pPr>
            <w:r>
              <w:rPr>
                <w:rFonts w:hint="eastAsia" w:ascii="Times New Roman" w:hAnsi="Times New Roman" w:cs="宋体"/>
                <w:b/>
                <w:bCs/>
                <w:color w:val="auto"/>
                <w:sz w:val="24"/>
                <w:szCs w:val="24"/>
              </w:rPr>
              <w:t>备案）文号（选填）</w:t>
            </w:r>
          </w:p>
        </w:tc>
        <w:tc>
          <w:tcPr>
            <w:tcW w:w="1666" w:type="pct"/>
            <w:noWrap w:val="0"/>
            <w:vAlign w:val="center"/>
          </w:tcPr>
          <w:p w14:paraId="2E21BCDA">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宋体"/>
                <w:color w:val="auto"/>
                <w:sz w:val="24"/>
                <w:szCs w:val="24"/>
                <w:lang w:val="en-US" w:eastAsia="zh-CN"/>
              </w:rPr>
            </w:pPr>
            <w:r>
              <w:rPr>
                <w:rFonts w:hint="eastAsia" w:cs="Times New Roman"/>
                <w:color w:val="auto"/>
                <w:kern w:val="0"/>
                <w:sz w:val="24"/>
                <w:lang w:val="en-US" w:eastAsia="zh-CN"/>
              </w:rPr>
              <w:t>昌州</w:t>
            </w:r>
            <w:r>
              <w:rPr>
                <w:rFonts w:hint="eastAsia" w:ascii="Times New Roman" w:hAnsi="Times New Roman" w:cs="Times New Roman"/>
                <w:color w:val="auto"/>
                <w:kern w:val="0"/>
                <w:sz w:val="24"/>
                <w:lang w:val="en-US" w:eastAsia="zh-CN"/>
              </w:rPr>
              <w:t>政函</w:t>
            </w:r>
            <w:r>
              <w:rPr>
                <w:rFonts w:hint="default" w:ascii="Times New Roman" w:hAnsi="Times New Roman" w:cs="Times New Roman"/>
                <w:color w:val="auto"/>
                <w:kern w:val="0"/>
                <w:sz w:val="24"/>
                <w:lang w:eastAsia="zh-CN"/>
              </w:rPr>
              <w:t>〔20</w:t>
            </w:r>
            <w:r>
              <w:rPr>
                <w:rFonts w:hint="eastAsia" w:cs="Times New Roman"/>
                <w:color w:val="auto"/>
                <w:kern w:val="0"/>
                <w:sz w:val="24"/>
                <w:lang w:val="en-US" w:eastAsia="zh-CN"/>
              </w:rPr>
              <w:t>26</w:t>
            </w:r>
            <w:r>
              <w:rPr>
                <w:rFonts w:hint="default" w:ascii="Times New Roman" w:hAnsi="Times New Roman" w:cs="Times New Roman"/>
                <w:color w:val="auto"/>
                <w:kern w:val="0"/>
                <w:sz w:val="24"/>
                <w:lang w:eastAsia="zh-CN"/>
              </w:rPr>
              <w:t>〕</w:t>
            </w:r>
            <w:r>
              <w:rPr>
                <w:rFonts w:hint="eastAsia" w:cs="Times New Roman"/>
                <w:color w:val="auto"/>
                <w:kern w:val="0"/>
                <w:sz w:val="24"/>
                <w:lang w:val="en-US" w:eastAsia="zh-CN"/>
              </w:rPr>
              <w:t>142</w:t>
            </w:r>
            <w:r>
              <w:rPr>
                <w:rFonts w:hint="default" w:ascii="Times New Roman" w:hAnsi="Times New Roman" w:cs="Times New Roman"/>
                <w:color w:val="auto"/>
                <w:kern w:val="0"/>
                <w:sz w:val="24"/>
              </w:rPr>
              <w:t>号</w:t>
            </w:r>
          </w:p>
        </w:tc>
      </w:tr>
      <w:tr w14:paraId="2CD518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593" w:type="pct"/>
            <w:noWrap w:val="0"/>
            <w:tcMar>
              <w:top w:w="16" w:type="dxa"/>
              <w:left w:w="16" w:type="dxa"/>
              <w:right w:w="16" w:type="dxa"/>
            </w:tcMar>
            <w:vAlign w:val="center"/>
          </w:tcPr>
          <w:p w14:paraId="236D6F6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highlight w:val="none"/>
              </w:rPr>
            </w:pPr>
            <w:r>
              <w:rPr>
                <w:rFonts w:hint="eastAsia" w:ascii="Times New Roman" w:hAnsi="Times New Roman" w:cs="宋体"/>
                <w:b/>
                <w:bCs/>
                <w:color w:val="auto"/>
                <w:sz w:val="24"/>
                <w:szCs w:val="24"/>
                <w:highlight w:val="none"/>
              </w:rPr>
              <w:t>总投资（万元）</w:t>
            </w:r>
          </w:p>
        </w:tc>
        <w:tc>
          <w:tcPr>
            <w:tcW w:w="1554" w:type="pct"/>
            <w:noWrap w:val="0"/>
            <w:vAlign w:val="center"/>
          </w:tcPr>
          <w:p w14:paraId="34C793E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宋体"/>
                <w:color w:val="auto"/>
                <w:sz w:val="24"/>
                <w:szCs w:val="24"/>
                <w:highlight w:val="none"/>
                <w:lang w:val="en-US" w:eastAsia="zh-CN"/>
              </w:rPr>
            </w:pPr>
            <w:r>
              <w:rPr>
                <w:rFonts w:hint="eastAsia" w:cs="宋体"/>
                <w:color w:val="auto"/>
                <w:sz w:val="24"/>
                <w:szCs w:val="24"/>
                <w:highlight w:val="none"/>
                <w:lang w:val="en-US" w:eastAsia="zh-CN"/>
              </w:rPr>
              <w:t>1287.45</w:t>
            </w:r>
          </w:p>
        </w:tc>
        <w:tc>
          <w:tcPr>
            <w:tcW w:w="1185" w:type="pct"/>
            <w:noWrap w:val="0"/>
            <w:tcMar>
              <w:top w:w="16" w:type="dxa"/>
              <w:left w:w="16" w:type="dxa"/>
              <w:right w:w="16" w:type="dxa"/>
            </w:tcMar>
            <w:vAlign w:val="center"/>
          </w:tcPr>
          <w:p w14:paraId="2FCFF97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highlight w:val="none"/>
              </w:rPr>
            </w:pPr>
            <w:r>
              <w:rPr>
                <w:rFonts w:hint="eastAsia" w:ascii="Times New Roman" w:hAnsi="Times New Roman" w:cs="宋体"/>
                <w:b/>
                <w:bCs/>
                <w:color w:val="auto"/>
                <w:sz w:val="24"/>
                <w:szCs w:val="24"/>
                <w:highlight w:val="none"/>
              </w:rPr>
              <w:t>环保投资（万元）</w:t>
            </w:r>
          </w:p>
        </w:tc>
        <w:tc>
          <w:tcPr>
            <w:tcW w:w="1666" w:type="pct"/>
            <w:noWrap w:val="0"/>
            <w:vAlign w:val="center"/>
          </w:tcPr>
          <w:p w14:paraId="57D49DD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宋体"/>
                <w:color w:val="auto"/>
                <w:sz w:val="24"/>
                <w:szCs w:val="24"/>
                <w:highlight w:val="none"/>
                <w:lang w:val="en-US" w:eastAsia="zh-CN"/>
              </w:rPr>
            </w:pPr>
            <w:r>
              <w:rPr>
                <w:rFonts w:hint="eastAsia" w:cs="宋体"/>
                <w:color w:val="auto"/>
                <w:sz w:val="24"/>
                <w:szCs w:val="24"/>
                <w:highlight w:val="none"/>
                <w:lang w:val="en-US" w:eastAsia="zh-CN"/>
              </w:rPr>
              <w:t>60</w:t>
            </w:r>
          </w:p>
        </w:tc>
      </w:tr>
      <w:tr w14:paraId="6C127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593" w:type="pct"/>
            <w:noWrap w:val="0"/>
            <w:tcMar>
              <w:top w:w="16" w:type="dxa"/>
              <w:left w:w="16" w:type="dxa"/>
              <w:right w:w="16" w:type="dxa"/>
            </w:tcMar>
            <w:vAlign w:val="center"/>
          </w:tcPr>
          <w:p w14:paraId="6A13981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highlight w:val="none"/>
              </w:rPr>
            </w:pPr>
            <w:r>
              <w:rPr>
                <w:rFonts w:hint="eastAsia" w:ascii="Times New Roman" w:hAnsi="Times New Roman" w:cs="宋体"/>
                <w:b/>
                <w:bCs/>
                <w:color w:val="auto"/>
                <w:sz w:val="24"/>
                <w:szCs w:val="24"/>
                <w:highlight w:val="none"/>
              </w:rPr>
              <w:t>环保投资占比（</w:t>
            </w:r>
            <w:r>
              <w:rPr>
                <w:rFonts w:hint="default" w:ascii="Times New Roman" w:hAnsi="Times New Roman" w:cs="宋体"/>
                <w:b/>
                <w:bCs/>
                <w:color w:val="auto"/>
                <w:sz w:val="24"/>
                <w:szCs w:val="24"/>
                <w:highlight w:val="none"/>
              </w:rPr>
              <w:t>%</w:t>
            </w:r>
            <w:r>
              <w:rPr>
                <w:rFonts w:hint="eastAsia" w:ascii="Times New Roman" w:hAnsi="Times New Roman" w:cs="宋体"/>
                <w:b/>
                <w:bCs/>
                <w:color w:val="auto"/>
                <w:sz w:val="24"/>
                <w:szCs w:val="24"/>
                <w:highlight w:val="none"/>
              </w:rPr>
              <w:t>）</w:t>
            </w:r>
          </w:p>
        </w:tc>
        <w:tc>
          <w:tcPr>
            <w:tcW w:w="1554" w:type="pct"/>
            <w:noWrap w:val="0"/>
            <w:vAlign w:val="center"/>
          </w:tcPr>
          <w:p w14:paraId="52F2141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宋体"/>
                <w:color w:val="auto"/>
                <w:sz w:val="24"/>
                <w:szCs w:val="24"/>
                <w:highlight w:val="none"/>
                <w:lang w:val="en-US" w:eastAsia="zh-CN"/>
              </w:rPr>
            </w:pPr>
            <w:r>
              <w:rPr>
                <w:rFonts w:hint="eastAsia" w:cs="宋体"/>
                <w:color w:val="auto"/>
                <w:sz w:val="24"/>
                <w:szCs w:val="24"/>
                <w:highlight w:val="none"/>
                <w:lang w:val="en-US" w:eastAsia="zh-CN"/>
              </w:rPr>
              <w:t>4.66</w:t>
            </w:r>
          </w:p>
        </w:tc>
        <w:tc>
          <w:tcPr>
            <w:tcW w:w="1185" w:type="pct"/>
            <w:noWrap w:val="0"/>
            <w:tcMar>
              <w:top w:w="16" w:type="dxa"/>
              <w:left w:w="16" w:type="dxa"/>
              <w:right w:w="16" w:type="dxa"/>
            </w:tcMar>
            <w:vAlign w:val="center"/>
          </w:tcPr>
          <w:p w14:paraId="7DEF57A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highlight w:val="none"/>
              </w:rPr>
            </w:pPr>
            <w:r>
              <w:rPr>
                <w:rFonts w:hint="eastAsia" w:ascii="Times New Roman" w:hAnsi="Times New Roman" w:cs="宋体"/>
                <w:b/>
                <w:bCs/>
                <w:color w:val="auto"/>
                <w:sz w:val="24"/>
                <w:szCs w:val="24"/>
                <w:highlight w:val="none"/>
              </w:rPr>
              <w:t>施工工期</w:t>
            </w:r>
          </w:p>
        </w:tc>
        <w:tc>
          <w:tcPr>
            <w:tcW w:w="1666" w:type="pct"/>
            <w:noWrap w:val="0"/>
            <w:vAlign w:val="center"/>
          </w:tcPr>
          <w:p w14:paraId="0ABF76E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宋体"/>
                <w:color w:val="auto"/>
                <w:sz w:val="24"/>
                <w:szCs w:val="24"/>
                <w:highlight w:val="none"/>
                <w:lang w:val="en-US" w:eastAsia="zh-CN"/>
              </w:rPr>
            </w:pPr>
            <w:r>
              <w:rPr>
                <w:rFonts w:hint="eastAsia" w:cs="宋体"/>
                <w:color w:val="auto"/>
                <w:sz w:val="24"/>
                <w:szCs w:val="24"/>
                <w:highlight w:val="none"/>
                <w:lang w:val="en-US" w:eastAsia="zh-CN"/>
              </w:rPr>
              <w:t>8个月</w:t>
            </w:r>
          </w:p>
        </w:tc>
      </w:tr>
      <w:tr w14:paraId="3F583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42" w:hRule="atLeast"/>
          <w:jc w:val="center"/>
        </w:trPr>
        <w:tc>
          <w:tcPr>
            <w:tcW w:w="593" w:type="pct"/>
            <w:noWrap w:val="0"/>
            <w:tcMar>
              <w:top w:w="16" w:type="dxa"/>
              <w:left w:w="16" w:type="dxa"/>
              <w:right w:w="16" w:type="dxa"/>
            </w:tcMar>
            <w:vAlign w:val="center"/>
          </w:tcPr>
          <w:p w14:paraId="1C863A98">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宋体"/>
                <w:b/>
                <w:bCs/>
                <w:color w:val="auto"/>
                <w:sz w:val="24"/>
                <w:szCs w:val="24"/>
              </w:rPr>
            </w:pPr>
            <w:r>
              <w:rPr>
                <w:rFonts w:hint="eastAsia" w:ascii="Times New Roman" w:hAnsi="Times New Roman" w:cs="宋体"/>
                <w:b/>
                <w:bCs/>
                <w:color w:val="auto"/>
                <w:sz w:val="24"/>
                <w:szCs w:val="24"/>
              </w:rPr>
              <w:t>是否开工</w:t>
            </w:r>
          </w:p>
          <w:p w14:paraId="6BA3720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sz w:val="24"/>
                <w:szCs w:val="24"/>
              </w:rPr>
            </w:pPr>
            <w:r>
              <w:rPr>
                <w:rFonts w:hint="eastAsia" w:ascii="Times New Roman" w:hAnsi="Times New Roman" w:cs="宋体"/>
                <w:b/>
                <w:bCs/>
                <w:color w:val="auto"/>
                <w:sz w:val="24"/>
                <w:szCs w:val="24"/>
              </w:rPr>
              <w:t>建设</w:t>
            </w:r>
          </w:p>
        </w:tc>
        <w:tc>
          <w:tcPr>
            <w:tcW w:w="4406" w:type="pct"/>
            <w:gridSpan w:val="3"/>
            <w:noWrap w:val="0"/>
            <w:vAlign w:val="center"/>
          </w:tcPr>
          <w:p w14:paraId="2329FA25">
            <w:pPr>
              <w:keepNext w:val="0"/>
              <w:keepLines w:val="0"/>
              <w:suppressLineNumbers w:val="0"/>
              <w:adjustRightInd w:val="0"/>
              <w:snapToGrid w:val="0"/>
              <w:spacing w:before="0" w:beforeAutospacing="0" w:after="0" w:afterAutospacing="0"/>
              <w:ind w:left="0" w:right="0" w:firstLine="105"/>
              <w:jc w:val="left"/>
              <w:rPr>
                <w:rFonts w:hint="default" w:ascii="Times New Roman" w:hAnsi="Times New Roman" w:cs="宋体"/>
                <w:color w:val="auto"/>
                <w:sz w:val="24"/>
                <w:szCs w:val="24"/>
              </w:rPr>
            </w:pPr>
            <w:r>
              <w:rPr>
                <w:rFonts w:hint="eastAsia" w:ascii="Times New Roman" w:hAnsi="Times New Roman" w:cs="宋体"/>
                <w:color w:val="auto"/>
                <w:sz w:val="24"/>
                <w:szCs w:val="24"/>
              </w:rPr>
              <w:sym w:font="Wingdings 2" w:char="0052"/>
            </w:r>
            <w:r>
              <w:rPr>
                <w:rFonts w:hint="eastAsia" w:ascii="Times New Roman" w:hAnsi="Times New Roman" w:cs="宋体"/>
                <w:color w:val="auto"/>
                <w:sz w:val="24"/>
                <w:szCs w:val="24"/>
              </w:rPr>
              <w:t>否</w:t>
            </w:r>
          </w:p>
          <w:p w14:paraId="7440D64B">
            <w:pPr>
              <w:keepNext w:val="0"/>
              <w:keepLines w:val="0"/>
              <w:suppressLineNumbers w:val="0"/>
              <w:adjustRightInd w:val="0"/>
              <w:snapToGrid w:val="0"/>
              <w:spacing w:before="0" w:beforeAutospacing="0" w:after="0" w:afterAutospacing="0"/>
              <w:ind w:left="0" w:right="0" w:firstLine="92"/>
              <w:jc w:val="left"/>
              <w:rPr>
                <w:rFonts w:hint="default" w:ascii="Times New Roman" w:hAnsi="Times New Roman" w:cs="宋体"/>
                <w:color w:val="auto"/>
                <w:sz w:val="24"/>
                <w:szCs w:val="24"/>
              </w:rPr>
            </w:pPr>
            <w:r>
              <w:rPr>
                <w:rFonts w:hint="eastAsia" w:ascii="Times New Roman" w:hAnsi="Times New Roman" w:cs="宋体"/>
                <w:color w:val="auto"/>
                <w:sz w:val="24"/>
                <w:szCs w:val="24"/>
              </w:rPr>
              <w:sym w:font="Wingdings 2" w:char="00A3"/>
            </w:r>
            <w:r>
              <w:rPr>
                <w:rFonts w:hint="eastAsia" w:ascii="Times New Roman" w:hAnsi="Times New Roman" w:cs="宋体"/>
                <w:color w:val="auto"/>
                <w:sz w:val="24"/>
                <w:szCs w:val="24"/>
              </w:rPr>
              <w:t>是：</w:t>
            </w:r>
            <w:r>
              <w:rPr>
                <w:rFonts w:hint="eastAsia" w:ascii="Times New Roman" w:hAnsi="Times New Roman" w:cs="宋体"/>
                <w:color w:val="auto"/>
                <w:sz w:val="24"/>
                <w:szCs w:val="24"/>
                <w:u w:val="single"/>
              </w:rPr>
              <w:t xml:space="preserve">                             </w:t>
            </w:r>
          </w:p>
        </w:tc>
      </w:tr>
      <w:tr w14:paraId="0F9E5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593" w:type="pct"/>
            <w:noWrap w:val="0"/>
            <w:tcMar>
              <w:top w:w="16" w:type="dxa"/>
              <w:left w:w="16" w:type="dxa"/>
              <w:right w:w="16" w:type="dxa"/>
            </w:tcMar>
            <w:vAlign w:val="center"/>
          </w:tcPr>
          <w:p w14:paraId="267AE1D0">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宋体"/>
                <w:b/>
                <w:bCs/>
                <w:color w:val="auto"/>
                <w:kern w:val="0"/>
                <w:sz w:val="24"/>
                <w:szCs w:val="24"/>
              </w:rPr>
            </w:pPr>
            <w:r>
              <w:rPr>
                <w:rFonts w:hint="eastAsia" w:ascii="Times New Roman" w:hAnsi="Times New Roman" w:cs="宋体"/>
                <w:b/>
                <w:bCs/>
                <w:color w:val="auto"/>
                <w:kern w:val="0"/>
                <w:sz w:val="24"/>
                <w:szCs w:val="24"/>
              </w:rPr>
              <w:t>专项评价设置情况</w:t>
            </w:r>
          </w:p>
        </w:tc>
        <w:tc>
          <w:tcPr>
            <w:tcW w:w="4406" w:type="pct"/>
            <w:gridSpan w:val="3"/>
            <w:noWrap w:val="0"/>
            <w:tcMar>
              <w:top w:w="16" w:type="dxa"/>
              <w:left w:w="16" w:type="dxa"/>
              <w:right w:w="16" w:type="dxa"/>
            </w:tcMar>
            <w:vAlign w:val="center"/>
          </w:tcPr>
          <w:p w14:paraId="7142D920">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宋体"/>
                <w:color w:val="auto"/>
                <w:kern w:val="0"/>
                <w:sz w:val="24"/>
                <w:szCs w:val="24"/>
              </w:rPr>
            </w:pPr>
            <w:r>
              <w:rPr>
                <w:rFonts w:hint="eastAsia" w:cs="宋体"/>
                <w:b w:val="0"/>
                <w:bCs w:val="0"/>
                <w:color w:val="auto"/>
                <w:kern w:val="0"/>
                <w:sz w:val="24"/>
                <w:szCs w:val="24"/>
                <w:lang w:val="en-US" w:eastAsia="zh-CN"/>
              </w:rPr>
              <w:t>无</w:t>
            </w:r>
          </w:p>
        </w:tc>
      </w:tr>
      <w:tr w14:paraId="11C349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593" w:type="pct"/>
            <w:noWrap w:val="0"/>
            <w:tcMar>
              <w:top w:w="16" w:type="dxa"/>
              <w:left w:w="16" w:type="dxa"/>
              <w:right w:w="16" w:type="dxa"/>
            </w:tcMar>
            <w:vAlign w:val="center"/>
          </w:tcPr>
          <w:p w14:paraId="336E94DD">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宋体"/>
                <w:b/>
                <w:bCs/>
                <w:color w:val="auto"/>
                <w:kern w:val="0"/>
                <w:szCs w:val="21"/>
              </w:rPr>
            </w:pPr>
            <w:r>
              <w:rPr>
                <w:rFonts w:hint="eastAsia" w:ascii="Times New Roman" w:hAnsi="Times New Roman" w:cs="宋体"/>
                <w:b/>
                <w:bCs/>
                <w:color w:val="auto"/>
                <w:sz w:val="24"/>
                <w:szCs w:val="24"/>
              </w:rPr>
              <w:t>规划情况</w:t>
            </w:r>
          </w:p>
        </w:tc>
        <w:tc>
          <w:tcPr>
            <w:tcW w:w="4406" w:type="pct"/>
            <w:gridSpan w:val="3"/>
            <w:noWrap w:val="0"/>
            <w:tcMar>
              <w:top w:w="16" w:type="dxa"/>
              <w:left w:w="16" w:type="dxa"/>
              <w:right w:w="16" w:type="dxa"/>
            </w:tcMar>
            <w:vAlign w:val="center"/>
          </w:tcPr>
          <w:p w14:paraId="1263DBA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val="0"/>
                <w:bCs w:val="0"/>
                <w:color w:val="auto"/>
                <w:kern w:val="0"/>
                <w:sz w:val="24"/>
                <w:szCs w:val="24"/>
                <w:lang w:val="en-US" w:eastAsia="zh-CN"/>
              </w:rPr>
            </w:pPr>
            <w:r>
              <w:rPr>
                <w:rFonts w:hint="default" w:ascii="Times New Roman" w:hAnsi="Times New Roman" w:eastAsia="宋体" w:cs="Times New Roman"/>
                <w:b w:val="0"/>
                <w:bCs w:val="0"/>
                <w:color w:val="auto"/>
                <w:kern w:val="0"/>
                <w:sz w:val="24"/>
                <w:szCs w:val="24"/>
                <w:lang w:val="en-US" w:eastAsia="zh-CN"/>
              </w:rPr>
              <w:t>规划名称：《国家发展改革委关于新疆煤田火区治理规划（修改）（2016-2025年）的复函》</w:t>
            </w:r>
          </w:p>
          <w:p w14:paraId="4FAF047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val="0"/>
                <w:bCs w:val="0"/>
                <w:color w:val="auto"/>
                <w:kern w:val="0"/>
                <w:sz w:val="24"/>
                <w:szCs w:val="24"/>
                <w:lang w:val="en-US" w:eastAsia="zh-CN"/>
              </w:rPr>
            </w:pPr>
            <w:r>
              <w:rPr>
                <w:rFonts w:hint="default" w:ascii="Times New Roman" w:hAnsi="Times New Roman" w:eastAsia="宋体" w:cs="Times New Roman"/>
                <w:b w:val="0"/>
                <w:bCs w:val="0"/>
                <w:color w:val="auto"/>
                <w:kern w:val="0"/>
                <w:sz w:val="24"/>
                <w:szCs w:val="24"/>
                <w:lang w:val="en-US" w:eastAsia="zh-CN"/>
              </w:rPr>
              <w:t>审批机关：</w:t>
            </w:r>
            <w:r>
              <w:rPr>
                <w:rFonts w:hint="eastAsia" w:ascii="Times New Roman" w:hAnsi="Times New Roman" w:eastAsia="宋体" w:cs="Times New Roman"/>
                <w:b w:val="0"/>
                <w:bCs w:val="0"/>
                <w:color w:val="auto"/>
                <w:kern w:val="0"/>
                <w:sz w:val="24"/>
                <w:szCs w:val="24"/>
                <w:lang w:val="en-US" w:eastAsia="zh-CN"/>
              </w:rPr>
              <w:t>中华人民共和国</w:t>
            </w:r>
            <w:r>
              <w:rPr>
                <w:rFonts w:hint="default" w:ascii="Times New Roman" w:hAnsi="Times New Roman" w:eastAsia="宋体" w:cs="Times New Roman"/>
                <w:b w:val="0"/>
                <w:bCs w:val="0"/>
                <w:color w:val="auto"/>
                <w:kern w:val="0"/>
                <w:sz w:val="24"/>
                <w:szCs w:val="24"/>
                <w:lang w:val="en-US" w:eastAsia="zh-CN"/>
              </w:rPr>
              <w:t>国家发展</w:t>
            </w:r>
            <w:r>
              <w:rPr>
                <w:rFonts w:hint="eastAsia" w:ascii="Times New Roman" w:hAnsi="Times New Roman" w:eastAsia="宋体" w:cs="Times New Roman"/>
                <w:b w:val="0"/>
                <w:bCs w:val="0"/>
                <w:color w:val="auto"/>
                <w:kern w:val="0"/>
                <w:sz w:val="24"/>
                <w:szCs w:val="24"/>
                <w:lang w:val="en-US" w:eastAsia="zh-CN"/>
              </w:rPr>
              <w:t>和</w:t>
            </w:r>
            <w:r>
              <w:rPr>
                <w:rFonts w:hint="default" w:ascii="Times New Roman" w:hAnsi="Times New Roman" w:eastAsia="宋体" w:cs="Times New Roman"/>
                <w:b w:val="0"/>
                <w:bCs w:val="0"/>
                <w:color w:val="auto"/>
                <w:kern w:val="0"/>
                <w:sz w:val="24"/>
                <w:szCs w:val="24"/>
                <w:lang w:val="en-US" w:eastAsia="zh-CN"/>
              </w:rPr>
              <w:t>改革</w:t>
            </w:r>
            <w:r>
              <w:rPr>
                <w:rFonts w:hint="eastAsia" w:ascii="Times New Roman" w:hAnsi="Times New Roman" w:eastAsia="宋体" w:cs="Times New Roman"/>
                <w:b w:val="0"/>
                <w:bCs w:val="0"/>
                <w:color w:val="auto"/>
                <w:kern w:val="0"/>
                <w:sz w:val="24"/>
                <w:szCs w:val="24"/>
                <w:lang w:val="en-US" w:eastAsia="zh-CN"/>
              </w:rPr>
              <w:t>委员会</w:t>
            </w:r>
          </w:p>
          <w:p w14:paraId="3917AF32">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eastAsia" w:ascii="Times New Roman" w:hAnsi="Times New Roman" w:cs="宋体"/>
                <w:color w:val="auto"/>
                <w:kern w:val="0"/>
                <w:szCs w:val="21"/>
              </w:rPr>
            </w:pPr>
            <w:r>
              <w:rPr>
                <w:rFonts w:hint="default" w:ascii="Times New Roman" w:hAnsi="Times New Roman" w:eastAsia="宋体" w:cs="Times New Roman"/>
                <w:b w:val="0"/>
                <w:bCs w:val="0"/>
                <w:color w:val="auto"/>
                <w:kern w:val="0"/>
                <w:sz w:val="24"/>
                <w:szCs w:val="24"/>
                <w:lang w:val="en-US" w:eastAsia="zh-CN"/>
              </w:rPr>
              <w:t>审批文号：发改能源</w:t>
            </w:r>
            <w:r>
              <w:rPr>
                <w:rFonts w:hint="default" w:ascii="Times New Roman" w:hAnsi="Times New Roman" w:eastAsia="宋体" w:cs="Times New Roman"/>
                <w:b w:val="0"/>
                <w:bCs w:val="0"/>
                <w:color w:val="auto"/>
                <w:kern w:val="0"/>
                <w:sz w:val="24"/>
                <w:szCs w:val="24"/>
                <w:lang w:eastAsia="zh-CN"/>
              </w:rPr>
              <w:t>〔20</w:t>
            </w:r>
            <w:r>
              <w:rPr>
                <w:rFonts w:hint="default" w:ascii="Times New Roman" w:hAnsi="Times New Roman" w:eastAsia="宋体" w:cs="Times New Roman"/>
                <w:b w:val="0"/>
                <w:bCs w:val="0"/>
                <w:color w:val="auto"/>
                <w:kern w:val="0"/>
                <w:sz w:val="24"/>
                <w:szCs w:val="24"/>
                <w:lang w:val="en-US" w:eastAsia="zh-CN"/>
              </w:rPr>
              <w:t>16</w:t>
            </w:r>
            <w:r>
              <w:rPr>
                <w:rFonts w:hint="default" w:ascii="Times New Roman" w:hAnsi="Times New Roman" w:eastAsia="宋体" w:cs="Times New Roman"/>
                <w:b w:val="0"/>
                <w:bCs w:val="0"/>
                <w:color w:val="auto"/>
                <w:kern w:val="0"/>
                <w:sz w:val="24"/>
                <w:szCs w:val="24"/>
                <w:lang w:eastAsia="zh-CN"/>
              </w:rPr>
              <w:t>〕</w:t>
            </w:r>
            <w:r>
              <w:rPr>
                <w:rFonts w:hint="default" w:ascii="Times New Roman" w:hAnsi="Times New Roman" w:eastAsia="宋体" w:cs="Times New Roman"/>
                <w:b w:val="0"/>
                <w:bCs w:val="0"/>
                <w:color w:val="auto"/>
                <w:kern w:val="0"/>
                <w:sz w:val="24"/>
                <w:szCs w:val="24"/>
                <w:lang w:val="en-US" w:eastAsia="zh-CN"/>
              </w:rPr>
              <w:t>1459</w:t>
            </w:r>
            <w:r>
              <w:rPr>
                <w:rFonts w:hint="default" w:ascii="Times New Roman" w:hAnsi="Times New Roman" w:eastAsia="宋体" w:cs="Times New Roman"/>
                <w:b w:val="0"/>
                <w:bCs w:val="0"/>
                <w:color w:val="auto"/>
                <w:kern w:val="0"/>
                <w:sz w:val="24"/>
                <w:szCs w:val="24"/>
              </w:rPr>
              <w:t>号</w:t>
            </w:r>
          </w:p>
        </w:tc>
      </w:tr>
      <w:tr w14:paraId="15E333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7" w:hRule="atLeast"/>
          <w:jc w:val="center"/>
        </w:trPr>
        <w:tc>
          <w:tcPr>
            <w:tcW w:w="593" w:type="pct"/>
            <w:noWrap w:val="0"/>
            <w:tcMar>
              <w:top w:w="16" w:type="dxa"/>
              <w:left w:w="16" w:type="dxa"/>
              <w:right w:w="16" w:type="dxa"/>
            </w:tcMar>
            <w:vAlign w:val="center"/>
          </w:tcPr>
          <w:p w14:paraId="6FC8A6F6">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宋体"/>
                <w:b/>
                <w:bCs/>
                <w:color w:val="auto"/>
                <w:kern w:val="0"/>
                <w:szCs w:val="21"/>
              </w:rPr>
            </w:pPr>
            <w:r>
              <w:rPr>
                <w:rFonts w:hint="eastAsia" w:ascii="Times New Roman" w:hAnsi="Times New Roman" w:cs="宋体"/>
                <w:b/>
                <w:bCs/>
                <w:color w:val="auto"/>
                <w:sz w:val="24"/>
                <w:szCs w:val="24"/>
              </w:rPr>
              <w:t>规划环境影响评价情况</w:t>
            </w:r>
          </w:p>
        </w:tc>
        <w:tc>
          <w:tcPr>
            <w:tcW w:w="4406" w:type="pct"/>
            <w:gridSpan w:val="3"/>
            <w:noWrap w:val="0"/>
            <w:tcMar>
              <w:top w:w="16" w:type="dxa"/>
              <w:left w:w="16" w:type="dxa"/>
              <w:right w:w="16" w:type="dxa"/>
            </w:tcMar>
            <w:vAlign w:val="center"/>
          </w:tcPr>
          <w:p w14:paraId="7D69D1E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Times New Roman" w:hAnsi="Times New Roman" w:cs="宋体"/>
                <w:b w:val="0"/>
                <w:bCs w:val="0"/>
                <w:color w:val="auto"/>
                <w:kern w:val="0"/>
                <w:sz w:val="24"/>
                <w:szCs w:val="24"/>
                <w:lang w:val="en-US" w:eastAsia="zh-CN"/>
              </w:rPr>
            </w:pPr>
            <w:r>
              <w:rPr>
                <w:rFonts w:hint="eastAsia" w:cs="宋体"/>
                <w:b w:val="0"/>
                <w:bCs w:val="0"/>
                <w:color w:val="auto"/>
                <w:kern w:val="0"/>
                <w:sz w:val="24"/>
                <w:szCs w:val="24"/>
                <w:lang w:val="en-US" w:eastAsia="zh-CN"/>
              </w:rPr>
              <w:t>无</w:t>
            </w:r>
          </w:p>
        </w:tc>
      </w:tr>
      <w:tr w14:paraId="5B68CE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7" w:hRule="atLeast"/>
          <w:jc w:val="center"/>
        </w:trPr>
        <w:tc>
          <w:tcPr>
            <w:tcW w:w="593" w:type="pct"/>
            <w:noWrap w:val="0"/>
            <w:tcMar>
              <w:top w:w="16" w:type="dxa"/>
              <w:left w:w="16" w:type="dxa"/>
              <w:right w:w="16" w:type="dxa"/>
            </w:tcMar>
            <w:vAlign w:val="center"/>
          </w:tcPr>
          <w:p w14:paraId="02ECD16E">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宋体"/>
                <w:b/>
                <w:bCs/>
                <w:color w:val="auto"/>
                <w:kern w:val="0"/>
                <w:szCs w:val="21"/>
              </w:rPr>
            </w:pPr>
            <w:r>
              <w:rPr>
                <w:rFonts w:hint="eastAsia" w:ascii="Times New Roman" w:hAnsi="Times New Roman" w:cs="宋体"/>
                <w:b/>
                <w:bCs/>
                <w:color w:val="auto"/>
                <w:kern w:val="0"/>
                <w:sz w:val="24"/>
                <w:szCs w:val="24"/>
              </w:rPr>
              <w:t>规划及</w:t>
            </w:r>
            <w:r>
              <w:rPr>
                <w:rFonts w:hint="eastAsia" w:ascii="Times New Roman" w:hAnsi="Times New Roman" w:cs="宋体"/>
                <w:b/>
                <w:bCs/>
                <w:color w:val="auto"/>
                <w:sz w:val="24"/>
                <w:szCs w:val="24"/>
              </w:rPr>
              <w:t>规划环境影响评价</w:t>
            </w:r>
            <w:r>
              <w:rPr>
                <w:rFonts w:hint="eastAsia" w:ascii="Times New Roman" w:hAnsi="Times New Roman" w:cs="宋体"/>
                <w:b/>
                <w:bCs/>
                <w:color w:val="auto"/>
                <w:kern w:val="0"/>
                <w:sz w:val="24"/>
                <w:szCs w:val="24"/>
              </w:rPr>
              <w:t>符合性分析</w:t>
            </w:r>
          </w:p>
        </w:tc>
        <w:tc>
          <w:tcPr>
            <w:tcW w:w="4406" w:type="pct"/>
            <w:gridSpan w:val="3"/>
            <w:noWrap w:val="0"/>
            <w:tcMar>
              <w:top w:w="16" w:type="dxa"/>
              <w:left w:w="16" w:type="dxa"/>
              <w:right w:w="16" w:type="dxa"/>
            </w:tcMar>
            <w:vAlign w:val="center"/>
          </w:tcPr>
          <w:p w14:paraId="7B9D8DB0">
            <w:pPr>
              <w:pStyle w:val="106"/>
              <w:keepNext w:val="0"/>
              <w:keepLines w:val="0"/>
              <w:suppressLineNumbers w:val="0"/>
              <w:spacing w:before="55" w:beforeAutospacing="0" w:after="0" w:afterAutospacing="0" w:line="358" w:lineRule="auto"/>
              <w:ind w:left="24" w:right="18" w:firstLine="481"/>
              <w:rPr>
                <w:rFonts w:hint="default"/>
              </w:rPr>
            </w:pPr>
            <w:r>
              <w:rPr>
                <w:rFonts w:hint="eastAsia"/>
                <w:b/>
                <w:bCs/>
                <w:spacing w:val="2"/>
                <w:lang w:val="en-US" w:eastAsia="zh-CN"/>
              </w:rPr>
              <w:t>1、</w:t>
            </w:r>
            <w:r>
              <w:rPr>
                <w:rFonts w:hint="default"/>
                <w:b/>
                <w:bCs/>
                <w:spacing w:val="2"/>
              </w:rPr>
              <w:t>与《新疆煤田火区治理规划（修编</w:t>
            </w:r>
            <w:r>
              <w:rPr>
                <w:rFonts w:hint="default"/>
                <w:b/>
                <w:bCs/>
                <w:spacing w:val="-6"/>
              </w:rPr>
              <w:t>）（</w:t>
            </w:r>
            <w:r>
              <w:rPr>
                <w:rFonts w:hint="default" w:ascii="Times New Roman" w:hAnsi="Times New Roman" w:eastAsia="Times New Roman" w:cs="Times New Roman"/>
                <w:b/>
                <w:bCs/>
                <w:spacing w:val="2"/>
              </w:rPr>
              <w:t>2016</w:t>
            </w:r>
            <w:r>
              <w:rPr>
                <w:rFonts w:hint="default"/>
                <w:b/>
                <w:bCs/>
                <w:spacing w:val="2"/>
              </w:rPr>
              <w:t>～</w:t>
            </w:r>
            <w:r>
              <w:rPr>
                <w:rFonts w:hint="default" w:ascii="Times New Roman" w:hAnsi="Times New Roman" w:eastAsia="Times New Roman" w:cs="Times New Roman"/>
                <w:b/>
                <w:bCs/>
                <w:spacing w:val="2"/>
              </w:rPr>
              <w:t xml:space="preserve">2025 </w:t>
            </w:r>
            <w:r>
              <w:rPr>
                <w:rFonts w:hint="default"/>
                <w:b/>
                <w:bCs/>
                <w:spacing w:val="2"/>
              </w:rPr>
              <w:t>年）》相符性</w:t>
            </w:r>
            <w:r>
              <w:rPr>
                <w:rFonts w:hint="default"/>
                <w:b/>
                <w:bCs/>
                <w:spacing w:val="-9"/>
              </w:rPr>
              <w:t>分析</w:t>
            </w:r>
          </w:p>
          <w:p w14:paraId="275F0972">
            <w:pPr>
              <w:pStyle w:val="106"/>
              <w:keepNext w:val="0"/>
              <w:keepLines w:val="0"/>
              <w:suppressLineNumbers w:val="0"/>
              <w:spacing w:before="3" w:beforeAutospacing="0" w:after="0" w:afterAutospacing="0" w:line="359" w:lineRule="auto"/>
              <w:ind w:left="20" w:right="0" w:firstLine="475"/>
              <w:jc w:val="both"/>
              <w:rPr>
                <w:rFonts w:hint="default"/>
                <w:sz w:val="24"/>
                <w:szCs w:val="24"/>
              </w:rPr>
            </w:pPr>
            <w:r>
              <w:rPr>
                <w:rFonts w:hint="default"/>
                <w:spacing w:val="-3"/>
                <w:sz w:val="24"/>
                <w:szCs w:val="24"/>
              </w:rPr>
              <w:t>根据《新疆煤田火区治理规划（修编</w:t>
            </w:r>
            <w:r>
              <w:rPr>
                <w:rFonts w:hint="default"/>
                <w:spacing w:val="-23"/>
                <w:sz w:val="24"/>
                <w:szCs w:val="24"/>
              </w:rPr>
              <w:t>）（</w:t>
            </w:r>
            <w:r>
              <w:rPr>
                <w:rFonts w:hint="default" w:ascii="Times New Roman" w:hAnsi="Times New Roman" w:eastAsia="Times New Roman" w:cs="Times New Roman"/>
                <w:spacing w:val="-3"/>
                <w:sz w:val="24"/>
                <w:szCs w:val="24"/>
              </w:rPr>
              <w:t>2016</w:t>
            </w:r>
            <w:r>
              <w:rPr>
                <w:rFonts w:hint="eastAsia" w:eastAsia="宋体"/>
                <w:spacing w:val="-3"/>
                <w:sz w:val="24"/>
                <w:szCs w:val="24"/>
                <w:lang w:val="en-US" w:eastAsia="zh-CN"/>
              </w:rPr>
              <w:t>-</w:t>
            </w:r>
            <w:r>
              <w:rPr>
                <w:rFonts w:hint="default" w:ascii="Times New Roman" w:hAnsi="Times New Roman" w:eastAsia="Times New Roman" w:cs="Times New Roman"/>
                <w:spacing w:val="-3"/>
                <w:sz w:val="24"/>
                <w:szCs w:val="24"/>
              </w:rPr>
              <w:t>2025</w:t>
            </w:r>
            <w:r>
              <w:rPr>
                <w:rFonts w:hint="default"/>
                <w:spacing w:val="-3"/>
                <w:sz w:val="24"/>
                <w:szCs w:val="24"/>
              </w:rPr>
              <w:t>年）》中火区</w:t>
            </w:r>
            <w:r>
              <w:rPr>
                <w:rFonts w:hint="default"/>
                <w:spacing w:val="-4"/>
                <w:sz w:val="24"/>
                <w:szCs w:val="24"/>
              </w:rPr>
              <w:t>治理实施计划和国家发展和改革委员会（发改能源〔</w:t>
            </w:r>
            <w:r>
              <w:rPr>
                <w:rFonts w:hint="default" w:ascii="Times New Roman" w:hAnsi="Times New Roman" w:eastAsia="Times New Roman" w:cs="Times New Roman"/>
                <w:spacing w:val="-4"/>
                <w:sz w:val="24"/>
                <w:szCs w:val="24"/>
              </w:rPr>
              <w:t>2016</w:t>
            </w:r>
            <w:r>
              <w:rPr>
                <w:rFonts w:hint="default"/>
                <w:spacing w:val="-4"/>
                <w:sz w:val="24"/>
                <w:szCs w:val="24"/>
              </w:rPr>
              <w:t>〕</w:t>
            </w:r>
            <w:r>
              <w:rPr>
                <w:rFonts w:hint="default" w:ascii="Times New Roman" w:hAnsi="Times New Roman" w:eastAsia="Times New Roman" w:cs="Times New Roman"/>
                <w:spacing w:val="-4"/>
                <w:sz w:val="24"/>
                <w:szCs w:val="24"/>
              </w:rPr>
              <w:t>1459</w:t>
            </w:r>
            <w:r>
              <w:rPr>
                <w:rFonts w:hint="default"/>
                <w:spacing w:val="-5"/>
                <w:sz w:val="24"/>
                <w:szCs w:val="24"/>
              </w:rPr>
              <w:t>号）文</w:t>
            </w:r>
            <w:r>
              <w:rPr>
                <w:rFonts w:hint="default"/>
                <w:spacing w:val="-4"/>
                <w:sz w:val="24"/>
                <w:szCs w:val="24"/>
              </w:rPr>
              <w:t>件“</w:t>
            </w:r>
            <w:r>
              <w:rPr>
                <w:rFonts w:hint="default"/>
                <w:spacing w:val="-90"/>
                <w:sz w:val="24"/>
                <w:szCs w:val="24"/>
              </w:rPr>
              <w:t xml:space="preserve"> </w:t>
            </w:r>
            <w:r>
              <w:rPr>
                <w:rFonts w:hint="default"/>
                <w:spacing w:val="-4"/>
                <w:sz w:val="24"/>
                <w:szCs w:val="24"/>
              </w:rPr>
              <w:t>国家</w:t>
            </w:r>
            <w:r>
              <w:rPr>
                <w:rFonts w:hint="eastAsia"/>
                <w:spacing w:val="-4"/>
                <w:sz w:val="24"/>
                <w:szCs w:val="24"/>
                <w:lang w:eastAsia="zh-CN"/>
              </w:rPr>
              <w:t>发展改革委</w:t>
            </w:r>
            <w:r>
              <w:rPr>
                <w:rFonts w:hint="default"/>
                <w:spacing w:val="-4"/>
                <w:sz w:val="24"/>
                <w:szCs w:val="24"/>
              </w:rPr>
              <w:t>关于新疆煤田火区治理规</w:t>
            </w:r>
            <w:r>
              <w:rPr>
                <w:rFonts w:hint="default"/>
                <w:spacing w:val="-5"/>
                <w:sz w:val="24"/>
                <w:szCs w:val="24"/>
              </w:rPr>
              <w:t>划（修编</w:t>
            </w:r>
            <w:r>
              <w:rPr>
                <w:rFonts w:hint="default"/>
                <w:spacing w:val="-52"/>
                <w:sz w:val="24"/>
                <w:szCs w:val="24"/>
              </w:rPr>
              <w:t>）（</w:t>
            </w:r>
            <w:r>
              <w:rPr>
                <w:rFonts w:hint="default" w:ascii="Times New Roman" w:hAnsi="Times New Roman" w:eastAsia="Times New Roman" w:cs="Times New Roman"/>
                <w:spacing w:val="-5"/>
                <w:sz w:val="24"/>
                <w:szCs w:val="24"/>
              </w:rPr>
              <w:t>2016-2025</w:t>
            </w:r>
            <w:r>
              <w:rPr>
                <w:rFonts w:hint="default"/>
                <w:spacing w:val="-6"/>
                <w:sz w:val="24"/>
                <w:szCs w:val="24"/>
              </w:rPr>
              <w:t>年）的复函</w:t>
            </w:r>
            <w:r>
              <w:rPr>
                <w:rFonts w:hint="default"/>
                <w:spacing w:val="-77"/>
                <w:sz w:val="24"/>
                <w:szCs w:val="24"/>
              </w:rPr>
              <w:t xml:space="preserve"> </w:t>
            </w:r>
            <w:r>
              <w:rPr>
                <w:rFonts w:hint="default"/>
                <w:spacing w:val="-6"/>
                <w:sz w:val="24"/>
                <w:szCs w:val="24"/>
              </w:rPr>
              <w:t>”的要求，同时为了贯彻落实自治区领导的指示精神，尽快</w:t>
            </w:r>
            <w:r>
              <w:rPr>
                <w:rFonts w:hint="default"/>
                <w:spacing w:val="-9"/>
                <w:sz w:val="24"/>
                <w:szCs w:val="24"/>
              </w:rPr>
              <w:t>启动该火区治理工作。本火区为自治区《新疆煤田火区治理规划（修编）</w:t>
            </w:r>
            <w:r>
              <w:rPr>
                <w:rFonts w:hint="default"/>
                <w:spacing w:val="-4"/>
                <w:sz w:val="24"/>
                <w:szCs w:val="24"/>
              </w:rPr>
              <w:t>（</w:t>
            </w:r>
            <w:r>
              <w:rPr>
                <w:rFonts w:hint="default" w:ascii="Times New Roman" w:hAnsi="Times New Roman" w:eastAsia="Times New Roman" w:cs="Times New Roman"/>
                <w:spacing w:val="-4"/>
                <w:sz w:val="24"/>
                <w:szCs w:val="24"/>
              </w:rPr>
              <w:t>2016</w:t>
            </w:r>
            <w:r>
              <w:rPr>
                <w:rFonts w:hint="eastAsia" w:ascii="Times New Roman" w:hAnsi="Times New Roman" w:eastAsia="宋体" w:cs="Times New Roman"/>
                <w:spacing w:val="-4"/>
                <w:sz w:val="24"/>
                <w:szCs w:val="24"/>
                <w:lang w:val="en-US" w:eastAsia="zh-CN"/>
              </w:rPr>
              <w:t>-</w:t>
            </w:r>
            <w:r>
              <w:rPr>
                <w:rFonts w:hint="default" w:ascii="Times New Roman" w:hAnsi="Times New Roman" w:eastAsia="Times New Roman" w:cs="Times New Roman"/>
                <w:spacing w:val="-4"/>
                <w:sz w:val="24"/>
                <w:szCs w:val="24"/>
              </w:rPr>
              <w:t>2025</w:t>
            </w:r>
            <w:r>
              <w:rPr>
                <w:rFonts w:hint="default"/>
                <w:spacing w:val="-4"/>
                <w:sz w:val="24"/>
                <w:szCs w:val="24"/>
              </w:rPr>
              <w:t>年）》中</w:t>
            </w:r>
            <w:r>
              <w:rPr>
                <w:rFonts w:hint="default" w:ascii="Times New Roman" w:hAnsi="Times New Roman" w:eastAsia="Times New Roman" w:cs="Times New Roman"/>
                <w:spacing w:val="-4"/>
                <w:sz w:val="24"/>
                <w:szCs w:val="24"/>
              </w:rPr>
              <w:t>38</w:t>
            </w:r>
            <w:r>
              <w:rPr>
                <w:rFonts w:hint="default"/>
                <w:spacing w:val="-4"/>
                <w:sz w:val="24"/>
                <w:szCs w:val="24"/>
              </w:rPr>
              <w:t>处一般火区之一，规划安排该火区的治理时间为第三阶段（</w:t>
            </w:r>
            <w:r>
              <w:rPr>
                <w:rFonts w:hint="default" w:ascii="Times New Roman" w:hAnsi="Times New Roman" w:eastAsia="Times New Roman" w:cs="Times New Roman"/>
                <w:spacing w:val="-4"/>
                <w:sz w:val="24"/>
                <w:szCs w:val="24"/>
              </w:rPr>
              <w:t>2022</w:t>
            </w:r>
            <w:r>
              <w:rPr>
                <w:rFonts w:hint="default"/>
                <w:spacing w:val="-4"/>
                <w:sz w:val="24"/>
                <w:szCs w:val="24"/>
              </w:rPr>
              <w:t>年</w:t>
            </w:r>
            <w:r>
              <w:rPr>
                <w:rFonts w:hint="eastAsia"/>
                <w:spacing w:val="-4"/>
                <w:sz w:val="24"/>
                <w:szCs w:val="24"/>
                <w:lang w:val="en-US" w:eastAsia="zh-CN"/>
              </w:rPr>
              <w:t>-</w:t>
            </w:r>
            <w:r>
              <w:rPr>
                <w:rFonts w:hint="default" w:ascii="Times New Roman" w:hAnsi="Times New Roman" w:eastAsia="Times New Roman" w:cs="Times New Roman"/>
                <w:spacing w:val="-4"/>
                <w:sz w:val="24"/>
                <w:szCs w:val="24"/>
              </w:rPr>
              <w:t>2025</w:t>
            </w:r>
            <w:r>
              <w:rPr>
                <w:rFonts w:hint="default"/>
                <w:spacing w:val="-4"/>
                <w:sz w:val="24"/>
                <w:szCs w:val="24"/>
              </w:rPr>
              <w:t>年）。因此</w:t>
            </w:r>
            <w:r>
              <w:rPr>
                <w:rFonts w:hint="eastAsia"/>
                <w:spacing w:val="-4"/>
                <w:sz w:val="24"/>
                <w:szCs w:val="24"/>
                <w:lang w:eastAsia="zh-CN"/>
              </w:rPr>
              <w:t>，</w:t>
            </w:r>
            <w:r>
              <w:rPr>
                <w:rFonts w:hint="default"/>
                <w:spacing w:val="-4"/>
                <w:sz w:val="24"/>
                <w:szCs w:val="24"/>
              </w:rPr>
              <w:t>该火区治理迫在眉睫，必</w:t>
            </w:r>
            <w:r>
              <w:rPr>
                <w:rFonts w:hint="default"/>
                <w:spacing w:val="-5"/>
                <w:sz w:val="24"/>
                <w:szCs w:val="24"/>
              </w:rPr>
              <w:t>须加快</w:t>
            </w:r>
            <w:r>
              <w:rPr>
                <w:rFonts w:hint="default"/>
                <w:spacing w:val="-4"/>
                <w:sz w:val="24"/>
                <w:szCs w:val="24"/>
              </w:rPr>
              <w:t>启动该火区的治理工作。</w:t>
            </w:r>
          </w:p>
          <w:p w14:paraId="0268210A">
            <w:pPr>
              <w:pStyle w:val="106"/>
              <w:keepNext w:val="0"/>
              <w:keepLines w:val="0"/>
              <w:suppressLineNumbers w:val="0"/>
              <w:spacing w:before="0" w:beforeAutospacing="0" w:after="0" w:afterAutospacing="0" w:line="359" w:lineRule="auto"/>
              <w:ind w:left="22" w:right="15" w:firstLine="474"/>
              <w:jc w:val="both"/>
              <w:rPr>
                <w:rFonts w:hint="eastAsia" w:ascii="Times New Roman" w:hAnsi="Times New Roman" w:eastAsia="宋体" w:cs="宋体"/>
                <w:color w:val="auto"/>
                <w:sz w:val="24"/>
                <w:szCs w:val="24"/>
                <w:highlight w:val="none"/>
                <w:lang w:val="en-US" w:eastAsia="zh-CN"/>
              </w:rPr>
            </w:pPr>
            <w:r>
              <w:rPr>
                <w:rFonts w:hint="default" w:ascii="Times New Roman" w:hAnsi="Times New Roman" w:eastAsia="Times New Roman" w:cs="Times New Roman"/>
                <w:spacing w:val="2"/>
                <w:sz w:val="24"/>
                <w:szCs w:val="24"/>
              </w:rPr>
              <w:t>2022</w:t>
            </w:r>
            <w:r>
              <w:rPr>
                <w:rFonts w:hint="default"/>
                <w:spacing w:val="2"/>
                <w:sz w:val="24"/>
                <w:szCs w:val="24"/>
              </w:rPr>
              <w:t>年</w:t>
            </w:r>
            <w:r>
              <w:rPr>
                <w:rFonts w:hint="default" w:ascii="Times New Roman" w:hAnsi="Times New Roman" w:eastAsia="Times New Roman" w:cs="Times New Roman"/>
                <w:spacing w:val="2"/>
                <w:sz w:val="24"/>
                <w:szCs w:val="24"/>
              </w:rPr>
              <w:t>8</w:t>
            </w:r>
            <w:r>
              <w:rPr>
                <w:rFonts w:hint="default"/>
                <w:spacing w:val="2"/>
                <w:sz w:val="24"/>
                <w:szCs w:val="24"/>
              </w:rPr>
              <w:t>月，新疆维吾尔自治区人民政府办公厅发布了《关于印发</w:t>
            </w:r>
            <w:r>
              <w:rPr>
                <w:rFonts w:hint="default"/>
                <w:spacing w:val="13"/>
                <w:sz w:val="24"/>
                <w:szCs w:val="24"/>
              </w:rPr>
              <w:t>新疆维吾尔自治区煤田火区灭火工作实施方案的通知》</w:t>
            </w:r>
            <w:r>
              <w:rPr>
                <w:rFonts w:hint="default"/>
                <w:spacing w:val="-79"/>
                <w:sz w:val="24"/>
                <w:szCs w:val="24"/>
              </w:rPr>
              <w:t xml:space="preserve"> </w:t>
            </w:r>
            <w:r>
              <w:rPr>
                <w:rFonts w:hint="default"/>
                <w:spacing w:val="13"/>
                <w:sz w:val="24"/>
                <w:szCs w:val="24"/>
              </w:rPr>
              <w:t>（新政办发</w:t>
            </w:r>
            <w:r>
              <w:rPr>
                <w:rFonts w:hint="default"/>
                <w:spacing w:val="-3"/>
                <w:sz w:val="24"/>
                <w:szCs w:val="24"/>
              </w:rPr>
              <w:t>〔</w:t>
            </w:r>
            <w:r>
              <w:rPr>
                <w:rFonts w:hint="default" w:ascii="Times New Roman" w:hAnsi="Times New Roman" w:eastAsia="Times New Roman" w:cs="Times New Roman"/>
                <w:spacing w:val="-3"/>
                <w:sz w:val="24"/>
                <w:szCs w:val="24"/>
              </w:rPr>
              <w:t>2022</w:t>
            </w:r>
            <w:r>
              <w:rPr>
                <w:rFonts w:hint="default"/>
                <w:spacing w:val="-3"/>
                <w:sz w:val="24"/>
                <w:szCs w:val="24"/>
              </w:rPr>
              <w:t>〕</w:t>
            </w:r>
            <w:r>
              <w:rPr>
                <w:rFonts w:hint="default" w:ascii="Times New Roman" w:hAnsi="Times New Roman" w:eastAsia="Times New Roman" w:cs="Times New Roman"/>
                <w:spacing w:val="-3"/>
                <w:sz w:val="24"/>
                <w:szCs w:val="24"/>
              </w:rPr>
              <w:t>54</w:t>
            </w:r>
            <w:r>
              <w:rPr>
                <w:rFonts w:hint="default"/>
                <w:spacing w:val="-3"/>
                <w:sz w:val="24"/>
                <w:szCs w:val="24"/>
              </w:rPr>
              <w:t>号</w:t>
            </w:r>
            <w:r>
              <w:rPr>
                <w:rFonts w:hint="default"/>
                <w:spacing w:val="4"/>
                <w:sz w:val="24"/>
                <w:szCs w:val="24"/>
              </w:rPr>
              <w:t>），</w:t>
            </w:r>
            <w:r>
              <w:rPr>
                <w:rFonts w:hint="default"/>
                <w:spacing w:val="-3"/>
                <w:sz w:val="24"/>
                <w:szCs w:val="24"/>
              </w:rPr>
              <w:t>“</w:t>
            </w:r>
            <w:r>
              <w:rPr>
                <w:rFonts w:hint="eastAsia" w:cs="宋体"/>
                <w:color w:val="auto"/>
                <w:sz w:val="24"/>
                <w:szCs w:val="24"/>
                <w:lang w:val="en-US" w:eastAsia="zh-CN"/>
              </w:rPr>
              <w:t>阜康西沙沟</w:t>
            </w:r>
            <w:r>
              <w:rPr>
                <w:rFonts w:hint="default"/>
                <w:spacing w:val="-88"/>
                <w:sz w:val="24"/>
                <w:szCs w:val="24"/>
              </w:rPr>
              <w:t xml:space="preserve"> </w:t>
            </w:r>
            <w:r>
              <w:rPr>
                <w:rFonts w:hint="default"/>
                <w:spacing w:val="-3"/>
                <w:sz w:val="24"/>
                <w:szCs w:val="24"/>
              </w:rPr>
              <w:t>”为</w:t>
            </w:r>
            <w:r>
              <w:rPr>
                <w:rFonts w:hint="eastAsia" w:ascii="Times New Roman" w:hAnsi="Times New Roman" w:eastAsia="宋体" w:cs="Times New Roman"/>
                <w:spacing w:val="-3"/>
                <w:sz w:val="24"/>
                <w:szCs w:val="24"/>
                <w:lang w:val="en-US" w:eastAsia="zh-CN"/>
              </w:rPr>
              <w:t>2025</w:t>
            </w:r>
            <w:r>
              <w:rPr>
                <w:rFonts w:hint="default"/>
                <w:spacing w:val="-3"/>
                <w:sz w:val="24"/>
                <w:szCs w:val="24"/>
              </w:rPr>
              <w:t>年底前</w:t>
            </w:r>
            <w:r>
              <w:rPr>
                <w:rFonts w:hint="eastAsia"/>
                <w:spacing w:val="-3"/>
                <w:sz w:val="24"/>
                <w:szCs w:val="24"/>
                <w:lang w:val="en-US" w:eastAsia="zh-CN"/>
              </w:rPr>
              <w:t>采矿权人</w:t>
            </w:r>
            <w:r>
              <w:rPr>
                <w:rFonts w:hint="default"/>
                <w:spacing w:val="-3"/>
                <w:sz w:val="24"/>
                <w:szCs w:val="24"/>
              </w:rPr>
              <w:t>负责</w:t>
            </w:r>
            <w:r>
              <w:rPr>
                <w:rFonts w:hint="default"/>
                <w:spacing w:val="-2"/>
                <w:sz w:val="24"/>
                <w:szCs w:val="24"/>
              </w:rPr>
              <w:t>治理的煤田火区。</w:t>
            </w:r>
            <w:r>
              <w:rPr>
                <w:rFonts w:hint="default"/>
                <w:spacing w:val="-5"/>
                <w:sz w:val="24"/>
                <w:szCs w:val="24"/>
              </w:rPr>
              <w:t>本项目为火区的治理，符合《新疆煤田火区治理规划（修编</w:t>
            </w:r>
            <w:r>
              <w:rPr>
                <w:rFonts w:hint="default"/>
                <w:spacing w:val="-54"/>
                <w:sz w:val="24"/>
                <w:szCs w:val="24"/>
              </w:rPr>
              <w:t>）</w:t>
            </w:r>
            <w:r>
              <w:rPr>
                <w:rFonts w:hint="eastAsia"/>
                <w:spacing w:val="-54"/>
                <w:sz w:val="24"/>
                <w:szCs w:val="24"/>
                <w:lang w:eastAsia="zh-CN"/>
              </w:rPr>
              <w:t>（</w:t>
            </w:r>
            <w:r>
              <w:rPr>
                <w:rFonts w:hint="default" w:ascii="Times New Roman" w:hAnsi="Times New Roman" w:cs="Times New Roman"/>
                <w:spacing w:val="-5"/>
                <w:sz w:val="24"/>
                <w:szCs w:val="24"/>
                <w:lang w:val="en-US" w:eastAsia="zh-CN"/>
              </w:rPr>
              <w:t>2016-2025年</w:t>
            </w:r>
            <w:r>
              <w:rPr>
                <w:rFonts w:hint="default" w:ascii="Times New Roman" w:hAnsi="Times New Roman" w:cs="Times New Roman"/>
                <w:spacing w:val="-5"/>
                <w:sz w:val="24"/>
                <w:szCs w:val="24"/>
                <w:lang w:eastAsia="zh-CN"/>
              </w:rPr>
              <w:t>）</w:t>
            </w:r>
            <w:r>
              <w:rPr>
                <w:rFonts w:hint="eastAsia" w:ascii="Times New Roman" w:hAnsi="Times New Roman" w:cs="Times New Roman"/>
                <w:spacing w:val="-5"/>
                <w:sz w:val="24"/>
                <w:szCs w:val="24"/>
                <w:lang w:eastAsia="zh-CN"/>
              </w:rPr>
              <w:t>》</w:t>
            </w:r>
            <w:r>
              <w:rPr>
                <w:rFonts w:hint="default"/>
                <w:spacing w:val="-5"/>
                <w:sz w:val="24"/>
                <w:szCs w:val="24"/>
              </w:rPr>
              <w:t>要求。</w:t>
            </w:r>
          </w:p>
        </w:tc>
      </w:tr>
      <w:tr w14:paraId="719215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593" w:type="pct"/>
            <w:noWrap w:val="0"/>
            <w:tcMar>
              <w:top w:w="16" w:type="dxa"/>
              <w:left w:w="16" w:type="dxa"/>
              <w:right w:w="16" w:type="dxa"/>
            </w:tcMar>
            <w:vAlign w:val="center"/>
          </w:tcPr>
          <w:p w14:paraId="33E83F51">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宋体"/>
                <w:b/>
                <w:bCs/>
                <w:color w:val="auto"/>
                <w:kern w:val="0"/>
                <w:szCs w:val="21"/>
              </w:rPr>
            </w:pPr>
            <w:bookmarkStart w:id="3" w:name="_Hlk56690880"/>
            <w:r>
              <w:rPr>
                <w:rFonts w:hint="eastAsia" w:ascii="Times New Roman" w:hAnsi="Times New Roman" w:cs="宋体"/>
                <w:b/>
                <w:bCs/>
                <w:color w:val="auto"/>
                <w:kern w:val="0"/>
                <w:sz w:val="24"/>
                <w:szCs w:val="24"/>
              </w:rPr>
              <w:t>其他符合性分析</w:t>
            </w:r>
            <w:bookmarkEnd w:id="3"/>
          </w:p>
        </w:tc>
        <w:tc>
          <w:tcPr>
            <w:tcW w:w="4406" w:type="pct"/>
            <w:gridSpan w:val="3"/>
            <w:noWrap w:val="0"/>
            <w:tcMar>
              <w:top w:w="16" w:type="dxa"/>
              <w:left w:w="16" w:type="dxa"/>
              <w:right w:w="16" w:type="dxa"/>
            </w:tcMar>
            <w:vAlign w:val="center"/>
          </w:tcPr>
          <w:p w14:paraId="2A4AA363">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cs="Times New Roman"/>
                <w:b/>
                <w:bCs/>
                <w:color w:val="auto"/>
                <w:sz w:val="24"/>
              </w:rPr>
            </w:pPr>
            <w:r>
              <w:rPr>
                <w:rFonts w:hint="eastAsia" w:ascii="Times New Roman" w:hAnsi="Times New Roman" w:cs="Times New Roman"/>
                <w:b/>
                <w:bCs/>
                <w:color w:val="auto"/>
                <w:sz w:val="24"/>
                <w:lang w:val="en-US" w:eastAsia="zh-CN"/>
              </w:rPr>
              <w:t>1、</w:t>
            </w:r>
            <w:r>
              <w:rPr>
                <w:rFonts w:hint="eastAsia" w:ascii="Times New Roman" w:hAnsi="Times New Roman" w:cs="Times New Roman"/>
                <w:b/>
                <w:bCs/>
                <w:color w:val="auto"/>
                <w:sz w:val="24"/>
              </w:rPr>
              <w:t>产业政策符合性分析</w:t>
            </w:r>
          </w:p>
          <w:p w14:paraId="40DBBC4A">
            <w:pPr>
              <w:keepNext w:val="0"/>
              <w:keepLines w:val="0"/>
              <w:suppressLineNumbers w:val="0"/>
              <w:spacing w:before="0" w:beforeAutospacing="0" w:after="0" w:afterAutospacing="0" w:line="360" w:lineRule="auto"/>
              <w:ind w:left="0" w:right="0" w:firstLine="480" w:firstLineChars="200"/>
              <w:rPr>
                <w:rFonts w:hint="eastAsia" w:ascii="宋体" w:hAnsi="宋体" w:cs="宋体"/>
                <w:b w:val="0"/>
                <w:bCs w:val="0"/>
                <w:color w:val="auto"/>
                <w:kern w:val="0"/>
                <w:sz w:val="24"/>
                <w:szCs w:val="24"/>
              </w:rPr>
            </w:pPr>
            <w:r>
              <w:rPr>
                <w:rFonts w:hint="eastAsia" w:ascii="宋体" w:hAnsi="宋体" w:cs="宋体"/>
                <w:b w:val="0"/>
                <w:bCs w:val="0"/>
                <w:color w:val="auto"/>
                <w:kern w:val="0"/>
                <w:sz w:val="24"/>
                <w:szCs w:val="24"/>
              </w:rPr>
              <w:t>根据国家发展和改革委员会发布的</w:t>
            </w:r>
            <w:r>
              <w:rPr>
                <w:rFonts w:hint="eastAsia" w:ascii="Times New Roman" w:hAnsi="Times New Roman" w:cs="Times New Roman"/>
                <w:b w:val="0"/>
                <w:bCs w:val="0"/>
                <w:color w:val="auto"/>
                <w:sz w:val="24"/>
                <w:szCs w:val="24"/>
              </w:rPr>
              <w:t>《产业结构调整指导目录（20</w:t>
            </w:r>
            <w:r>
              <w:rPr>
                <w:rFonts w:hint="eastAsia" w:ascii="Times New Roman" w:hAnsi="Times New Roman" w:cs="Times New Roman"/>
                <w:b w:val="0"/>
                <w:bCs w:val="0"/>
                <w:color w:val="auto"/>
                <w:sz w:val="24"/>
                <w:szCs w:val="24"/>
                <w:lang w:val="en-US" w:eastAsia="zh-CN"/>
              </w:rPr>
              <w:t>24</w:t>
            </w:r>
            <w:r>
              <w:rPr>
                <w:rFonts w:hint="eastAsia" w:ascii="Times New Roman" w:hAnsi="Times New Roman" w:cs="Times New Roman"/>
                <w:b w:val="0"/>
                <w:bCs w:val="0"/>
                <w:color w:val="auto"/>
                <w:sz w:val="24"/>
                <w:szCs w:val="24"/>
              </w:rPr>
              <w:t>年本）》，本项目属于</w:t>
            </w:r>
            <w:r>
              <w:rPr>
                <w:rFonts w:hint="eastAsia" w:cs="Times New Roman"/>
                <w:b w:val="0"/>
                <w:bCs w:val="0"/>
                <w:color w:val="auto"/>
                <w:sz w:val="24"/>
                <w:szCs w:val="24"/>
                <w:lang w:eastAsia="zh-CN"/>
              </w:rPr>
              <w:t>“</w:t>
            </w:r>
            <w:r>
              <w:rPr>
                <w:rFonts w:hint="eastAsia" w:cs="Times New Roman"/>
                <w:b w:val="0"/>
                <w:bCs w:val="0"/>
                <w:color w:val="auto"/>
                <w:sz w:val="24"/>
                <w:szCs w:val="24"/>
                <w:lang w:val="en-US" w:eastAsia="zh-CN"/>
              </w:rPr>
              <w:t>三、煤炭”中的“矿井灾害（瓦斯、煤尘、矿井水、火、围岩、地温、冲击地压等）防治</w:t>
            </w:r>
            <w:r>
              <w:rPr>
                <w:rFonts w:hint="eastAsia" w:cs="Times New Roman"/>
                <w:b w:val="0"/>
                <w:bCs w:val="0"/>
                <w:color w:val="auto"/>
                <w:sz w:val="24"/>
                <w:szCs w:val="24"/>
                <w:lang w:eastAsia="zh-CN"/>
              </w:rPr>
              <w:t>”，</w:t>
            </w:r>
            <w:r>
              <w:rPr>
                <w:rFonts w:hint="eastAsia" w:ascii="Times New Roman" w:hAnsi="Times New Roman" w:cs="Times New Roman"/>
                <w:b w:val="0"/>
                <w:bCs w:val="0"/>
                <w:color w:val="auto"/>
                <w:sz w:val="24"/>
                <w:szCs w:val="24"/>
              </w:rPr>
              <w:t>属于鼓励类，</w:t>
            </w:r>
            <w:r>
              <w:rPr>
                <w:rFonts w:hint="eastAsia" w:ascii="宋体" w:hAnsi="宋体" w:cs="宋体"/>
                <w:b w:val="0"/>
                <w:bCs w:val="0"/>
                <w:color w:val="auto"/>
                <w:kern w:val="0"/>
                <w:sz w:val="24"/>
                <w:szCs w:val="24"/>
              </w:rPr>
              <w:t>因此本项目符合国家</w:t>
            </w:r>
            <w:r>
              <w:rPr>
                <w:rFonts w:hint="eastAsia" w:ascii="宋体" w:hAnsi="宋体" w:cs="宋体"/>
                <w:b w:val="0"/>
                <w:bCs w:val="0"/>
                <w:color w:val="auto"/>
                <w:kern w:val="0"/>
                <w:sz w:val="24"/>
                <w:szCs w:val="24"/>
                <w:lang w:val="en-US" w:eastAsia="zh-CN"/>
              </w:rPr>
              <w:t>和地方</w:t>
            </w:r>
            <w:r>
              <w:rPr>
                <w:rFonts w:hint="eastAsia" w:ascii="宋体" w:hAnsi="宋体" w:cs="宋体"/>
                <w:b w:val="0"/>
                <w:bCs w:val="0"/>
                <w:color w:val="auto"/>
                <w:kern w:val="0"/>
                <w:sz w:val="24"/>
                <w:szCs w:val="24"/>
              </w:rPr>
              <w:t>的</w:t>
            </w:r>
            <w:r>
              <w:rPr>
                <w:rFonts w:hint="eastAsia" w:ascii="宋体" w:hAnsi="宋体" w:cs="宋体"/>
                <w:b w:val="0"/>
                <w:bCs w:val="0"/>
                <w:color w:val="auto"/>
                <w:kern w:val="0"/>
                <w:sz w:val="24"/>
                <w:szCs w:val="24"/>
                <w:lang w:val="en-US" w:eastAsia="zh-CN"/>
              </w:rPr>
              <w:t>相关</w:t>
            </w:r>
            <w:r>
              <w:rPr>
                <w:rFonts w:hint="eastAsia" w:ascii="宋体" w:hAnsi="宋体" w:cs="宋体"/>
                <w:b w:val="0"/>
                <w:bCs w:val="0"/>
                <w:color w:val="auto"/>
                <w:kern w:val="0"/>
                <w:sz w:val="24"/>
                <w:szCs w:val="24"/>
              </w:rPr>
              <w:t>产业政策。</w:t>
            </w:r>
          </w:p>
          <w:p w14:paraId="4A19C6FB">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val="0"/>
                <w:color w:val="auto"/>
                <w:sz w:val="24"/>
                <w:szCs w:val="24"/>
                <w:lang w:val="en-US" w:eastAsia="zh-CN"/>
              </w:rPr>
            </w:pPr>
            <w:r>
              <w:rPr>
                <w:rFonts w:hint="default" w:ascii="Times New Roman" w:hAnsi="Times New Roman" w:cs="Times New Roman"/>
                <w:b w:val="0"/>
                <w:bCs w:val="0"/>
                <w:color w:val="auto"/>
                <w:sz w:val="24"/>
                <w:szCs w:val="24"/>
                <w:highlight w:val="none"/>
                <w:lang w:val="en-US" w:eastAsia="zh-CN"/>
              </w:rPr>
              <w:t>项目</w:t>
            </w:r>
            <w:r>
              <w:rPr>
                <w:rFonts w:hint="eastAsia" w:ascii="Times New Roman" w:hAnsi="Times New Roman" w:eastAsia="宋体"/>
                <w:b w:val="0"/>
                <w:bCs w:val="0"/>
                <w:caps w:val="0"/>
                <w:color w:val="auto"/>
                <w:sz w:val="24"/>
                <w:highlight w:val="none"/>
                <w:lang w:val="en-US" w:eastAsia="zh-CN"/>
              </w:rPr>
              <w:t>于</w:t>
            </w:r>
            <w:r>
              <w:rPr>
                <w:rFonts w:hint="eastAsia"/>
                <w:b w:val="0"/>
                <w:bCs w:val="0"/>
                <w:caps w:val="0"/>
                <w:color w:val="auto"/>
                <w:sz w:val="24"/>
                <w:highlight w:val="none"/>
                <w:lang w:val="en-US" w:eastAsia="zh-CN"/>
              </w:rPr>
              <w:t>2026</w:t>
            </w:r>
            <w:r>
              <w:rPr>
                <w:rFonts w:hint="eastAsia" w:ascii="Times New Roman" w:hAnsi="Times New Roman" w:eastAsia="宋体"/>
                <w:b w:val="0"/>
                <w:bCs w:val="0"/>
                <w:caps w:val="0"/>
                <w:color w:val="auto"/>
                <w:sz w:val="24"/>
                <w:highlight w:val="none"/>
                <w:lang w:val="en-US" w:eastAsia="zh-CN"/>
              </w:rPr>
              <w:t>年</w:t>
            </w:r>
            <w:r>
              <w:rPr>
                <w:rFonts w:hint="eastAsia"/>
                <w:b w:val="0"/>
                <w:bCs w:val="0"/>
                <w:caps w:val="0"/>
                <w:color w:val="auto"/>
                <w:sz w:val="24"/>
                <w:highlight w:val="none"/>
                <w:lang w:val="en-US" w:eastAsia="zh-CN"/>
              </w:rPr>
              <w:t>5</w:t>
            </w:r>
            <w:r>
              <w:rPr>
                <w:rFonts w:hint="eastAsia" w:ascii="Times New Roman" w:hAnsi="Times New Roman" w:eastAsia="宋体"/>
                <w:b w:val="0"/>
                <w:bCs w:val="0"/>
                <w:caps w:val="0"/>
                <w:color w:val="auto"/>
                <w:sz w:val="24"/>
                <w:highlight w:val="none"/>
                <w:lang w:val="en-US" w:eastAsia="zh-CN"/>
              </w:rPr>
              <w:t>月</w:t>
            </w:r>
            <w:r>
              <w:rPr>
                <w:rFonts w:hint="eastAsia"/>
                <w:b w:val="0"/>
                <w:bCs w:val="0"/>
                <w:caps w:val="0"/>
                <w:color w:val="auto"/>
                <w:sz w:val="24"/>
                <w:highlight w:val="none"/>
                <w:lang w:val="en-US" w:eastAsia="zh-CN"/>
              </w:rPr>
              <w:t>22</w:t>
            </w:r>
            <w:r>
              <w:rPr>
                <w:rFonts w:hint="eastAsia" w:ascii="Times New Roman" w:hAnsi="Times New Roman" w:eastAsia="宋体"/>
                <w:b w:val="0"/>
                <w:bCs w:val="0"/>
                <w:caps w:val="0"/>
                <w:color w:val="auto"/>
                <w:sz w:val="24"/>
                <w:highlight w:val="none"/>
                <w:lang w:val="en-US" w:eastAsia="zh-CN"/>
              </w:rPr>
              <w:t>日取得</w:t>
            </w:r>
            <w:r>
              <w:rPr>
                <w:rFonts w:hint="eastAsia"/>
                <w:b w:val="0"/>
                <w:bCs w:val="0"/>
                <w:caps w:val="0"/>
                <w:color w:val="auto"/>
                <w:sz w:val="24"/>
                <w:highlight w:val="none"/>
                <w:lang w:val="en-US" w:eastAsia="zh-CN"/>
              </w:rPr>
              <w:t>昌吉回族自治州人民政府出具的《昌吉回族自治州人民政府关于阜康西沙沟煤田火区灭火工程初步设计（代可研）的批复》（</w:t>
            </w:r>
            <w:r>
              <w:rPr>
                <w:rFonts w:hint="eastAsia" w:cs="Times New Roman"/>
                <w:color w:val="auto"/>
                <w:kern w:val="0"/>
                <w:sz w:val="24"/>
                <w:lang w:val="en-US" w:eastAsia="zh-CN"/>
              </w:rPr>
              <w:t>昌州</w:t>
            </w:r>
            <w:r>
              <w:rPr>
                <w:rFonts w:hint="eastAsia" w:ascii="Times New Roman" w:hAnsi="Times New Roman" w:cs="Times New Roman"/>
                <w:color w:val="auto"/>
                <w:kern w:val="0"/>
                <w:sz w:val="24"/>
                <w:lang w:val="en-US" w:eastAsia="zh-CN"/>
              </w:rPr>
              <w:t>政函</w:t>
            </w:r>
            <w:r>
              <w:rPr>
                <w:rFonts w:hint="default" w:ascii="Times New Roman" w:hAnsi="Times New Roman" w:cs="Times New Roman"/>
                <w:color w:val="auto"/>
                <w:kern w:val="0"/>
                <w:sz w:val="24"/>
                <w:lang w:eastAsia="zh-CN"/>
              </w:rPr>
              <w:t>〔20</w:t>
            </w:r>
            <w:r>
              <w:rPr>
                <w:rFonts w:hint="eastAsia" w:cs="Times New Roman"/>
                <w:color w:val="auto"/>
                <w:kern w:val="0"/>
                <w:sz w:val="24"/>
                <w:lang w:val="en-US" w:eastAsia="zh-CN"/>
              </w:rPr>
              <w:t>26</w:t>
            </w:r>
            <w:r>
              <w:rPr>
                <w:rFonts w:hint="default" w:ascii="Times New Roman" w:hAnsi="Times New Roman" w:cs="Times New Roman"/>
                <w:color w:val="auto"/>
                <w:kern w:val="0"/>
                <w:sz w:val="24"/>
                <w:lang w:eastAsia="zh-CN"/>
              </w:rPr>
              <w:t>〕</w:t>
            </w:r>
            <w:r>
              <w:rPr>
                <w:rFonts w:hint="eastAsia" w:cs="Times New Roman"/>
                <w:color w:val="auto"/>
                <w:kern w:val="0"/>
                <w:sz w:val="24"/>
                <w:lang w:val="en-US" w:eastAsia="zh-CN"/>
              </w:rPr>
              <w:t>142</w:t>
            </w:r>
            <w:r>
              <w:rPr>
                <w:rFonts w:hint="default" w:ascii="Times New Roman" w:hAnsi="Times New Roman" w:cs="Times New Roman"/>
                <w:color w:val="auto"/>
                <w:kern w:val="0"/>
                <w:sz w:val="24"/>
              </w:rPr>
              <w:t>号</w:t>
            </w:r>
            <w:r>
              <w:rPr>
                <w:rFonts w:hint="eastAsia"/>
                <w:b w:val="0"/>
                <w:bCs w:val="0"/>
                <w:caps w:val="0"/>
                <w:color w:val="auto"/>
                <w:sz w:val="24"/>
                <w:highlight w:val="none"/>
                <w:lang w:val="en-US" w:eastAsia="zh-CN"/>
              </w:rPr>
              <w:t>）</w:t>
            </w:r>
            <w:r>
              <w:rPr>
                <w:rFonts w:hint="eastAsia" w:ascii="Times New Roman" w:hAnsi="Times New Roman" w:eastAsia="宋体"/>
                <w:b w:val="0"/>
                <w:bCs w:val="0"/>
                <w:caps w:val="0"/>
                <w:color w:val="auto"/>
                <w:sz w:val="24"/>
                <w:highlight w:val="none"/>
                <w:lang w:val="en-US" w:eastAsia="zh-CN"/>
              </w:rPr>
              <w:t>。</w:t>
            </w:r>
            <w:r>
              <w:rPr>
                <w:rFonts w:hint="default" w:ascii="Times New Roman" w:hAnsi="Times New Roman" w:cs="Times New Roman"/>
                <w:b w:val="0"/>
                <w:bCs w:val="0"/>
                <w:color w:val="auto"/>
                <w:sz w:val="24"/>
                <w:szCs w:val="24"/>
                <w:highlight w:val="none"/>
                <w:lang w:val="en-US" w:eastAsia="zh-CN"/>
              </w:rPr>
              <w:t>项目</w:t>
            </w:r>
            <w:r>
              <w:rPr>
                <w:rFonts w:hint="eastAsia"/>
                <w:b w:val="0"/>
                <w:bCs w:val="0"/>
                <w:caps w:val="0"/>
                <w:color w:val="auto"/>
                <w:sz w:val="24"/>
                <w:highlight w:val="none"/>
                <w:lang w:val="en-US" w:eastAsia="zh-CN"/>
              </w:rPr>
              <w:t>初步设计</w:t>
            </w:r>
            <w:r>
              <w:rPr>
                <w:rFonts w:hint="eastAsia" w:cs="Times New Roman"/>
                <w:b w:val="0"/>
                <w:bCs w:val="0"/>
                <w:color w:val="auto"/>
                <w:sz w:val="24"/>
                <w:szCs w:val="24"/>
                <w:highlight w:val="none"/>
                <w:lang w:val="en-US" w:eastAsia="zh-CN"/>
              </w:rPr>
              <w:t>批复</w:t>
            </w:r>
            <w:r>
              <w:rPr>
                <w:rFonts w:hint="eastAsia" w:ascii="Times New Roman" w:hAnsi="Times New Roman" w:cs="Times New Roman"/>
                <w:b w:val="0"/>
                <w:bCs w:val="0"/>
                <w:color w:val="auto"/>
                <w:sz w:val="24"/>
                <w:szCs w:val="24"/>
                <w:highlight w:val="none"/>
                <w:lang w:val="en-US" w:eastAsia="zh-CN"/>
              </w:rPr>
              <w:t>见</w:t>
            </w:r>
            <w:r>
              <w:rPr>
                <w:rFonts w:hint="default" w:ascii="Times New Roman" w:hAnsi="Times New Roman" w:cs="Times New Roman"/>
                <w:b w:val="0"/>
                <w:bCs w:val="0"/>
                <w:color w:val="auto"/>
                <w:sz w:val="24"/>
                <w:szCs w:val="24"/>
                <w:highlight w:val="none"/>
                <w:lang w:val="en-US" w:eastAsia="zh-CN"/>
              </w:rPr>
              <w:t>附件</w:t>
            </w:r>
            <w:r>
              <w:rPr>
                <w:rFonts w:hint="eastAsia" w:cs="Times New Roman"/>
                <w:b w:val="0"/>
                <w:bCs w:val="0"/>
                <w:color w:val="auto"/>
                <w:sz w:val="24"/>
                <w:szCs w:val="24"/>
                <w:highlight w:val="none"/>
                <w:lang w:val="en-US" w:eastAsia="zh-CN"/>
              </w:rPr>
              <w:t>2</w:t>
            </w:r>
            <w:r>
              <w:rPr>
                <w:rFonts w:hint="default" w:ascii="Times New Roman" w:hAnsi="Times New Roman" w:cs="Times New Roman"/>
                <w:b w:val="0"/>
                <w:bCs w:val="0"/>
                <w:color w:val="auto"/>
                <w:sz w:val="24"/>
                <w:szCs w:val="24"/>
                <w:highlight w:val="none"/>
                <w:lang w:val="en-US" w:eastAsia="zh-CN"/>
              </w:rPr>
              <w:t>。</w:t>
            </w:r>
          </w:p>
          <w:p w14:paraId="550B4587">
            <w:pPr>
              <w:keepNext w:val="0"/>
              <w:keepLines w:val="0"/>
              <w:suppressLineNumbers w:val="0"/>
              <w:autoSpaceDE w:val="0"/>
              <w:autoSpaceDN w:val="0"/>
              <w:adjustRightInd w:val="0"/>
              <w:snapToGrid w:val="0"/>
              <w:spacing w:before="0" w:beforeAutospacing="0" w:after="0" w:afterAutospacing="0" w:line="360" w:lineRule="auto"/>
              <w:ind w:left="0" w:right="0" w:firstLine="482" w:firstLineChars="200"/>
              <w:rPr>
                <w:rFonts w:hint="default" w:ascii="Times New Roman" w:hAnsi="Times New Roman" w:cs="Times New Roman"/>
                <w:b/>
                <w:bCs/>
                <w:color w:val="auto"/>
                <w:kern w:val="0"/>
                <w:sz w:val="24"/>
              </w:rPr>
            </w:pPr>
            <w:r>
              <w:rPr>
                <w:rFonts w:hint="default" w:ascii="Times New Roman" w:hAnsi="Times New Roman" w:cs="Times New Roman"/>
                <w:b/>
                <w:bCs/>
                <w:color w:val="auto"/>
                <w:sz w:val="24"/>
                <w:szCs w:val="24"/>
                <w:lang w:val="en-US" w:eastAsia="zh-CN"/>
              </w:rPr>
              <w:t>2、</w:t>
            </w:r>
            <w:r>
              <w:rPr>
                <w:rFonts w:hint="default" w:ascii="Times New Roman" w:hAnsi="Times New Roman" w:cs="Times New Roman"/>
                <w:b/>
                <w:bCs/>
                <w:color w:val="auto"/>
                <w:kern w:val="0"/>
                <w:sz w:val="24"/>
              </w:rPr>
              <w:t>选址合理性分析</w:t>
            </w:r>
          </w:p>
          <w:p w14:paraId="0D219B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b w:val="0"/>
                <w:bCs w:val="0"/>
                <w:color w:val="auto"/>
                <w:sz w:val="24"/>
                <w:szCs w:val="24"/>
                <w:highlight w:val="none"/>
                <w:u w:val="none"/>
                <w:lang w:val="en-US" w:eastAsia="zh-CN"/>
              </w:rPr>
            </w:pPr>
            <w:r>
              <w:rPr>
                <w:rFonts w:hint="eastAsia" w:ascii="Times New Roman" w:hAnsi="Times New Roman" w:cs="Times New Roman"/>
                <w:color w:val="auto"/>
                <w:sz w:val="24"/>
                <w:szCs w:val="24"/>
              </w:rPr>
              <w:t>本项目位于</w:t>
            </w:r>
            <w:r>
              <w:rPr>
                <w:rFonts w:hint="eastAsia" w:cs="Times New Roman"/>
                <w:color w:val="auto"/>
                <w:sz w:val="24"/>
                <w:szCs w:val="24"/>
                <w:u w:val="none"/>
                <w:lang w:val="en-US" w:eastAsia="zh-CN"/>
              </w:rPr>
              <w:t>新疆维吾尔自治区昌吉回族自治州阜康市甘河</w:t>
            </w:r>
            <w:r>
              <w:rPr>
                <w:rFonts w:hint="eastAsia" w:ascii="Times New Roman" w:hAnsi="Times New Roman" w:cs="Times New Roman"/>
                <w:color w:val="auto"/>
                <w:sz w:val="24"/>
                <w:szCs w:val="24"/>
                <w:u w:val="none"/>
                <w:shd w:val="clear" w:color="auto" w:fill="auto"/>
                <w:lang w:val="en-US" w:eastAsia="zh-CN"/>
              </w:rPr>
              <w:t>子镇西南</w:t>
            </w:r>
            <w:r>
              <w:rPr>
                <w:rFonts w:hint="eastAsia" w:cs="Times New Roman"/>
                <w:color w:val="auto"/>
                <w:sz w:val="24"/>
                <w:szCs w:val="24"/>
                <w:u w:val="none"/>
                <w:shd w:val="clear" w:color="auto" w:fill="auto"/>
                <w:lang w:val="en-US" w:eastAsia="zh-CN"/>
              </w:rPr>
              <w:t>3</w:t>
            </w:r>
            <w:r>
              <w:rPr>
                <w:rFonts w:hint="eastAsia" w:ascii="Times New Roman" w:hAnsi="Times New Roman" w:cs="Times New Roman"/>
                <w:color w:val="auto"/>
                <w:sz w:val="24"/>
                <w:szCs w:val="24"/>
                <w:u w:val="none"/>
                <w:shd w:val="clear" w:color="auto" w:fill="auto"/>
                <w:lang w:val="en-US" w:eastAsia="zh-CN"/>
              </w:rPr>
              <w:t>km处</w:t>
            </w:r>
            <w:r>
              <w:rPr>
                <w:rFonts w:hint="eastAsia" w:cs="Times New Roman"/>
                <w:color w:val="auto"/>
                <w:sz w:val="24"/>
                <w:szCs w:val="24"/>
                <w:u w:val="none"/>
                <w:shd w:val="clear" w:color="auto" w:fill="auto"/>
                <w:lang w:val="en-US" w:eastAsia="zh-CN"/>
              </w:rPr>
              <w:t>康龙煤矿，</w:t>
            </w:r>
            <w:r>
              <w:rPr>
                <w:rFonts w:hint="default" w:ascii="Times New Roman" w:hAnsi="Times New Roman" w:cs="Times New Roman"/>
                <w:b w:val="0"/>
                <w:bCs w:val="0"/>
                <w:color w:val="auto"/>
                <w:sz w:val="24"/>
                <w:szCs w:val="24"/>
                <w:highlight w:val="none"/>
                <w:u w:val="none"/>
                <w:lang w:val="en-US" w:eastAsia="zh-CN"/>
              </w:rPr>
              <w:t>拟建项目</w:t>
            </w:r>
            <w:r>
              <w:rPr>
                <w:rFonts w:hint="eastAsia" w:ascii="Times New Roman" w:hAnsi="Times New Roman" w:cs="Times New Roman"/>
                <w:b w:val="0"/>
                <w:bCs w:val="0"/>
                <w:color w:val="auto"/>
                <w:sz w:val="24"/>
                <w:szCs w:val="24"/>
                <w:highlight w:val="none"/>
                <w:u w:val="none"/>
                <w:lang w:val="en-US" w:eastAsia="zh-CN"/>
              </w:rPr>
              <w:t>地理位置见</w:t>
            </w:r>
            <w:r>
              <w:rPr>
                <w:rFonts w:hint="eastAsia" w:ascii="Times New Roman" w:hAnsi="Times New Roman" w:cs="Times New Roman"/>
                <w:b/>
                <w:bCs/>
                <w:color w:val="auto"/>
                <w:sz w:val="24"/>
                <w:szCs w:val="24"/>
                <w:highlight w:val="none"/>
                <w:u w:val="none"/>
                <w:lang w:val="en-US" w:eastAsia="zh-CN"/>
              </w:rPr>
              <w:t>附图1</w:t>
            </w:r>
            <w:r>
              <w:rPr>
                <w:rFonts w:hint="eastAsia" w:ascii="Times New Roman" w:hAnsi="Times New Roman" w:cs="Times New Roman"/>
                <w:b w:val="0"/>
                <w:bCs w:val="0"/>
                <w:color w:val="auto"/>
                <w:sz w:val="24"/>
                <w:szCs w:val="24"/>
                <w:highlight w:val="none"/>
                <w:u w:val="none"/>
                <w:lang w:val="en-US" w:eastAsia="zh-CN"/>
              </w:rPr>
              <w:t>。</w:t>
            </w:r>
            <w:r>
              <w:rPr>
                <w:rFonts w:hint="eastAsia" w:cs="Times New Roman"/>
                <w:b w:val="0"/>
                <w:bCs w:val="0"/>
                <w:color w:val="auto"/>
                <w:sz w:val="24"/>
                <w:szCs w:val="24"/>
                <w:highlight w:val="none"/>
                <w:u w:val="none"/>
                <w:lang w:val="en-US" w:eastAsia="zh-CN"/>
              </w:rPr>
              <w:t>1号子火区</w:t>
            </w:r>
            <w:r>
              <w:rPr>
                <w:rFonts w:hint="default" w:ascii="Times New Roman" w:hAnsi="Times New Roman" w:cs="Times New Roman"/>
                <w:b w:val="0"/>
                <w:bCs w:val="0"/>
                <w:color w:val="auto"/>
                <w:sz w:val="24"/>
                <w:szCs w:val="24"/>
                <w:highlight w:val="none"/>
                <w:u w:val="none"/>
                <w:lang w:val="en-US" w:eastAsia="zh-CN"/>
              </w:rPr>
              <w:t>东</w:t>
            </w:r>
            <w:r>
              <w:rPr>
                <w:rFonts w:hint="eastAsia" w:ascii="Times New Roman" w:hAnsi="Times New Roman" w:cs="Times New Roman"/>
                <w:b w:val="0"/>
                <w:bCs w:val="0"/>
                <w:color w:val="auto"/>
                <w:sz w:val="24"/>
                <w:szCs w:val="24"/>
                <w:highlight w:val="none"/>
                <w:u w:val="none"/>
                <w:lang w:val="en-US" w:eastAsia="zh-CN"/>
              </w:rPr>
              <w:t>侧</w:t>
            </w:r>
            <w:r>
              <w:rPr>
                <w:rFonts w:hint="eastAsia" w:cs="Times New Roman"/>
                <w:b w:val="0"/>
                <w:bCs w:val="0"/>
                <w:color w:val="auto"/>
                <w:sz w:val="24"/>
                <w:szCs w:val="24"/>
                <w:highlight w:val="none"/>
                <w:u w:val="none"/>
                <w:lang w:val="en-US" w:eastAsia="zh-CN"/>
              </w:rPr>
              <w:t>、南侧、西侧、北侧均为空地，2地子火区</w:t>
            </w:r>
            <w:r>
              <w:rPr>
                <w:rFonts w:hint="default" w:ascii="Times New Roman" w:hAnsi="Times New Roman" w:cs="Times New Roman"/>
                <w:b w:val="0"/>
                <w:bCs w:val="0"/>
                <w:color w:val="auto"/>
                <w:sz w:val="24"/>
                <w:szCs w:val="24"/>
                <w:highlight w:val="none"/>
                <w:u w:val="none"/>
                <w:lang w:val="en-US" w:eastAsia="zh-CN"/>
              </w:rPr>
              <w:t>东</w:t>
            </w:r>
            <w:r>
              <w:rPr>
                <w:rFonts w:hint="eastAsia" w:ascii="Times New Roman" w:hAnsi="Times New Roman" w:cs="Times New Roman"/>
                <w:b w:val="0"/>
                <w:bCs w:val="0"/>
                <w:color w:val="auto"/>
                <w:sz w:val="24"/>
                <w:szCs w:val="24"/>
                <w:highlight w:val="none"/>
                <w:u w:val="none"/>
                <w:lang w:val="en-US" w:eastAsia="zh-CN"/>
              </w:rPr>
              <w:t>侧</w:t>
            </w:r>
            <w:r>
              <w:rPr>
                <w:rFonts w:hint="eastAsia" w:cs="Times New Roman"/>
                <w:b w:val="0"/>
                <w:bCs w:val="0"/>
                <w:color w:val="auto"/>
                <w:sz w:val="24"/>
                <w:szCs w:val="24"/>
                <w:highlight w:val="none"/>
                <w:u w:val="none"/>
                <w:lang w:val="en-US" w:eastAsia="zh-CN"/>
              </w:rPr>
              <w:t>、南侧、西侧、北侧均为空地，3号子火区</w:t>
            </w:r>
            <w:r>
              <w:rPr>
                <w:rFonts w:hint="default" w:ascii="Times New Roman" w:hAnsi="Times New Roman" w:cs="Times New Roman"/>
                <w:b w:val="0"/>
                <w:bCs w:val="0"/>
                <w:color w:val="auto"/>
                <w:sz w:val="24"/>
                <w:szCs w:val="24"/>
                <w:highlight w:val="none"/>
                <w:u w:val="none"/>
                <w:lang w:val="en-US" w:eastAsia="zh-CN"/>
              </w:rPr>
              <w:t>东</w:t>
            </w:r>
            <w:r>
              <w:rPr>
                <w:rFonts w:hint="eastAsia" w:ascii="Times New Roman" w:hAnsi="Times New Roman" w:cs="Times New Roman"/>
                <w:b w:val="0"/>
                <w:bCs w:val="0"/>
                <w:color w:val="auto"/>
                <w:sz w:val="24"/>
                <w:szCs w:val="24"/>
                <w:highlight w:val="none"/>
                <w:u w:val="none"/>
                <w:lang w:val="en-US" w:eastAsia="zh-CN"/>
              </w:rPr>
              <w:t>侧</w:t>
            </w:r>
            <w:r>
              <w:rPr>
                <w:rFonts w:hint="eastAsia" w:cs="Times New Roman"/>
                <w:b w:val="0"/>
                <w:bCs w:val="0"/>
                <w:color w:val="auto"/>
                <w:sz w:val="24"/>
                <w:szCs w:val="24"/>
                <w:highlight w:val="none"/>
                <w:u w:val="none"/>
                <w:lang w:val="en-US" w:eastAsia="zh-CN"/>
              </w:rPr>
              <w:t>、南侧、西侧、北侧均为空地，项目南侧最近距离新疆天山天池风景自然公园约4.88km，项目南侧距离甘河子水库水源地二级保护区约1.84km，</w:t>
            </w:r>
            <w:r>
              <w:rPr>
                <w:rFonts w:hint="default" w:ascii="Times New Roman" w:hAnsi="Times New Roman" w:cs="Times New Roman"/>
                <w:b w:val="0"/>
                <w:bCs w:val="0"/>
                <w:color w:val="auto"/>
                <w:sz w:val="24"/>
                <w:szCs w:val="24"/>
                <w:highlight w:val="none"/>
                <w:u w:val="none"/>
                <w:lang w:val="en-US" w:eastAsia="zh-CN"/>
              </w:rPr>
              <w:t>拟建</w:t>
            </w:r>
            <w:r>
              <w:rPr>
                <w:rFonts w:hint="eastAsia" w:ascii="Times New Roman" w:hAnsi="Times New Roman" w:cs="Times New Roman"/>
                <w:b w:val="0"/>
                <w:bCs w:val="0"/>
                <w:color w:val="auto"/>
                <w:sz w:val="24"/>
                <w:szCs w:val="24"/>
                <w:highlight w:val="none"/>
                <w:u w:val="none"/>
                <w:lang w:val="en-US" w:eastAsia="zh-CN"/>
              </w:rPr>
              <w:t>项目区</w:t>
            </w:r>
            <w:r>
              <w:rPr>
                <w:rFonts w:hint="default" w:ascii="Times New Roman" w:hAnsi="Times New Roman" w:cs="Times New Roman"/>
                <w:b w:val="0"/>
                <w:bCs w:val="0"/>
                <w:color w:val="auto"/>
                <w:sz w:val="24"/>
                <w:szCs w:val="24"/>
                <w:highlight w:val="none"/>
                <w:u w:val="none"/>
                <w:lang w:val="en-US" w:eastAsia="zh-CN"/>
              </w:rPr>
              <w:t>周边现状见</w:t>
            </w:r>
            <w:r>
              <w:rPr>
                <w:rFonts w:hint="default" w:ascii="Times New Roman" w:hAnsi="Times New Roman" w:cs="Times New Roman"/>
                <w:b/>
                <w:bCs/>
                <w:color w:val="auto"/>
                <w:sz w:val="24"/>
                <w:szCs w:val="24"/>
                <w:highlight w:val="none"/>
                <w:u w:val="none"/>
                <w:lang w:val="en-US" w:eastAsia="zh-CN"/>
              </w:rPr>
              <w:t>附图2</w:t>
            </w:r>
            <w:r>
              <w:rPr>
                <w:rFonts w:hint="eastAsia" w:cs="Times New Roman"/>
                <w:b/>
                <w:bCs/>
                <w:color w:val="auto"/>
                <w:sz w:val="24"/>
                <w:szCs w:val="24"/>
                <w:highlight w:val="none"/>
                <w:u w:val="none"/>
                <w:lang w:val="en-US" w:eastAsia="zh-CN"/>
              </w:rPr>
              <w:t>，</w:t>
            </w:r>
            <w:r>
              <w:rPr>
                <w:rFonts w:hint="eastAsia" w:cs="Times New Roman"/>
                <w:b w:val="0"/>
                <w:bCs w:val="0"/>
                <w:color w:val="auto"/>
                <w:sz w:val="24"/>
                <w:szCs w:val="24"/>
                <w:highlight w:val="none"/>
                <w:u w:val="none"/>
                <w:lang w:val="en-US" w:eastAsia="zh-CN"/>
              </w:rPr>
              <w:t>项目与</w:t>
            </w:r>
            <w:r>
              <w:rPr>
                <w:rFonts w:hint="eastAsia" w:ascii="Times New Roman" w:hAnsi="Times New Roman" w:eastAsia="宋体" w:cs="Times New Roman"/>
                <w:b w:val="0"/>
                <w:bCs w:val="0"/>
                <w:kern w:val="2"/>
                <w:sz w:val="24"/>
                <w:szCs w:val="24"/>
                <w:lang w:val="en-US" w:eastAsia="zh-CN" w:bidi="ar-SA"/>
              </w:rPr>
              <w:t>重点生态区域位置关系图见</w:t>
            </w:r>
            <w:r>
              <w:rPr>
                <w:rFonts w:hint="eastAsia" w:ascii="Times New Roman" w:hAnsi="Times New Roman" w:eastAsia="宋体" w:cs="Times New Roman"/>
                <w:b/>
                <w:bCs/>
                <w:kern w:val="2"/>
                <w:sz w:val="24"/>
                <w:szCs w:val="24"/>
                <w:lang w:val="en-US" w:eastAsia="zh-CN" w:bidi="ar-SA"/>
              </w:rPr>
              <w:t>附图3，</w:t>
            </w:r>
            <w:r>
              <w:rPr>
                <w:rFonts w:hint="eastAsia" w:ascii="Times New Roman" w:hAnsi="Times New Roman" w:eastAsia="宋体" w:cs="Times New Roman"/>
                <w:b w:val="0"/>
                <w:bCs w:val="0"/>
                <w:kern w:val="2"/>
                <w:sz w:val="24"/>
                <w:szCs w:val="24"/>
                <w:lang w:val="en-US" w:eastAsia="zh-CN" w:bidi="ar-SA"/>
              </w:rPr>
              <w:t>项目与</w:t>
            </w:r>
            <w:r>
              <w:rPr>
                <w:rFonts w:hint="eastAsia" w:ascii="Times New Roman" w:hAnsi="Times New Roman" w:eastAsia="宋体" w:cs="Times New Roman"/>
                <w:b w:val="0"/>
                <w:bCs w:val="0"/>
                <w:sz w:val="24"/>
                <w:szCs w:val="24"/>
                <w:lang w:val="en-US" w:eastAsia="zh-CN"/>
              </w:rPr>
              <w:t>阜康市饮用水水源地位置关系图见</w:t>
            </w:r>
            <w:r>
              <w:rPr>
                <w:rFonts w:hint="eastAsia" w:ascii="Times New Roman" w:hAnsi="Times New Roman" w:eastAsia="宋体" w:cs="Times New Roman"/>
                <w:b/>
                <w:bCs/>
                <w:sz w:val="24"/>
                <w:szCs w:val="24"/>
                <w:lang w:val="en-US" w:eastAsia="zh-CN"/>
              </w:rPr>
              <w:t>附图4</w:t>
            </w:r>
            <w:r>
              <w:rPr>
                <w:rFonts w:hint="default" w:ascii="Times New Roman" w:hAnsi="Times New Roman" w:cs="Times New Roman"/>
                <w:b w:val="0"/>
                <w:bCs w:val="0"/>
                <w:color w:val="auto"/>
                <w:sz w:val="24"/>
                <w:szCs w:val="24"/>
                <w:highlight w:val="none"/>
                <w:u w:val="none"/>
                <w:lang w:val="en-US" w:eastAsia="zh-CN"/>
              </w:rPr>
              <w:t>。</w:t>
            </w:r>
          </w:p>
          <w:p w14:paraId="785166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yellow"/>
                <w:lang w:val="en-US" w:eastAsia="zh-CN"/>
              </w:rPr>
            </w:pPr>
            <w:r>
              <w:rPr>
                <w:rFonts w:hint="eastAsia" w:ascii="Times New Roman" w:hAnsi="Times New Roman" w:cs="Times New Roman"/>
                <w:color w:val="auto"/>
                <w:sz w:val="24"/>
                <w:szCs w:val="24"/>
              </w:rPr>
              <w:t>项目</w:t>
            </w:r>
            <w:r>
              <w:rPr>
                <w:rFonts w:hint="eastAsia" w:ascii="Times New Roman" w:hAnsi="Times New Roman" w:eastAsia="宋体" w:cs="Times New Roman"/>
                <w:color w:val="auto"/>
                <w:sz w:val="24"/>
                <w:szCs w:val="24"/>
                <w:u w:val="none"/>
                <w:lang w:val="en-US" w:eastAsia="zh-CN"/>
              </w:rPr>
              <w:t>为煤田火区治理工程，通过火区火灾的治理，可以修复区域内脆弱的生态环境，本火区为自治区《新疆煤田火区治理规划（修编） （2016～2025 年）》中38处一般火区之一，火区治理区选址具有唯一性。</w:t>
            </w:r>
            <w:r>
              <w:rPr>
                <w:rFonts w:hint="default" w:ascii="Times New Roman" w:hAnsi="Times New Roman" w:cs="Times New Roman"/>
                <w:b w:val="0"/>
                <w:bCs w:val="0"/>
                <w:color w:val="auto"/>
                <w:kern w:val="0"/>
                <w:sz w:val="24"/>
                <w:szCs w:val="24"/>
                <w:highlight w:val="none"/>
              </w:rPr>
              <w:t>根据</w:t>
            </w:r>
            <w:r>
              <w:rPr>
                <w:rFonts w:hint="default" w:ascii="Times New Roman" w:hAnsi="Times New Roman" w:eastAsia="宋体" w:cs="Times New Roman"/>
                <w:b w:val="0"/>
                <w:bCs w:val="0"/>
                <w:color w:val="auto"/>
                <w:kern w:val="0"/>
                <w:sz w:val="24"/>
                <w:szCs w:val="24"/>
                <w:highlight w:val="none"/>
                <w:lang w:val="en-US" w:eastAsia="zh-CN"/>
              </w:rPr>
              <w:t>现场调查，</w:t>
            </w:r>
            <w:r>
              <w:rPr>
                <w:rFonts w:hint="eastAsia" w:ascii="Times New Roman" w:hAnsi="Times New Roman" w:eastAsia="宋体" w:cs="Times New Roman"/>
                <w:color w:val="auto"/>
                <w:sz w:val="24"/>
                <w:szCs w:val="24"/>
                <w:shd w:val="clear" w:color="auto" w:fill="auto"/>
                <w:lang w:val="en-US" w:eastAsia="zh-CN"/>
              </w:rPr>
              <w:t>项目选址位置不涉及自然保护区、风景名胜区、森林公园、湿地公园、饮用水水源保护区等自然保护地、生态保护红线等环境敏感区域，</w:t>
            </w:r>
            <w:r>
              <w:rPr>
                <w:rFonts w:hint="default" w:ascii="Times New Roman" w:hAnsi="Times New Roman" w:eastAsia="宋体" w:cs="Times New Roman"/>
                <w:b w:val="0"/>
                <w:bCs w:val="0"/>
                <w:color w:val="auto"/>
                <w:kern w:val="0"/>
                <w:sz w:val="24"/>
                <w:szCs w:val="24"/>
                <w:highlight w:val="none"/>
                <w:lang w:val="en-US" w:eastAsia="zh-CN"/>
              </w:rPr>
              <w:t>项目所产生的各项污染物，在采取本评价所提出的各项治理措施后，均可做到达标排放或得到合理的处理处置，且本项目周围距居民区较远，因此本项目的建设对周围环境影响较小。</w:t>
            </w:r>
          </w:p>
          <w:p w14:paraId="1EDC125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2" w:firstLineChars="200"/>
              <w:textAlignment w:val="auto"/>
              <w:rPr>
                <w:rFonts w:hint="default" w:ascii="Times New Roman" w:hAnsi="Times New Roman" w:cs="Times New Roman"/>
                <w:b/>
                <w:bCs/>
                <w:color w:val="auto"/>
                <w:kern w:val="0"/>
                <w:sz w:val="24"/>
                <w:szCs w:val="24"/>
              </w:rPr>
            </w:pPr>
            <w:r>
              <w:rPr>
                <w:rFonts w:hint="eastAsia"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、与</w:t>
            </w:r>
            <w:r>
              <w:rPr>
                <w:rFonts w:hint="eastAsia" w:ascii="Times New Roman" w:hAnsi="Times New Roman" w:eastAsia="宋体" w:cs="Times New Roman"/>
                <w:b/>
                <w:bCs/>
                <w:color w:val="auto"/>
                <w:sz w:val="24"/>
                <w:szCs w:val="24"/>
                <w:highlight w:val="none"/>
                <w:lang w:val="en-US" w:eastAsia="zh-CN"/>
              </w:rPr>
              <w:t>生态环境分区管控要求</w:t>
            </w:r>
            <w:r>
              <w:rPr>
                <w:rFonts w:hint="default" w:ascii="Times New Roman" w:hAnsi="Times New Roman" w:cs="Times New Roman"/>
                <w:b/>
                <w:bCs/>
                <w:color w:val="auto"/>
                <w:kern w:val="0"/>
                <w:sz w:val="24"/>
                <w:szCs w:val="24"/>
              </w:rPr>
              <w:t>符合性分析</w:t>
            </w:r>
          </w:p>
          <w:p w14:paraId="4FE373BD">
            <w:pPr>
              <w:keepNext w:val="0"/>
              <w:keepLines w:val="0"/>
              <w:pageBreakBefore w:val="0"/>
              <w:suppressLineNumbers w:val="0"/>
              <w:kinsoku/>
              <w:wordWrap/>
              <w:topLinePunct/>
              <w:bidi w:val="0"/>
              <w:adjustRightInd/>
              <w:snapToGrid/>
              <w:spacing w:before="0" w:beforeAutospacing="0" w:after="0" w:afterAutospacing="0" w:line="360" w:lineRule="auto"/>
              <w:ind w:left="0" w:right="0" w:firstLine="480" w:firstLineChars="200"/>
              <w:rPr>
                <w:rFonts w:hint="eastAsia" w:ascii="Times New Roman" w:hAnsi="Times New Roman" w:eastAsia="宋体"/>
                <w:b w:val="0"/>
                <w:bCs w:val="0"/>
                <w:caps w:val="0"/>
                <w:color w:val="auto"/>
                <w:sz w:val="24"/>
                <w:highlight w:val="none"/>
              </w:rPr>
            </w:pPr>
            <w:r>
              <w:rPr>
                <w:rFonts w:hint="eastAsia" w:ascii="Times New Roman" w:hAnsi="Times New Roman" w:cs="Times New Roman"/>
                <w:b w:val="0"/>
                <w:bCs w:val="0"/>
                <w:color w:val="auto"/>
                <w:sz w:val="24"/>
                <w:lang w:eastAsia="zh-CN"/>
              </w:rPr>
              <w:t>（</w:t>
            </w:r>
            <w:r>
              <w:rPr>
                <w:rFonts w:hint="eastAsia" w:cs="Times New Roman"/>
                <w:b w:val="0"/>
                <w:bCs w:val="0"/>
                <w:color w:val="auto"/>
                <w:sz w:val="24"/>
                <w:lang w:val="en-US" w:eastAsia="zh-CN"/>
              </w:rPr>
              <w:t>1</w:t>
            </w:r>
            <w:r>
              <w:rPr>
                <w:rFonts w:hint="eastAsia" w:ascii="Times New Roman" w:hAnsi="Times New Roman" w:cs="Times New Roman"/>
                <w:b w:val="0"/>
                <w:bCs w:val="0"/>
                <w:color w:val="auto"/>
                <w:sz w:val="24"/>
                <w:lang w:eastAsia="zh-CN"/>
              </w:rPr>
              <w:t>）</w:t>
            </w:r>
            <w:r>
              <w:rPr>
                <w:rFonts w:hint="eastAsia"/>
                <w:b w:val="0"/>
                <w:bCs w:val="0"/>
                <w:caps w:val="0"/>
                <w:color w:val="auto"/>
                <w:sz w:val="24"/>
                <w:highlight w:val="none"/>
                <w:lang w:val="en-US" w:eastAsia="zh-CN"/>
              </w:rPr>
              <w:t>与《新疆维吾尔自治区生态环境分区管控动态更新成果》（新环环评发</w:t>
            </w:r>
            <w:r>
              <w:rPr>
                <w:rFonts w:hint="eastAsia" w:ascii="Times New Roman" w:hAnsi="Times New Roman" w:eastAsia="宋体"/>
                <w:b w:val="0"/>
                <w:bCs w:val="0"/>
                <w:caps w:val="0"/>
                <w:color w:val="auto"/>
                <w:sz w:val="24"/>
                <w:highlight w:val="none"/>
                <w:lang w:val="en-US" w:eastAsia="zh-CN"/>
              </w:rPr>
              <w:t>〔</w:t>
            </w:r>
            <w:r>
              <w:rPr>
                <w:rFonts w:hint="eastAsia"/>
                <w:b w:val="0"/>
                <w:bCs w:val="0"/>
                <w:caps w:val="0"/>
                <w:color w:val="auto"/>
                <w:sz w:val="24"/>
                <w:highlight w:val="none"/>
                <w:lang w:val="en-US" w:eastAsia="zh-CN"/>
              </w:rPr>
              <w:t>2024</w:t>
            </w:r>
            <w:r>
              <w:rPr>
                <w:rFonts w:hint="eastAsia" w:ascii="Times New Roman" w:hAnsi="Times New Roman" w:eastAsia="宋体"/>
                <w:b w:val="0"/>
                <w:bCs w:val="0"/>
                <w:caps w:val="0"/>
                <w:color w:val="auto"/>
                <w:sz w:val="24"/>
                <w:highlight w:val="none"/>
                <w:lang w:val="en-US" w:eastAsia="zh-CN"/>
              </w:rPr>
              <w:t>〕</w:t>
            </w:r>
            <w:r>
              <w:rPr>
                <w:rFonts w:hint="eastAsia"/>
                <w:b w:val="0"/>
                <w:bCs w:val="0"/>
                <w:caps w:val="0"/>
                <w:color w:val="auto"/>
                <w:sz w:val="24"/>
                <w:highlight w:val="none"/>
                <w:lang w:val="en-US" w:eastAsia="zh-CN"/>
              </w:rPr>
              <w:t>157</w:t>
            </w:r>
            <w:r>
              <w:rPr>
                <w:rFonts w:hint="eastAsia" w:ascii="Times New Roman" w:hAnsi="Times New Roman" w:eastAsia="宋体"/>
                <w:b w:val="0"/>
                <w:bCs w:val="0"/>
                <w:caps w:val="0"/>
                <w:color w:val="auto"/>
                <w:sz w:val="24"/>
                <w:highlight w:val="none"/>
                <w:lang w:val="en-US" w:eastAsia="zh-CN"/>
              </w:rPr>
              <w:t>号</w:t>
            </w:r>
            <w:r>
              <w:rPr>
                <w:rFonts w:hint="eastAsia"/>
                <w:b w:val="0"/>
                <w:bCs w:val="0"/>
                <w:caps w:val="0"/>
                <w:color w:val="auto"/>
                <w:sz w:val="24"/>
                <w:highlight w:val="none"/>
                <w:lang w:val="en-US" w:eastAsia="zh-CN"/>
              </w:rPr>
              <w:t>）符合性分析</w:t>
            </w:r>
          </w:p>
          <w:p w14:paraId="27D44E01">
            <w:pPr>
              <w:keepNext w:val="0"/>
              <w:keepLines w:val="0"/>
              <w:pageBreakBefore w:val="0"/>
              <w:suppressLineNumbers w:val="0"/>
              <w:kinsoku/>
              <w:wordWrap/>
              <w:topLinePunct/>
              <w:bidi w:val="0"/>
              <w:adjustRightInd/>
              <w:snapToGrid/>
              <w:spacing w:before="0" w:beforeAutospacing="0" w:after="0" w:afterAutospacing="0" w:line="360" w:lineRule="auto"/>
              <w:ind w:left="0" w:right="0" w:firstLine="480" w:firstLineChars="200"/>
              <w:rPr>
                <w:rFonts w:hint="default"/>
                <w:b w:val="0"/>
                <w:bCs w:val="0"/>
                <w:caps w:val="0"/>
                <w:color w:val="auto"/>
                <w:sz w:val="24"/>
                <w:highlight w:val="none"/>
                <w:lang w:val="en-US" w:eastAsia="zh-CN"/>
              </w:rPr>
            </w:pPr>
            <w:r>
              <w:rPr>
                <w:rFonts w:hint="eastAsia" w:ascii="Times New Roman" w:hAnsi="Times New Roman" w:eastAsia="宋体"/>
                <w:b w:val="0"/>
                <w:bCs w:val="0"/>
                <w:color w:val="auto"/>
                <w:sz w:val="24"/>
              </w:rPr>
              <w:t>根据</w:t>
            </w:r>
            <w:r>
              <w:rPr>
                <w:rFonts w:hint="default" w:ascii="Times New Roman" w:hAnsi="Times New Roman" w:eastAsia="宋体"/>
                <w:b w:val="0"/>
                <w:bCs w:val="0"/>
                <w:color w:val="auto"/>
                <w:sz w:val="24"/>
              </w:rPr>
              <w:t>《</w:t>
            </w:r>
            <w:r>
              <w:rPr>
                <w:rFonts w:hint="eastAsia"/>
                <w:b w:val="0"/>
                <w:bCs w:val="0"/>
                <w:caps w:val="0"/>
                <w:color w:val="auto"/>
                <w:sz w:val="24"/>
                <w:highlight w:val="none"/>
                <w:lang w:val="en-US" w:eastAsia="zh-CN"/>
              </w:rPr>
              <w:t>新疆维吾尔自治区生态环境分区管控动态更新成果</w:t>
            </w:r>
            <w:r>
              <w:rPr>
                <w:rFonts w:hint="default" w:ascii="Times New Roman" w:hAnsi="Times New Roman" w:eastAsia="宋体"/>
                <w:b w:val="0"/>
                <w:bCs w:val="0"/>
                <w:color w:val="auto"/>
                <w:sz w:val="24"/>
              </w:rPr>
              <w:t>》</w:t>
            </w:r>
            <w:r>
              <w:rPr>
                <w:rFonts w:hint="eastAsia"/>
                <w:b w:val="0"/>
                <w:bCs w:val="0"/>
                <w:caps w:val="0"/>
                <w:color w:val="auto"/>
                <w:sz w:val="24"/>
                <w:highlight w:val="none"/>
                <w:lang w:val="en-US" w:eastAsia="zh-CN"/>
              </w:rPr>
              <w:t>（新环环评发</w:t>
            </w:r>
            <w:r>
              <w:rPr>
                <w:rFonts w:hint="eastAsia" w:ascii="Times New Roman" w:hAnsi="Times New Roman" w:eastAsia="宋体"/>
                <w:b w:val="0"/>
                <w:bCs w:val="0"/>
                <w:caps w:val="0"/>
                <w:color w:val="auto"/>
                <w:sz w:val="24"/>
                <w:highlight w:val="none"/>
                <w:lang w:val="en-US" w:eastAsia="zh-CN"/>
              </w:rPr>
              <w:t>〔</w:t>
            </w:r>
            <w:r>
              <w:rPr>
                <w:rFonts w:hint="eastAsia"/>
                <w:b w:val="0"/>
                <w:bCs w:val="0"/>
                <w:caps w:val="0"/>
                <w:color w:val="auto"/>
                <w:sz w:val="24"/>
                <w:highlight w:val="none"/>
                <w:lang w:val="en-US" w:eastAsia="zh-CN"/>
              </w:rPr>
              <w:t>2024</w:t>
            </w:r>
            <w:r>
              <w:rPr>
                <w:rFonts w:hint="eastAsia" w:ascii="Times New Roman" w:hAnsi="Times New Roman" w:eastAsia="宋体"/>
                <w:b w:val="0"/>
                <w:bCs w:val="0"/>
                <w:caps w:val="0"/>
                <w:color w:val="auto"/>
                <w:sz w:val="24"/>
                <w:highlight w:val="none"/>
                <w:lang w:val="en-US" w:eastAsia="zh-CN"/>
              </w:rPr>
              <w:t>〕</w:t>
            </w:r>
            <w:r>
              <w:rPr>
                <w:rFonts w:hint="eastAsia"/>
                <w:b w:val="0"/>
                <w:bCs w:val="0"/>
                <w:caps w:val="0"/>
                <w:color w:val="auto"/>
                <w:sz w:val="24"/>
                <w:highlight w:val="none"/>
                <w:lang w:val="en-US" w:eastAsia="zh-CN"/>
              </w:rPr>
              <w:t>157</w:t>
            </w:r>
            <w:r>
              <w:rPr>
                <w:rFonts w:hint="eastAsia" w:ascii="Times New Roman" w:hAnsi="Times New Roman" w:eastAsia="宋体"/>
                <w:b w:val="0"/>
                <w:bCs w:val="0"/>
                <w:caps w:val="0"/>
                <w:color w:val="auto"/>
                <w:sz w:val="24"/>
                <w:highlight w:val="none"/>
                <w:lang w:val="en-US" w:eastAsia="zh-CN"/>
              </w:rPr>
              <w:t>号</w:t>
            </w:r>
            <w:r>
              <w:rPr>
                <w:rFonts w:hint="eastAsia"/>
                <w:b w:val="0"/>
                <w:bCs w:val="0"/>
                <w:caps w:val="0"/>
                <w:color w:val="auto"/>
                <w:sz w:val="24"/>
                <w:highlight w:val="none"/>
                <w:lang w:val="en-US" w:eastAsia="zh-CN"/>
              </w:rPr>
              <w:t>）</w:t>
            </w:r>
            <w:r>
              <w:rPr>
                <w:rFonts w:hint="default" w:ascii="Times New Roman" w:hAnsi="Times New Roman" w:eastAsia="宋体"/>
                <w:b w:val="0"/>
                <w:bCs w:val="0"/>
                <w:color w:val="auto"/>
                <w:sz w:val="24"/>
              </w:rPr>
              <w:t>中提出的分区管控</w:t>
            </w:r>
            <w:r>
              <w:rPr>
                <w:rFonts w:hint="eastAsia" w:ascii="Times New Roman" w:hAnsi="Times New Roman" w:eastAsia="宋体"/>
                <w:b w:val="0"/>
                <w:bCs w:val="0"/>
                <w:color w:val="auto"/>
                <w:sz w:val="24"/>
                <w:lang w:val="en-US" w:eastAsia="zh-CN"/>
              </w:rPr>
              <w:t>总体要求</w:t>
            </w:r>
            <w:r>
              <w:rPr>
                <w:rFonts w:hint="eastAsia" w:ascii="Times New Roman" w:hAnsi="Times New Roman" w:eastAsia="宋体"/>
                <w:b w:val="0"/>
                <w:bCs w:val="0"/>
                <w:color w:val="auto"/>
                <w:sz w:val="24"/>
              </w:rPr>
              <w:t>，</w:t>
            </w:r>
            <w:r>
              <w:rPr>
                <w:rFonts w:hint="default" w:ascii="Times New Roman" w:hAnsi="Times New Roman" w:eastAsia="宋体"/>
                <w:b w:val="0"/>
                <w:bCs w:val="0"/>
                <w:color w:val="auto"/>
                <w:sz w:val="24"/>
              </w:rPr>
              <w:t>本项目与</w:t>
            </w:r>
            <w:r>
              <w:rPr>
                <w:rFonts w:hint="eastAsia" w:ascii="Times New Roman" w:hAnsi="Times New Roman" w:eastAsia="宋体"/>
                <w:b w:val="0"/>
                <w:bCs w:val="0"/>
                <w:color w:val="auto"/>
                <w:sz w:val="24"/>
              </w:rPr>
              <w:t>该方</w:t>
            </w:r>
            <w:r>
              <w:rPr>
                <w:rFonts w:hint="default" w:ascii="Times New Roman" w:hAnsi="Times New Roman" w:eastAsia="宋体"/>
                <w:b w:val="0"/>
                <w:bCs w:val="0"/>
                <w:color w:val="auto"/>
                <w:sz w:val="24"/>
              </w:rPr>
              <w:t>案</w:t>
            </w:r>
            <w:r>
              <w:rPr>
                <w:rFonts w:hint="eastAsia"/>
                <w:b w:val="0"/>
                <w:bCs w:val="0"/>
                <w:color w:val="auto"/>
                <w:sz w:val="24"/>
                <w:lang w:val="en-US" w:eastAsia="zh-CN"/>
              </w:rPr>
              <w:t>相关要求</w:t>
            </w:r>
            <w:r>
              <w:rPr>
                <w:rFonts w:hint="eastAsia" w:ascii="Times New Roman" w:hAnsi="Times New Roman" w:eastAsia="宋体"/>
                <w:b w:val="0"/>
                <w:bCs w:val="0"/>
                <w:color w:val="auto"/>
                <w:sz w:val="24"/>
              </w:rPr>
              <w:t>符合</w:t>
            </w:r>
            <w:r>
              <w:rPr>
                <w:rFonts w:hint="default" w:ascii="Times New Roman" w:hAnsi="Times New Roman" w:eastAsia="宋体"/>
                <w:b w:val="0"/>
                <w:bCs w:val="0"/>
                <w:color w:val="auto"/>
                <w:sz w:val="24"/>
              </w:rPr>
              <w:t>性分析</w:t>
            </w:r>
            <w:r>
              <w:rPr>
                <w:rFonts w:hint="eastAsia" w:ascii="Times New Roman" w:hAnsi="Times New Roman" w:eastAsia="宋体"/>
                <w:b w:val="0"/>
                <w:bCs w:val="0"/>
                <w:color w:val="auto"/>
                <w:sz w:val="24"/>
              </w:rPr>
              <w:t>一览表，见表1-</w:t>
            </w:r>
            <w:r>
              <w:rPr>
                <w:rFonts w:hint="eastAsia"/>
                <w:b w:val="0"/>
                <w:bCs w:val="0"/>
                <w:color w:val="auto"/>
                <w:sz w:val="24"/>
                <w:lang w:val="en-US" w:eastAsia="zh-CN"/>
              </w:rPr>
              <w:t>1</w:t>
            </w:r>
            <w:r>
              <w:rPr>
                <w:rFonts w:hint="eastAsia" w:ascii="Times New Roman" w:hAnsi="Times New Roman" w:eastAsia="宋体"/>
                <w:b w:val="0"/>
                <w:bCs w:val="0"/>
                <w:color w:val="auto"/>
                <w:sz w:val="24"/>
              </w:rPr>
              <w:t>。</w:t>
            </w:r>
          </w:p>
          <w:p w14:paraId="366E5ABE">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cs="Times New Roman"/>
                <w:b/>
                <w:bCs/>
                <w:caps w:val="0"/>
                <w:color w:val="auto"/>
                <w:szCs w:val="21"/>
                <w:highlight w:val="none"/>
              </w:rPr>
            </w:pPr>
            <w:r>
              <w:rPr>
                <w:rFonts w:hint="default" w:ascii="Times New Roman" w:hAnsi="Times New Roman" w:eastAsia="宋体"/>
                <w:b/>
                <w:bCs/>
                <w:caps w:val="0"/>
                <w:color w:val="auto"/>
                <w:spacing w:val="4"/>
                <w:szCs w:val="21"/>
                <w:highlight w:val="none"/>
              </w:rPr>
              <w:t>表1-</w:t>
            </w:r>
            <w:r>
              <w:rPr>
                <w:rFonts w:hint="eastAsia"/>
                <w:b/>
                <w:bCs/>
                <w:caps w:val="0"/>
                <w:color w:val="auto"/>
                <w:spacing w:val="4"/>
                <w:szCs w:val="21"/>
                <w:highlight w:val="none"/>
                <w:lang w:val="en-US" w:eastAsia="zh-CN"/>
              </w:rPr>
              <w:t>1</w:t>
            </w:r>
            <w:r>
              <w:rPr>
                <w:rFonts w:hint="default" w:ascii="Times New Roman" w:hAnsi="Times New Roman" w:eastAsia="宋体"/>
                <w:b/>
                <w:bCs/>
                <w:caps w:val="0"/>
                <w:color w:val="auto"/>
                <w:spacing w:val="4"/>
                <w:szCs w:val="21"/>
                <w:highlight w:val="none"/>
              </w:rPr>
              <w:t xml:space="preserve">    </w:t>
            </w:r>
            <w:r>
              <w:rPr>
                <w:rFonts w:hint="eastAsia" w:ascii="Times New Roman" w:hAnsi="Times New Roman" w:eastAsia="宋体" w:cs="Times New Roman"/>
                <w:b/>
                <w:bCs/>
                <w:caps w:val="0"/>
                <w:color w:val="auto"/>
                <w:szCs w:val="21"/>
                <w:highlight w:val="none"/>
              </w:rPr>
              <w:t>与《</w:t>
            </w:r>
            <w:r>
              <w:rPr>
                <w:rFonts w:hint="eastAsia" w:ascii="Times New Roman" w:hAnsi="Times New Roman" w:eastAsia="宋体" w:cs="Times New Roman"/>
                <w:b/>
                <w:bCs/>
                <w:caps w:val="0"/>
                <w:color w:val="auto"/>
                <w:szCs w:val="21"/>
                <w:highlight w:val="none"/>
                <w:lang w:val="en-US" w:eastAsia="zh-CN"/>
              </w:rPr>
              <w:t>新疆维吾尔自治区生态环境分区管控动态更新成果</w:t>
            </w:r>
            <w:r>
              <w:rPr>
                <w:rFonts w:hint="eastAsia" w:ascii="Times New Roman" w:hAnsi="Times New Roman" w:eastAsia="宋体" w:cs="Times New Roman"/>
                <w:b/>
                <w:bCs/>
                <w:caps w:val="0"/>
                <w:color w:val="auto"/>
                <w:szCs w:val="21"/>
                <w:highlight w:val="none"/>
              </w:rPr>
              <w:t>》</w:t>
            </w:r>
            <w:r>
              <w:rPr>
                <w:rFonts w:hint="eastAsia" w:cs="Times New Roman"/>
                <w:b/>
                <w:bCs/>
                <w:caps w:val="0"/>
                <w:color w:val="auto"/>
                <w:szCs w:val="21"/>
                <w:highlight w:val="none"/>
                <w:lang w:val="en-US" w:eastAsia="zh-CN"/>
              </w:rPr>
              <w:t>相关要求</w:t>
            </w:r>
            <w:r>
              <w:rPr>
                <w:rFonts w:hint="eastAsia" w:ascii="Times New Roman" w:hAnsi="Times New Roman" w:eastAsia="宋体" w:cs="Times New Roman"/>
                <w:b/>
                <w:bCs/>
                <w:caps w:val="0"/>
                <w:color w:val="auto"/>
                <w:szCs w:val="21"/>
                <w:highlight w:val="none"/>
              </w:rPr>
              <w:t>符合性</w:t>
            </w:r>
          </w:p>
          <w:p w14:paraId="6619BA0E">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cs="Times New Roman"/>
                <w:b/>
                <w:bCs/>
                <w:caps w:val="0"/>
                <w:color w:val="auto"/>
                <w:szCs w:val="21"/>
                <w:highlight w:val="none"/>
              </w:rPr>
            </w:pPr>
            <w:r>
              <w:rPr>
                <w:rFonts w:hint="eastAsia" w:ascii="Times New Roman" w:hAnsi="Times New Roman" w:eastAsia="宋体" w:cs="Times New Roman"/>
                <w:b/>
                <w:bCs/>
                <w:caps w:val="0"/>
                <w:color w:val="auto"/>
                <w:szCs w:val="21"/>
                <w:highlight w:val="none"/>
              </w:rPr>
              <w:t>分析一览表</w:t>
            </w:r>
          </w:p>
          <w:tbl>
            <w:tblPr>
              <w:tblStyle w:val="27"/>
              <w:tblW w:w="748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2"/>
              <w:gridCol w:w="788"/>
              <w:gridCol w:w="2987"/>
              <w:gridCol w:w="2313"/>
              <w:gridCol w:w="979"/>
            </w:tblGrid>
            <w:tr w14:paraId="63028C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10" w:type="dxa"/>
                  <w:gridSpan w:val="2"/>
                  <w:tcBorders>
                    <w:tl2br w:val="nil"/>
                    <w:tr2bl w:val="nil"/>
                  </w:tcBorders>
                  <w:noWrap w:val="0"/>
                  <w:vAlign w:val="center"/>
                </w:tcPr>
                <w:p w14:paraId="6FD23F1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lang w:val="en-US" w:eastAsia="zh-CN"/>
                    </w:rPr>
                  </w:pPr>
                  <w:r>
                    <w:rPr>
                      <w:rFonts w:hint="eastAsia" w:ascii="Times New Roman" w:hAnsi="Times New Roman" w:eastAsia="宋体"/>
                      <w:b w:val="0"/>
                      <w:bCs w:val="0"/>
                      <w:caps w:val="0"/>
                      <w:color w:val="auto"/>
                      <w:spacing w:val="4"/>
                      <w:sz w:val="21"/>
                      <w:szCs w:val="21"/>
                      <w:highlight w:val="none"/>
                      <w:vertAlign w:val="baseline"/>
                      <w:lang w:val="en-US" w:eastAsia="zh-CN"/>
                    </w:rPr>
                    <w:t>管控纬度</w:t>
                  </w:r>
                </w:p>
              </w:tc>
              <w:tc>
                <w:tcPr>
                  <w:tcW w:w="2987" w:type="dxa"/>
                  <w:tcBorders>
                    <w:tl2br w:val="nil"/>
                    <w:tr2bl w:val="nil"/>
                  </w:tcBorders>
                  <w:noWrap w:val="0"/>
                  <w:vAlign w:val="center"/>
                </w:tcPr>
                <w:p w14:paraId="4B32AF7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b w:val="0"/>
                      <w:bCs w:val="0"/>
                      <w:caps w:val="0"/>
                      <w:color w:val="auto"/>
                      <w:spacing w:val="4"/>
                      <w:sz w:val="21"/>
                      <w:szCs w:val="21"/>
                      <w:highlight w:val="none"/>
                      <w:vertAlign w:val="baseline"/>
                      <w:lang w:val="en-US" w:eastAsia="zh-CN"/>
                    </w:rPr>
                  </w:pPr>
                  <w:r>
                    <w:rPr>
                      <w:rFonts w:hint="eastAsia" w:ascii="Times New Roman" w:hAnsi="Times New Roman" w:eastAsia="宋体"/>
                      <w:b w:val="0"/>
                      <w:bCs w:val="0"/>
                      <w:caps w:val="0"/>
                      <w:color w:val="auto"/>
                      <w:spacing w:val="4"/>
                      <w:sz w:val="21"/>
                      <w:szCs w:val="21"/>
                      <w:highlight w:val="none"/>
                      <w:vertAlign w:val="baseline"/>
                      <w:lang w:val="en-US" w:eastAsia="zh-CN"/>
                    </w:rPr>
                    <w:t>管控要求</w:t>
                  </w:r>
                </w:p>
              </w:tc>
              <w:tc>
                <w:tcPr>
                  <w:tcW w:w="2313" w:type="dxa"/>
                  <w:tcBorders>
                    <w:tl2br w:val="nil"/>
                    <w:tr2bl w:val="nil"/>
                  </w:tcBorders>
                  <w:noWrap w:val="0"/>
                  <w:vAlign w:val="center"/>
                </w:tcPr>
                <w:p w14:paraId="5D1FBBD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项目情况</w:t>
                  </w:r>
                </w:p>
              </w:tc>
              <w:tc>
                <w:tcPr>
                  <w:tcW w:w="979" w:type="dxa"/>
                  <w:tcBorders>
                    <w:tl2br w:val="nil"/>
                    <w:tr2bl w:val="nil"/>
                  </w:tcBorders>
                  <w:noWrap w:val="0"/>
                  <w:vAlign w:val="center"/>
                </w:tcPr>
                <w:p w14:paraId="7B306DB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lang w:val="en-US" w:eastAsia="zh-CN"/>
                    </w:rPr>
                  </w:pPr>
                  <w:r>
                    <w:rPr>
                      <w:rFonts w:hint="eastAsia" w:ascii="Times New Roman" w:hAnsi="Times New Roman" w:eastAsia="宋体"/>
                      <w:b w:val="0"/>
                      <w:bCs w:val="0"/>
                      <w:caps w:val="0"/>
                      <w:color w:val="auto"/>
                      <w:spacing w:val="4"/>
                      <w:sz w:val="21"/>
                      <w:szCs w:val="21"/>
                      <w:highlight w:val="none"/>
                      <w:vertAlign w:val="baseline"/>
                      <w:lang w:val="en-US" w:eastAsia="zh-CN"/>
                    </w:rPr>
                    <w:t>符合性</w:t>
                  </w:r>
                </w:p>
              </w:tc>
            </w:tr>
            <w:tr w14:paraId="0BCBC3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restart"/>
                  <w:tcBorders>
                    <w:tl2br w:val="nil"/>
                    <w:tr2bl w:val="nil"/>
                  </w:tcBorders>
                  <w:noWrap w:val="0"/>
                  <w:vAlign w:val="center"/>
                </w:tcPr>
                <w:p w14:paraId="30FC640D">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spacing w:val="4"/>
                      <w:sz w:val="21"/>
                      <w:szCs w:val="21"/>
                      <w:highlight w:val="none"/>
                      <w:vertAlign w:val="baseline"/>
                      <w:lang w:val="en-US" w:eastAsia="zh-CN"/>
                    </w:rPr>
                  </w:pPr>
                  <w:r>
                    <w:rPr>
                      <w:rFonts w:hint="eastAsia" w:ascii="Times New Roman" w:hAnsi="Times New Roman" w:eastAsia="宋体"/>
                      <w:b w:val="0"/>
                      <w:bCs w:val="0"/>
                      <w:caps w:val="0"/>
                      <w:color w:val="auto"/>
                      <w:spacing w:val="4"/>
                      <w:sz w:val="21"/>
                      <w:szCs w:val="21"/>
                      <w:highlight w:val="none"/>
                      <w:vertAlign w:val="baseline"/>
                      <w:lang w:val="en-US" w:eastAsia="zh-CN"/>
                    </w:rPr>
                    <w:t>A1空间布局约束</w:t>
                  </w:r>
                </w:p>
              </w:tc>
              <w:tc>
                <w:tcPr>
                  <w:tcW w:w="788" w:type="dxa"/>
                  <w:vMerge w:val="restart"/>
                  <w:tcBorders>
                    <w:tl2br w:val="nil"/>
                    <w:tr2bl w:val="nil"/>
                  </w:tcBorders>
                  <w:noWrap w:val="0"/>
                  <w:vAlign w:val="center"/>
                </w:tcPr>
                <w:p w14:paraId="351289C0">
                  <w:pPr>
                    <w:keepNext w:val="0"/>
                    <w:keepLines w:val="0"/>
                    <w:pageBreakBefore w:val="0"/>
                    <w:suppressLineNumbers w:val="0"/>
                    <w:kinsoku/>
                    <w:wordWrap/>
                    <w:bidi w:val="0"/>
                    <w:adjustRightInd/>
                    <w:snapToGrid/>
                    <w:spacing w:before="0" w:beforeAutospacing="0" w:after="0" w:afterAutospacing="0"/>
                    <w:ind w:left="0" w:right="0"/>
                    <w:jc w:val="center"/>
                    <w:textAlignment w:val="center"/>
                    <w:rPr>
                      <w:rFonts w:hint="default" w:ascii="Times New Roman" w:hAnsi="Times New Roman" w:eastAsia="宋体"/>
                      <w:b w:val="0"/>
                      <w:bCs w:val="0"/>
                      <w:caps w:val="0"/>
                      <w:color w:val="auto"/>
                      <w:spacing w:val="4"/>
                      <w:sz w:val="21"/>
                      <w:szCs w:val="21"/>
                      <w:highlight w:val="none"/>
                      <w:vertAlign w:val="baseline"/>
                      <w:lang w:val="en-US" w:eastAsia="zh-CN"/>
                    </w:rPr>
                  </w:pPr>
                  <w:r>
                    <w:rPr>
                      <w:rFonts w:hint="eastAsia" w:ascii="Times New Roman" w:hAnsi="Times New Roman" w:eastAsia="宋体"/>
                      <w:b w:val="0"/>
                      <w:bCs w:val="0"/>
                      <w:caps w:val="0"/>
                      <w:color w:val="auto"/>
                      <w:spacing w:val="4"/>
                      <w:sz w:val="21"/>
                      <w:szCs w:val="21"/>
                      <w:highlight w:val="none"/>
                      <w:vertAlign w:val="baseline"/>
                      <w:lang w:val="en-US" w:eastAsia="zh-CN"/>
                    </w:rPr>
                    <w:t>A1.1禁止开发建设的活动</w:t>
                  </w:r>
                </w:p>
              </w:tc>
              <w:tc>
                <w:tcPr>
                  <w:tcW w:w="2987" w:type="dxa"/>
                  <w:tcBorders>
                    <w:tl2br w:val="nil"/>
                    <w:tr2bl w:val="nil"/>
                  </w:tcBorders>
                  <w:noWrap w:val="0"/>
                  <w:vAlign w:val="center"/>
                </w:tcPr>
                <w:p w14:paraId="5775721F">
                  <w:pPr>
                    <w:keepNext w:val="0"/>
                    <w:keepLines w:val="0"/>
                    <w:pageBreakBefore w:val="0"/>
                    <w:suppressLineNumbers w:val="0"/>
                    <w:kinsoku/>
                    <w:wordWrap/>
                    <w:bidi w:val="0"/>
                    <w:adjustRightInd/>
                    <w:snapToGrid/>
                    <w:spacing w:before="0" w:beforeAutospacing="0" w:after="0" w:afterAutospacing="0"/>
                    <w:ind w:left="0" w:right="0"/>
                    <w:jc w:val="left"/>
                    <w:textAlignment w:val="center"/>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rPr>
                    <w:t>〔A1.1-1〕禁止新建、扩建《产业结构调整指导目录</w:t>
                  </w:r>
                  <w:r>
                    <w:rPr>
                      <w:rFonts w:hint="eastAsia" w:ascii="Times New Roman" w:hAnsi="Times New Roman" w:eastAsia="宋体"/>
                      <w:b w:val="0"/>
                      <w:bCs w:val="0"/>
                      <w:caps w:val="0"/>
                      <w:color w:val="auto"/>
                      <w:spacing w:val="4"/>
                      <w:sz w:val="21"/>
                      <w:szCs w:val="21"/>
                      <w:highlight w:val="none"/>
                      <w:vertAlign w:val="baseline"/>
                      <w:lang w:eastAsia="zh-CN"/>
                    </w:rPr>
                    <w:t>（</w:t>
                  </w:r>
                  <w:r>
                    <w:rPr>
                      <w:rFonts w:hint="eastAsia" w:ascii="Times New Roman" w:hAnsi="Times New Roman" w:eastAsia="宋体"/>
                      <w:b w:val="0"/>
                      <w:bCs w:val="0"/>
                      <w:caps w:val="0"/>
                      <w:color w:val="auto"/>
                      <w:spacing w:val="4"/>
                      <w:sz w:val="21"/>
                      <w:szCs w:val="21"/>
                      <w:highlight w:val="none"/>
                      <w:vertAlign w:val="baseline"/>
                    </w:rPr>
                    <w:t>2024年本</w:t>
                  </w:r>
                  <w:r>
                    <w:rPr>
                      <w:rFonts w:hint="eastAsia" w:ascii="Times New Roman" w:hAnsi="Times New Roman" w:eastAsia="宋体"/>
                      <w:b w:val="0"/>
                      <w:bCs w:val="0"/>
                      <w:caps w:val="0"/>
                      <w:color w:val="auto"/>
                      <w:spacing w:val="4"/>
                      <w:sz w:val="21"/>
                      <w:szCs w:val="21"/>
                      <w:highlight w:val="none"/>
                      <w:vertAlign w:val="baseline"/>
                      <w:lang w:eastAsia="zh-CN"/>
                    </w:rPr>
                    <w:t>）</w:t>
                  </w:r>
                  <w:r>
                    <w:rPr>
                      <w:rFonts w:hint="eastAsia" w:ascii="Times New Roman" w:hAnsi="Times New Roman" w:eastAsia="宋体"/>
                      <w:b w:val="0"/>
                      <w:bCs w:val="0"/>
                      <w:caps w:val="0"/>
                      <w:color w:val="auto"/>
                      <w:spacing w:val="4"/>
                      <w:sz w:val="21"/>
                      <w:szCs w:val="21"/>
                      <w:highlight w:val="none"/>
                      <w:vertAlign w:val="baseline"/>
                    </w:rPr>
                    <w:t>》中淘汰类项目。禁止引入《市场准入负面清单</w:t>
                  </w:r>
                  <w:r>
                    <w:rPr>
                      <w:rFonts w:hint="eastAsia" w:ascii="Times New Roman" w:hAnsi="Times New Roman" w:eastAsia="宋体"/>
                      <w:b w:val="0"/>
                      <w:bCs w:val="0"/>
                      <w:caps w:val="0"/>
                      <w:color w:val="auto"/>
                      <w:spacing w:val="4"/>
                      <w:sz w:val="21"/>
                      <w:szCs w:val="21"/>
                      <w:highlight w:val="none"/>
                      <w:vertAlign w:val="baseline"/>
                      <w:lang w:eastAsia="zh-CN"/>
                    </w:rPr>
                    <w:t>（</w:t>
                  </w:r>
                  <w:r>
                    <w:rPr>
                      <w:rFonts w:hint="eastAsia" w:ascii="Times New Roman" w:hAnsi="Times New Roman" w:eastAsia="宋体"/>
                      <w:b w:val="0"/>
                      <w:bCs w:val="0"/>
                      <w:caps w:val="0"/>
                      <w:color w:val="auto"/>
                      <w:spacing w:val="4"/>
                      <w:sz w:val="21"/>
                      <w:szCs w:val="21"/>
                      <w:highlight w:val="none"/>
                      <w:vertAlign w:val="baseline"/>
                    </w:rPr>
                    <w:t>2022年版</w:t>
                  </w:r>
                  <w:r>
                    <w:rPr>
                      <w:rFonts w:hint="eastAsia" w:ascii="Times New Roman" w:hAnsi="Times New Roman" w:eastAsia="宋体"/>
                      <w:b w:val="0"/>
                      <w:bCs w:val="0"/>
                      <w:caps w:val="0"/>
                      <w:color w:val="auto"/>
                      <w:spacing w:val="4"/>
                      <w:sz w:val="21"/>
                      <w:szCs w:val="21"/>
                      <w:highlight w:val="none"/>
                      <w:vertAlign w:val="baseline"/>
                      <w:lang w:eastAsia="zh-CN"/>
                    </w:rPr>
                    <w:t>）</w:t>
                  </w:r>
                  <w:r>
                    <w:rPr>
                      <w:rFonts w:hint="eastAsia" w:ascii="Times New Roman" w:hAnsi="Times New Roman" w:eastAsia="宋体"/>
                      <w:b w:val="0"/>
                      <w:bCs w:val="0"/>
                      <w:caps w:val="0"/>
                      <w:color w:val="auto"/>
                      <w:spacing w:val="4"/>
                      <w:sz w:val="21"/>
                      <w:szCs w:val="21"/>
                      <w:highlight w:val="none"/>
                      <w:vertAlign w:val="baseline"/>
                    </w:rPr>
                    <w:t>》禁止准入类事项。</w:t>
                  </w:r>
                </w:p>
              </w:tc>
              <w:tc>
                <w:tcPr>
                  <w:tcW w:w="2313" w:type="dxa"/>
                  <w:tcBorders>
                    <w:tl2br w:val="nil"/>
                    <w:tr2bl w:val="nil"/>
                  </w:tcBorders>
                  <w:noWrap w:val="0"/>
                  <w:vAlign w:val="center"/>
                </w:tcPr>
                <w:p w14:paraId="7A93904B">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eastAsia" w:ascii="Times New Roman" w:hAnsi="Times New Roman" w:eastAsia="宋体"/>
                      <w:b w:val="0"/>
                      <w:bCs w:val="0"/>
                      <w:caps w:val="0"/>
                      <w:color w:val="auto"/>
                      <w:spacing w:val="4"/>
                      <w:kern w:val="2"/>
                      <w:sz w:val="21"/>
                      <w:szCs w:val="21"/>
                      <w:highlight w:val="yellow"/>
                      <w:lang w:val="en-US" w:eastAsia="zh-CN" w:bidi="ar-SA"/>
                    </w:rPr>
                  </w:pPr>
                  <w:r>
                    <w:rPr>
                      <w:rFonts w:hint="eastAsia" w:ascii="Times New Roman" w:hAnsi="Times New Roman" w:eastAsia="宋体"/>
                      <w:b w:val="0"/>
                      <w:bCs w:val="0"/>
                      <w:caps w:val="0"/>
                      <w:color w:val="auto"/>
                      <w:spacing w:val="4"/>
                      <w:kern w:val="2"/>
                      <w:sz w:val="21"/>
                      <w:szCs w:val="21"/>
                      <w:highlight w:val="none"/>
                      <w:lang w:val="en-US" w:eastAsia="zh-CN" w:bidi="ar-SA"/>
                    </w:rPr>
                    <w:t>本项目不属于</w:t>
                  </w:r>
                  <w:r>
                    <w:rPr>
                      <w:rFonts w:hint="eastAsia" w:ascii="Times New Roman" w:hAnsi="Times New Roman" w:eastAsia="宋体"/>
                      <w:b w:val="0"/>
                      <w:bCs w:val="0"/>
                      <w:caps w:val="0"/>
                      <w:color w:val="auto"/>
                      <w:spacing w:val="4"/>
                      <w:sz w:val="21"/>
                      <w:szCs w:val="21"/>
                      <w:highlight w:val="none"/>
                      <w:vertAlign w:val="baseline"/>
                    </w:rPr>
                    <w:t>《产业结构调整指导目录</w:t>
                  </w:r>
                  <w:r>
                    <w:rPr>
                      <w:rFonts w:hint="eastAsia" w:ascii="Times New Roman" w:hAnsi="Times New Roman" w:eastAsia="宋体"/>
                      <w:b w:val="0"/>
                      <w:bCs w:val="0"/>
                      <w:caps w:val="0"/>
                      <w:color w:val="auto"/>
                      <w:spacing w:val="4"/>
                      <w:sz w:val="21"/>
                      <w:szCs w:val="21"/>
                      <w:highlight w:val="none"/>
                      <w:vertAlign w:val="baseline"/>
                      <w:lang w:eastAsia="zh-CN"/>
                    </w:rPr>
                    <w:t>（</w:t>
                  </w:r>
                  <w:r>
                    <w:rPr>
                      <w:rFonts w:hint="eastAsia" w:ascii="Times New Roman" w:hAnsi="Times New Roman" w:eastAsia="宋体"/>
                      <w:b w:val="0"/>
                      <w:bCs w:val="0"/>
                      <w:caps w:val="0"/>
                      <w:color w:val="auto"/>
                      <w:spacing w:val="4"/>
                      <w:sz w:val="21"/>
                      <w:szCs w:val="21"/>
                      <w:highlight w:val="none"/>
                      <w:vertAlign w:val="baseline"/>
                    </w:rPr>
                    <w:t>2024年本</w:t>
                  </w:r>
                  <w:r>
                    <w:rPr>
                      <w:rFonts w:hint="eastAsia" w:ascii="Times New Roman" w:hAnsi="Times New Roman" w:eastAsia="宋体"/>
                      <w:b w:val="0"/>
                      <w:bCs w:val="0"/>
                      <w:caps w:val="0"/>
                      <w:color w:val="auto"/>
                      <w:spacing w:val="4"/>
                      <w:sz w:val="21"/>
                      <w:szCs w:val="21"/>
                      <w:highlight w:val="none"/>
                      <w:vertAlign w:val="baseline"/>
                      <w:lang w:eastAsia="zh-CN"/>
                    </w:rPr>
                    <w:t>）</w:t>
                  </w:r>
                  <w:r>
                    <w:rPr>
                      <w:rFonts w:hint="eastAsia" w:ascii="Times New Roman" w:hAnsi="Times New Roman" w:eastAsia="宋体"/>
                      <w:b w:val="0"/>
                      <w:bCs w:val="0"/>
                      <w:caps w:val="0"/>
                      <w:color w:val="auto"/>
                      <w:spacing w:val="4"/>
                      <w:sz w:val="21"/>
                      <w:szCs w:val="21"/>
                      <w:highlight w:val="none"/>
                      <w:vertAlign w:val="baseline"/>
                    </w:rPr>
                    <w:t>》中淘汰类项目</w:t>
                  </w:r>
                  <w:r>
                    <w:rPr>
                      <w:rFonts w:hint="eastAsia" w:ascii="Times New Roman" w:hAnsi="Times New Roman" w:eastAsia="宋体"/>
                      <w:b w:val="0"/>
                      <w:bCs w:val="0"/>
                      <w:caps w:val="0"/>
                      <w:color w:val="auto"/>
                      <w:spacing w:val="4"/>
                      <w:sz w:val="21"/>
                      <w:szCs w:val="21"/>
                      <w:highlight w:val="none"/>
                      <w:vertAlign w:val="baseline"/>
                      <w:lang w:eastAsia="zh-CN"/>
                    </w:rPr>
                    <w:t>，</w:t>
                  </w:r>
                  <w:r>
                    <w:rPr>
                      <w:rFonts w:hint="eastAsia" w:ascii="Times New Roman" w:hAnsi="Times New Roman" w:eastAsia="宋体"/>
                      <w:b w:val="0"/>
                      <w:bCs w:val="0"/>
                      <w:caps w:val="0"/>
                      <w:color w:val="auto"/>
                      <w:spacing w:val="4"/>
                      <w:kern w:val="2"/>
                      <w:sz w:val="21"/>
                      <w:szCs w:val="21"/>
                      <w:highlight w:val="none"/>
                      <w:lang w:val="en-US" w:eastAsia="zh-CN" w:bidi="ar-SA"/>
                    </w:rPr>
                    <w:t>不属于</w:t>
                  </w:r>
                  <w:r>
                    <w:rPr>
                      <w:rFonts w:hint="eastAsia" w:ascii="Times New Roman" w:hAnsi="Times New Roman" w:eastAsia="宋体"/>
                      <w:b w:val="0"/>
                      <w:bCs w:val="0"/>
                      <w:caps w:val="0"/>
                      <w:color w:val="auto"/>
                      <w:spacing w:val="4"/>
                      <w:sz w:val="21"/>
                      <w:szCs w:val="21"/>
                      <w:highlight w:val="none"/>
                      <w:vertAlign w:val="baseline"/>
                    </w:rPr>
                    <w:t>《市场准入负面清单</w:t>
                  </w:r>
                  <w:r>
                    <w:rPr>
                      <w:rFonts w:hint="eastAsia" w:ascii="Times New Roman" w:hAnsi="Times New Roman" w:eastAsia="宋体"/>
                      <w:b w:val="0"/>
                      <w:bCs w:val="0"/>
                      <w:caps w:val="0"/>
                      <w:color w:val="auto"/>
                      <w:spacing w:val="4"/>
                      <w:sz w:val="21"/>
                      <w:szCs w:val="21"/>
                      <w:highlight w:val="none"/>
                      <w:vertAlign w:val="baseline"/>
                      <w:lang w:eastAsia="zh-CN"/>
                    </w:rPr>
                    <w:t>（</w:t>
                  </w:r>
                  <w:r>
                    <w:rPr>
                      <w:rFonts w:hint="eastAsia"/>
                      <w:b w:val="0"/>
                      <w:bCs w:val="0"/>
                      <w:caps w:val="0"/>
                      <w:color w:val="auto"/>
                      <w:spacing w:val="4"/>
                      <w:sz w:val="21"/>
                      <w:szCs w:val="21"/>
                      <w:highlight w:val="none"/>
                      <w:vertAlign w:val="baseline"/>
                      <w:lang w:val="en-US" w:eastAsia="zh-CN"/>
                    </w:rPr>
                    <w:t>2025</w:t>
                  </w:r>
                  <w:r>
                    <w:rPr>
                      <w:rFonts w:hint="eastAsia" w:ascii="Times New Roman" w:hAnsi="Times New Roman" w:eastAsia="宋体"/>
                      <w:b w:val="0"/>
                      <w:bCs w:val="0"/>
                      <w:caps w:val="0"/>
                      <w:color w:val="auto"/>
                      <w:spacing w:val="4"/>
                      <w:sz w:val="21"/>
                      <w:szCs w:val="21"/>
                      <w:highlight w:val="none"/>
                      <w:vertAlign w:val="baseline"/>
                    </w:rPr>
                    <w:t>年版</w:t>
                  </w:r>
                  <w:r>
                    <w:rPr>
                      <w:rFonts w:hint="eastAsia" w:ascii="Times New Roman" w:hAnsi="Times New Roman" w:eastAsia="宋体"/>
                      <w:b w:val="0"/>
                      <w:bCs w:val="0"/>
                      <w:caps w:val="0"/>
                      <w:color w:val="auto"/>
                      <w:spacing w:val="4"/>
                      <w:sz w:val="21"/>
                      <w:szCs w:val="21"/>
                      <w:highlight w:val="none"/>
                      <w:vertAlign w:val="baseline"/>
                      <w:lang w:eastAsia="zh-CN"/>
                    </w:rPr>
                    <w:t>）</w:t>
                  </w:r>
                  <w:r>
                    <w:rPr>
                      <w:rFonts w:hint="eastAsia" w:ascii="Times New Roman" w:hAnsi="Times New Roman" w:eastAsia="宋体"/>
                      <w:b w:val="0"/>
                      <w:bCs w:val="0"/>
                      <w:caps w:val="0"/>
                      <w:color w:val="auto"/>
                      <w:spacing w:val="4"/>
                      <w:sz w:val="21"/>
                      <w:szCs w:val="21"/>
                      <w:highlight w:val="none"/>
                      <w:vertAlign w:val="baseline"/>
                    </w:rPr>
                    <w:t>》禁止准入类事项</w:t>
                  </w:r>
                  <w:r>
                    <w:rPr>
                      <w:rFonts w:hint="eastAsia" w:ascii="Times New Roman" w:hAnsi="Times New Roman" w:eastAsia="宋体"/>
                      <w:b w:val="0"/>
                      <w:bCs w:val="0"/>
                      <w:caps w:val="0"/>
                      <w:color w:val="auto"/>
                      <w:spacing w:val="4"/>
                      <w:sz w:val="21"/>
                      <w:szCs w:val="21"/>
                      <w:highlight w:val="none"/>
                      <w:vertAlign w:val="baseline"/>
                      <w:lang w:eastAsia="zh-CN"/>
                    </w:rPr>
                    <w:t>。</w:t>
                  </w:r>
                </w:p>
              </w:tc>
              <w:tc>
                <w:tcPr>
                  <w:tcW w:w="979" w:type="dxa"/>
                  <w:tcBorders>
                    <w:tl2br w:val="nil"/>
                    <w:tr2bl w:val="nil"/>
                  </w:tcBorders>
                  <w:noWrap w:val="0"/>
                  <w:vAlign w:val="center"/>
                </w:tcPr>
                <w:p w14:paraId="24334E3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lang w:val="en-US" w:eastAsia="zh-CN"/>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1BEC47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continue"/>
                  <w:tcBorders>
                    <w:tl2br w:val="nil"/>
                    <w:tr2bl w:val="nil"/>
                  </w:tcBorders>
                  <w:noWrap w:val="0"/>
                  <w:vAlign w:val="center"/>
                </w:tcPr>
                <w:p w14:paraId="75443F3C">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eastAsia" w:ascii="Times New Roman" w:hAnsi="Times New Roman" w:eastAsia="宋体"/>
                      <w:b w:val="0"/>
                      <w:bCs w:val="0"/>
                      <w:caps w:val="0"/>
                      <w:color w:val="auto"/>
                      <w:spacing w:val="4"/>
                      <w:sz w:val="21"/>
                      <w:szCs w:val="21"/>
                      <w:highlight w:val="none"/>
                      <w:vertAlign w:val="baseline"/>
                    </w:rPr>
                  </w:pPr>
                </w:p>
              </w:tc>
              <w:tc>
                <w:tcPr>
                  <w:tcW w:w="788" w:type="dxa"/>
                  <w:vMerge w:val="continue"/>
                  <w:tcBorders>
                    <w:tl2br w:val="nil"/>
                    <w:tr2bl w:val="nil"/>
                  </w:tcBorders>
                  <w:noWrap w:val="0"/>
                  <w:vAlign w:val="center"/>
                </w:tcPr>
                <w:p w14:paraId="0DC6C9A7">
                  <w:pPr>
                    <w:keepNext w:val="0"/>
                    <w:keepLines w:val="0"/>
                    <w:pageBreakBefore w:val="0"/>
                    <w:suppressLineNumbers w:val="0"/>
                    <w:kinsoku/>
                    <w:wordWrap/>
                    <w:bidi w:val="0"/>
                    <w:adjustRightInd/>
                    <w:snapToGrid/>
                    <w:spacing w:before="0" w:beforeAutospacing="0" w:after="0" w:afterAutospacing="0"/>
                    <w:ind w:left="0" w:right="0"/>
                    <w:textAlignment w:val="center"/>
                    <w:rPr>
                      <w:rFonts w:hint="eastAsia" w:ascii="Times New Roman" w:hAnsi="Times New Roman" w:eastAsia="宋体"/>
                      <w:b w:val="0"/>
                      <w:bCs w:val="0"/>
                      <w:caps w:val="0"/>
                      <w:color w:val="auto"/>
                      <w:spacing w:val="4"/>
                      <w:sz w:val="21"/>
                      <w:szCs w:val="21"/>
                      <w:highlight w:val="none"/>
                      <w:vertAlign w:val="baseline"/>
                    </w:rPr>
                  </w:pPr>
                </w:p>
              </w:tc>
              <w:tc>
                <w:tcPr>
                  <w:tcW w:w="2987" w:type="dxa"/>
                  <w:tcBorders>
                    <w:tl2br w:val="nil"/>
                    <w:tr2bl w:val="nil"/>
                  </w:tcBorders>
                  <w:noWrap w:val="0"/>
                  <w:vAlign w:val="center"/>
                </w:tcPr>
                <w:p w14:paraId="3836646E">
                  <w:pPr>
                    <w:keepNext w:val="0"/>
                    <w:keepLines w:val="0"/>
                    <w:pageBreakBefore w:val="0"/>
                    <w:suppressLineNumbers w:val="0"/>
                    <w:kinsoku/>
                    <w:wordWrap/>
                    <w:bidi w:val="0"/>
                    <w:adjustRightInd/>
                    <w:snapToGrid/>
                    <w:spacing w:before="0" w:beforeAutospacing="0" w:after="0" w:afterAutospacing="0"/>
                    <w:ind w:left="0" w:right="0"/>
                    <w:jc w:val="left"/>
                    <w:textAlignment w:val="center"/>
                    <w:rPr>
                      <w:rFonts w:hint="eastAsia" w:ascii="Times New Roman" w:hAnsi="Times New Roman" w:eastAsia="宋体"/>
                      <w:b w:val="0"/>
                      <w:bCs w:val="0"/>
                      <w:caps w:val="0"/>
                      <w:color w:val="auto"/>
                      <w:spacing w:val="4"/>
                      <w:sz w:val="21"/>
                      <w:szCs w:val="21"/>
                      <w:highlight w:val="none"/>
                      <w:vertAlign w:val="baseline"/>
                      <w:lang w:eastAsia="zh-CN"/>
                    </w:rPr>
                  </w:pPr>
                  <w:r>
                    <w:rPr>
                      <w:rFonts w:hint="eastAsia" w:ascii="Times New Roman" w:hAnsi="Times New Roman" w:eastAsia="宋体"/>
                      <w:b w:val="0"/>
                      <w:bCs w:val="0"/>
                      <w:caps w:val="0"/>
                      <w:color w:val="auto"/>
                      <w:spacing w:val="4"/>
                      <w:sz w:val="21"/>
                      <w:szCs w:val="21"/>
                      <w:highlight w:val="none"/>
                      <w:vertAlign w:val="baseline"/>
                    </w:rPr>
                    <w:t>〔A1.1-2〕禁止建设不符合国家和自治区环境保护标准的项目</w:t>
                  </w:r>
                  <w:r>
                    <w:rPr>
                      <w:rFonts w:hint="eastAsia" w:ascii="Times New Roman" w:hAnsi="Times New Roman" w:eastAsia="宋体"/>
                      <w:b w:val="0"/>
                      <w:bCs w:val="0"/>
                      <w:caps w:val="0"/>
                      <w:color w:val="auto"/>
                      <w:spacing w:val="4"/>
                      <w:sz w:val="21"/>
                      <w:szCs w:val="21"/>
                      <w:highlight w:val="none"/>
                      <w:vertAlign w:val="baseline"/>
                      <w:lang w:eastAsia="zh-CN"/>
                    </w:rPr>
                    <w:t>。</w:t>
                  </w:r>
                </w:p>
              </w:tc>
              <w:tc>
                <w:tcPr>
                  <w:tcW w:w="2313" w:type="dxa"/>
                  <w:tcBorders>
                    <w:tl2br w:val="nil"/>
                    <w:tr2bl w:val="nil"/>
                  </w:tcBorders>
                  <w:noWrap w:val="0"/>
                  <w:vAlign w:val="center"/>
                </w:tcPr>
                <w:p w14:paraId="09EB248D">
                  <w:pPr>
                    <w:pStyle w:val="22"/>
                    <w:keepNext w:val="0"/>
                    <w:keepLines w:val="0"/>
                    <w:pageBreakBefore w:val="0"/>
                    <w:suppressLineNumbers w:val="0"/>
                    <w:kinsoku/>
                    <w:wordWrap/>
                    <w:bidi w:val="0"/>
                    <w:adjustRightInd/>
                    <w:snapToGrid/>
                    <w:spacing w:before="0" w:beforeAutospacing="0" w:after="0" w:afterAutospacing="0" w:line="240" w:lineRule="auto"/>
                    <w:ind w:left="0" w:leftChars="0" w:right="0" w:rightChars="0"/>
                    <w:jc w:val="left"/>
                    <w:rPr>
                      <w:rFonts w:hint="eastAsia" w:ascii="Times New Roman" w:hAnsi="Times New Roman" w:eastAsia="宋体"/>
                      <w:b w:val="0"/>
                      <w:bCs w:val="0"/>
                      <w:caps w:val="0"/>
                      <w:color w:val="auto"/>
                      <w:spacing w:val="4"/>
                      <w:kern w:val="2"/>
                      <w:sz w:val="21"/>
                      <w:szCs w:val="21"/>
                      <w:highlight w:val="yellow"/>
                      <w:lang w:val="en-US" w:eastAsia="zh-CN" w:bidi="ar-SA"/>
                    </w:rPr>
                  </w:pPr>
                  <w:r>
                    <w:rPr>
                      <w:rFonts w:hint="eastAsia" w:ascii="Times New Roman" w:hAnsi="Times New Roman" w:eastAsia="宋体"/>
                      <w:b w:val="0"/>
                      <w:bCs w:val="0"/>
                      <w:caps w:val="0"/>
                      <w:color w:val="auto"/>
                      <w:spacing w:val="4"/>
                      <w:kern w:val="2"/>
                      <w:sz w:val="21"/>
                      <w:szCs w:val="21"/>
                      <w:highlight w:val="none"/>
                      <w:lang w:val="en-US" w:eastAsia="zh-CN" w:bidi="ar-SA"/>
                    </w:rPr>
                    <w:t>本项目符合</w:t>
                  </w:r>
                  <w:r>
                    <w:rPr>
                      <w:rFonts w:hint="eastAsia" w:ascii="Times New Roman" w:hAnsi="Times New Roman" w:eastAsia="宋体"/>
                      <w:b w:val="0"/>
                      <w:bCs w:val="0"/>
                      <w:caps w:val="0"/>
                      <w:color w:val="auto"/>
                      <w:spacing w:val="4"/>
                      <w:sz w:val="21"/>
                      <w:szCs w:val="21"/>
                      <w:highlight w:val="none"/>
                      <w:vertAlign w:val="baseline"/>
                    </w:rPr>
                    <w:t>国家和自治区环境保护标准</w:t>
                  </w:r>
                  <w:r>
                    <w:rPr>
                      <w:rFonts w:hint="eastAsia" w:ascii="Times New Roman" w:hAnsi="Times New Roman" w:eastAsia="宋体"/>
                      <w:b w:val="0"/>
                      <w:bCs w:val="0"/>
                      <w:caps w:val="0"/>
                      <w:color w:val="auto"/>
                      <w:spacing w:val="4"/>
                      <w:sz w:val="21"/>
                      <w:szCs w:val="21"/>
                      <w:highlight w:val="none"/>
                      <w:vertAlign w:val="baseline"/>
                      <w:lang w:eastAsia="zh-CN"/>
                    </w:rPr>
                    <w:t>。</w:t>
                  </w:r>
                </w:p>
              </w:tc>
              <w:tc>
                <w:tcPr>
                  <w:tcW w:w="979" w:type="dxa"/>
                  <w:tcBorders>
                    <w:tl2br w:val="nil"/>
                    <w:tr2bl w:val="nil"/>
                  </w:tcBorders>
                  <w:noWrap w:val="0"/>
                  <w:vAlign w:val="center"/>
                </w:tcPr>
                <w:p w14:paraId="5C80C7D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1CF80F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continue"/>
                  <w:tcBorders>
                    <w:tl2br w:val="nil"/>
                    <w:tr2bl w:val="nil"/>
                  </w:tcBorders>
                  <w:noWrap w:val="0"/>
                  <w:vAlign w:val="center"/>
                </w:tcPr>
                <w:p w14:paraId="2BD7CF6B">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rPr>
                  </w:pPr>
                </w:p>
              </w:tc>
              <w:tc>
                <w:tcPr>
                  <w:tcW w:w="788" w:type="dxa"/>
                  <w:vMerge w:val="restart"/>
                  <w:tcBorders>
                    <w:tl2br w:val="nil"/>
                    <w:tr2bl w:val="nil"/>
                  </w:tcBorders>
                  <w:noWrap w:val="0"/>
                  <w:vAlign w:val="center"/>
                </w:tcPr>
                <w:p w14:paraId="1A532E36">
                  <w:pPr>
                    <w:keepNext w:val="0"/>
                    <w:keepLines w:val="0"/>
                    <w:pageBreakBefore w:val="0"/>
                    <w:suppressLineNumbers w:val="0"/>
                    <w:kinsoku/>
                    <w:wordWrap/>
                    <w:bidi w:val="0"/>
                    <w:adjustRightInd/>
                    <w:snapToGrid/>
                    <w:spacing w:before="0" w:beforeAutospacing="0" w:after="0" w:afterAutospacing="0"/>
                    <w:ind w:left="0" w:right="0"/>
                    <w:jc w:val="center"/>
                    <w:textAlignment w:val="center"/>
                    <w:rPr>
                      <w:rFonts w:hint="default" w:ascii="Times New Roman" w:hAnsi="Times New Roman" w:eastAsia="宋体"/>
                      <w:b w:val="0"/>
                      <w:bCs w:val="0"/>
                      <w:color w:val="auto"/>
                      <w:szCs w:val="21"/>
                      <w:lang w:val="en-US"/>
                    </w:rPr>
                  </w:pPr>
                  <w:r>
                    <w:rPr>
                      <w:rFonts w:hint="eastAsia" w:ascii="Times New Roman" w:hAnsi="Times New Roman" w:eastAsia="宋体"/>
                      <w:b w:val="0"/>
                      <w:bCs w:val="0"/>
                      <w:caps w:val="0"/>
                      <w:color w:val="auto"/>
                      <w:spacing w:val="4"/>
                      <w:sz w:val="21"/>
                      <w:szCs w:val="21"/>
                      <w:highlight w:val="none"/>
                      <w:vertAlign w:val="baseline"/>
                      <w:lang w:val="en-US" w:eastAsia="zh-CN"/>
                    </w:rPr>
                    <w:t>A1.3不符合空间布局要求活动的退出要求</w:t>
                  </w:r>
                </w:p>
              </w:tc>
              <w:tc>
                <w:tcPr>
                  <w:tcW w:w="2987" w:type="dxa"/>
                  <w:tcBorders>
                    <w:tl2br w:val="nil"/>
                    <w:tr2bl w:val="nil"/>
                  </w:tcBorders>
                  <w:noWrap w:val="0"/>
                  <w:vAlign w:val="center"/>
                </w:tcPr>
                <w:p w14:paraId="02E4A49E">
                  <w:pPr>
                    <w:keepNext w:val="0"/>
                    <w:keepLines w:val="0"/>
                    <w:pageBreakBefore w:val="0"/>
                    <w:suppressLineNumbers w:val="0"/>
                    <w:kinsoku/>
                    <w:wordWrap/>
                    <w:bidi w:val="0"/>
                    <w:adjustRightInd/>
                    <w:snapToGrid/>
                    <w:spacing w:before="0" w:beforeAutospacing="0" w:after="0" w:afterAutospacing="0"/>
                    <w:ind w:left="0" w:right="0"/>
                    <w:jc w:val="left"/>
                    <w:textAlignment w:val="center"/>
                    <w:rPr>
                      <w:rFonts w:hint="eastAsia" w:ascii="Times New Roman" w:hAnsi="Times New Roman" w:eastAsia="宋体"/>
                      <w:b w:val="0"/>
                      <w:bCs w:val="0"/>
                      <w:color w:val="auto"/>
                      <w:szCs w:val="21"/>
                    </w:rPr>
                  </w:pPr>
                  <w:r>
                    <w:rPr>
                      <w:rFonts w:hint="eastAsia" w:ascii="Times New Roman" w:hAnsi="Times New Roman" w:eastAsia="宋体"/>
                      <w:b w:val="0"/>
                      <w:bCs w:val="0"/>
                      <w:color w:val="auto"/>
                      <w:szCs w:val="21"/>
                    </w:rPr>
                    <w:t>〔A1.3-1〕任何单位和个人不得在水源涵养区、饮用水水源保护区内和河流、湖泊、水库周围建设重化工、涉重金属等工业污染项目</w:t>
                  </w:r>
                  <w:r>
                    <w:rPr>
                      <w:rFonts w:hint="eastAsia" w:ascii="Times New Roman" w:hAnsi="Times New Roman" w:eastAsia="宋体"/>
                      <w:b w:val="0"/>
                      <w:bCs w:val="0"/>
                      <w:color w:val="auto"/>
                      <w:szCs w:val="21"/>
                      <w:lang w:eastAsia="zh-CN"/>
                    </w:rPr>
                    <w:t>；</w:t>
                  </w:r>
                  <w:r>
                    <w:rPr>
                      <w:rFonts w:hint="eastAsia" w:ascii="Times New Roman" w:hAnsi="Times New Roman" w:eastAsia="宋体"/>
                      <w:b w:val="0"/>
                      <w:bCs w:val="0"/>
                      <w:color w:val="auto"/>
                      <w:szCs w:val="21"/>
                    </w:rPr>
                    <w:t>对已建成的工业污染项目，当地人民政府应当组织限期搬迁。</w:t>
                  </w:r>
                </w:p>
              </w:tc>
              <w:tc>
                <w:tcPr>
                  <w:tcW w:w="2313" w:type="dxa"/>
                  <w:tcBorders>
                    <w:tl2br w:val="nil"/>
                    <w:tr2bl w:val="nil"/>
                  </w:tcBorders>
                  <w:noWrap w:val="0"/>
                  <w:vAlign w:val="center"/>
                </w:tcPr>
                <w:p w14:paraId="3DBC1DA9">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eastAsia" w:eastAsia="宋体"/>
                      <w:b w:val="0"/>
                      <w:bCs w:val="0"/>
                      <w:caps w:val="0"/>
                      <w:color w:val="auto"/>
                      <w:kern w:val="0"/>
                      <w:sz w:val="21"/>
                      <w:szCs w:val="21"/>
                      <w:highlight w:val="yellow"/>
                      <w:lang w:val="en-US" w:eastAsia="zh-CN"/>
                    </w:rPr>
                  </w:pPr>
                  <w:r>
                    <w:rPr>
                      <w:rFonts w:hint="eastAsia" w:ascii="Times New Roman" w:hAnsi="Times New Roman" w:eastAsia="宋体" w:cs="Times New Roman"/>
                      <w:b w:val="0"/>
                      <w:bCs w:val="0"/>
                      <w:caps w:val="0"/>
                      <w:color w:val="auto"/>
                      <w:spacing w:val="4"/>
                      <w:kern w:val="2"/>
                      <w:sz w:val="21"/>
                      <w:szCs w:val="21"/>
                      <w:highlight w:val="none"/>
                      <w:lang w:val="en-US" w:eastAsia="zh-CN" w:bidi="ar-SA"/>
                    </w:rPr>
                    <w:t>本项目</w:t>
                  </w:r>
                  <w:r>
                    <w:rPr>
                      <w:rFonts w:hint="eastAsia" w:cs="Times New Roman"/>
                      <w:b w:val="0"/>
                      <w:bCs w:val="0"/>
                      <w:caps w:val="0"/>
                      <w:color w:val="auto"/>
                      <w:spacing w:val="4"/>
                      <w:kern w:val="2"/>
                      <w:sz w:val="21"/>
                      <w:szCs w:val="21"/>
                      <w:highlight w:val="none"/>
                      <w:lang w:val="en-US" w:eastAsia="zh-CN" w:bidi="ar-SA"/>
                    </w:rPr>
                    <w:t>属于煤田火区灭火治理工程</w:t>
                  </w:r>
                  <w:r>
                    <w:rPr>
                      <w:rFonts w:hint="eastAsia" w:ascii="Times New Roman" w:hAnsi="Times New Roman" w:eastAsia="宋体" w:cs="Times New Roman"/>
                      <w:b w:val="0"/>
                      <w:bCs w:val="0"/>
                      <w:caps w:val="0"/>
                      <w:color w:val="auto"/>
                      <w:spacing w:val="4"/>
                      <w:kern w:val="2"/>
                      <w:sz w:val="21"/>
                      <w:szCs w:val="21"/>
                      <w:highlight w:val="none"/>
                      <w:lang w:val="en-US" w:eastAsia="zh-CN" w:bidi="ar-SA"/>
                    </w:rPr>
                    <w:t>，不属于</w:t>
                  </w:r>
                  <w:r>
                    <w:rPr>
                      <w:rFonts w:hint="eastAsia" w:ascii="Times New Roman" w:hAnsi="Times New Roman" w:eastAsia="宋体"/>
                      <w:b w:val="0"/>
                      <w:bCs w:val="0"/>
                      <w:color w:val="auto"/>
                      <w:szCs w:val="21"/>
                      <w:highlight w:val="none"/>
                    </w:rPr>
                    <w:t>重化工、涉重金属等工业污染项目</w:t>
                  </w:r>
                  <w:r>
                    <w:rPr>
                      <w:rFonts w:hint="eastAsia" w:ascii="Times New Roman" w:hAnsi="Times New Roman" w:eastAsia="宋体"/>
                      <w:b w:val="0"/>
                      <w:bCs w:val="0"/>
                      <w:color w:val="auto"/>
                      <w:szCs w:val="21"/>
                      <w:highlight w:val="none"/>
                      <w:lang w:eastAsia="zh-CN"/>
                    </w:rPr>
                    <w:t>，</w:t>
                  </w:r>
                  <w:r>
                    <w:rPr>
                      <w:rFonts w:hint="eastAsia" w:ascii="Times New Roman" w:hAnsi="Times New Roman" w:eastAsia="宋体"/>
                      <w:b w:val="0"/>
                      <w:bCs w:val="0"/>
                      <w:color w:val="auto"/>
                      <w:szCs w:val="21"/>
                      <w:highlight w:val="none"/>
                      <w:lang w:val="en-US" w:eastAsia="zh-CN"/>
                    </w:rPr>
                    <w:t>且不</w:t>
                  </w:r>
                  <w:r>
                    <w:rPr>
                      <w:rFonts w:hint="eastAsia" w:ascii="Times New Roman" w:hAnsi="Times New Roman" w:eastAsia="宋体"/>
                      <w:b w:val="0"/>
                      <w:bCs w:val="0"/>
                      <w:color w:val="auto"/>
                      <w:szCs w:val="21"/>
                      <w:highlight w:val="none"/>
                    </w:rPr>
                    <w:t>在水源涵养区、饮用水水源保护区内和河流、湖泊、水库周围</w:t>
                  </w:r>
                  <w:r>
                    <w:rPr>
                      <w:rFonts w:hint="eastAsia" w:ascii="Times New Roman" w:hAnsi="Times New Roman" w:eastAsia="宋体"/>
                      <w:b w:val="0"/>
                      <w:bCs w:val="0"/>
                      <w:color w:val="auto"/>
                      <w:szCs w:val="21"/>
                      <w:highlight w:val="none"/>
                      <w:lang w:eastAsia="zh-CN"/>
                    </w:rPr>
                    <w:t>。</w:t>
                  </w:r>
                </w:p>
              </w:tc>
              <w:tc>
                <w:tcPr>
                  <w:tcW w:w="979" w:type="dxa"/>
                  <w:tcBorders>
                    <w:tl2br w:val="nil"/>
                    <w:tr2bl w:val="nil"/>
                  </w:tcBorders>
                  <w:noWrap w:val="0"/>
                  <w:vAlign w:val="center"/>
                </w:tcPr>
                <w:p w14:paraId="196C2EF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6B4374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continue"/>
                  <w:tcBorders>
                    <w:tl2br w:val="nil"/>
                    <w:tr2bl w:val="nil"/>
                  </w:tcBorders>
                  <w:noWrap w:val="0"/>
                  <w:vAlign w:val="center"/>
                </w:tcPr>
                <w:p w14:paraId="52AEAA21">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rPr>
                  </w:pPr>
                </w:p>
              </w:tc>
              <w:tc>
                <w:tcPr>
                  <w:tcW w:w="788" w:type="dxa"/>
                  <w:vMerge w:val="continue"/>
                  <w:tcBorders>
                    <w:tl2br w:val="nil"/>
                    <w:tr2bl w:val="nil"/>
                  </w:tcBorders>
                  <w:noWrap w:val="0"/>
                  <w:vAlign w:val="center"/>
                </w:tcPr>
                <w:p w14:paraId="7DA8C357">
                  <w:pPr>
                    <w:keepNext w:val="0"/>
                    <w:keepLines w:val="0"/>
                    <w:pageBreakBefore w:val="0"/>
                    <w:suppressLineNumbers w:val="0"/>
                    <w:kinsoku/>
                    <w:wordWrap/>
                    <w:bidi w:val="0"/>
                    <w:adjustRightInd/>
                    <w:snapToGrid/>
                    <w:spacing w:before="0" w:beforeAutospacing="0" w:after="0" w:afterAutospacing="0"/>
                    <w:ind w:left="0" w:right="0"/>
                    <w:textAlignment w:val="center"/>
                    <w:rPr>
                      <w:rFonts w:hint="default" w:ascii="Times New Roman" w:hAnsi="Times New Roman" w:eastAsia="宋体"/>
                      <w:b w:val="0"/>
                      <w:bCs w:val="0"/>
                      <w:color w:val="auto"/>
                      <w:szCs w:val="21"/>
                    </w:rPr>
                  </w:pPr>
                </w:p>
              </w:tc>
              <w:tc>
                <w:tcPr>
                  <w:tcW w:w="2987" w:type="dxa"/>
                  <w:tcBorders>
                    <w:tl2br w:val="nil"/>
                    <w:tr2bl w:val="nil"/>
                  </w:tcBorders>
                  <w:noWrap w:val="0"/>
                  <w:vAlign w:val="center"/>
                </w:tcPr>
                <w:p w14:paraId="0450E395">
                  <w:pPr>
                    <w:keepNext w:val="0"/>
                    <w:keepLines w:val="0"/>
                    <w:pageBreakBefore w:val="0"/>
                    <w:suppressLineNumbers w:val="0"/>
                    <w:kinsoku/>
                    <w:wordWrap/>
                    <w:bidi w:val="0"/>
                    <w:adjustRightInd/>
                    <w:snapToGrid/>
                    <w:spacing w:before="0" w:beforeAutospacing="0" w:after="0" w:afterAutospacing="0"/>
                    <w:ind w:left="0" w:right="0"/>
                    <w:jc w:val="left"/>
                    <w:textAlignment w:val="center"/>
                    <w:rPr>
                      <w:rFonts w:hint="eastAsia" w:ascii="Times New Roman" w:hAnsi="Times New Roman" w:eastAsia="宋体"/>
                      <w:b w:val="0"/>
                      <w:bCs w:val="0"/>
                      <w:color w:val="auto"/>
                      <w:szCs w:val="21"/>
                    </w:rPr>
                  </w:pPr>
                  <w:r>
                    <w:rPr>
                      <w:rFonts w:hint="eastAsia" w:ascii="Times New Roman" w:hAnsi="Times New Roman" w:eastAsia="宋体"/>
                      <w:b w:val="0"/>
                      <w:bCs w:val="0"/>
                      <w:color w:val="auto"/>
                      <w:szCs w:val="21"/>
                    </w:rPr>
                    <w:t>〔A1.3-2〕对不符合国家产业政策、严重污染水环境的生产项目全部予以取缔。</w:t>
                  </w:r>
                </w:p>
              </w:tc>
              <w:tc>
                <w:tcPr>
                  <w:tcW w:w="2313" w:type="dxa"/>
                  <w:tcBorders>
                    <w:tl2br w:val="nil"/>
                    <w:tr2bl w:val="nil"/>
                  </w:tcBorders>
                  <w:noWrap w:val="0"/>
                  <w:vAlign w:val="center"/>
                </w:tcPr>
                <w:p w14:paraId="3E72878D">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eastAsia" w:eastAsia="宋体"/>
                      <w:b w:val="0"/>
                      <w:bCs w:val="0"/>
                      <w:caps w:val="0"/>
                      <w:color w:val="auto"/>
                      <w:kern w:val="0"/>
                      <w:sz w:val="21"/>
                      <w:szCs w:val="21"/>
                      <w:highlight w:val="yellow"/>
                      <w:lang w:val="en-US" w:eastAsia="zh-CN"/>
                    </w:rPr>
                  </w:pPr>
                  <w:r>
                    <w:rPr>
                      <w:rFonts w:hint="eastAsia" w:ascii="Times New Roman" w:hAnsi="Times New Roman" w:eastAsia="宋体" w:cs="Times New Roman"/>
                      <w:b w:val="0"/>
                      <w:bCs w:val="0"/>
                      <w:caps w:val="0"/>
                      <w:color w:val="auto"/>
                      <w:spacing w:val="4"/>
                      <w:kern w:val="2"/>
                      <w:sz w:val="21"/>
                      <w:szCs w:val="21"/>
                      <w:highlight w:val="none"/>
                      <w:lang w:val="en-US" w:eastAsia="zh-CN" w:bidi="ar-SA"/>
                    </w:rPr>
                    <w:t>本项目符合国家产业政策，且不属于</w:t>
                  </w:r>
                  <w:r>
                    <w:rPr>
                      <w:rFonts w:hint="eastAsia" w:ascii="Times New Roman" w:hAnsi="Times New Roman" w:eastAsia="宋体"/>
                      <w:b w:val="0"/>
                      <w:bCs w:val="0"/>
                      <w:color w:val="auto"/>
                      <w:szCs w:val="21"/>
                      <w:highlight w:val="none"/>
                    </w:rPr>
                    <w:t>严重污染水环境的生产项目</w:t>
                  </w:r>
                  <w:r>
                    <w:rPr>
                      <w:rFonts w:hint="eastAsia" w:ascii="Times New Roman" w:hAnsi="Times New Roman" w:eastAsia="宋体"/>
                      <w:b w:val="0"/>
                      <w:bCs w:val="0"/>
                      <w:color w:val="auto"/>
                      <w:szCs w:val="21"/>
                      <w:highlight w:val="none"/>
                      <w:lang w:eastAsia="zh-CN"/>
                    </w:rPr>
                    <w:t>。</w:t>
                  </w:r>
                </w:p>
              </w:tc>
              <w:tc>
                <w:tcPr>
                  <w:tcW w:w="979" w:type="dxa"/>
                  <w:tcBorders>
                    <w:tl2br w:val="nil"/>
                    <w:tr2bl w:val="nil"/>
                  </w:tcBorders>
                  <w:noWrap w:val="0"/>
                  <w:vAlign w:val="center"/>
                </w:tcPr>
                <w:p w14:paraId="6D0ECFF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7D7449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continue"/>
                  <w:tcBorders>
                    <w:tl2br w:val="nil"/>
                    <w:tr2bl w:val="nil"/>
                  </w:tcBorders>
                  <w:noWrap w:val="0"/>
                  <w:vAlign w:val="center"/>
                </w:tcPr>
                <w:p w14:paraId="5DB2F9D4">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rPr>
                  </w:pPr>
                </w:p>
              </w:tc>
              <w:tc>
                <w:tcPr>
                  <w:tcW w:w="788" w:type="dxa"/>
                  <w:tcBorders>
                    <w:tl2br w:val="nil"/>
                    <w:tr2bl w:val="nil"/>
                  </w:tcBorders>
                  <w:noWrap w:val="0"/>
                  <w:vAlign w:val="center"/>
                </w:tcPr>
                <w:p w14:paraId="4B5C6240">
                  <w:pPr>
                    <w:keepNext w:val="0"/>
                    <w:keepLines w:val="0"/>
                    <w:pageBreakBefore w:val="0"/>
                    <w:suppressLineNumbers w:val="0"/>
                    <w:kinsoku/>
                    <w:wordWrap/>
                    <w:bidi w:val="0"/>
                    <w:adjustRightInd/>
                    <w:snapToGrid/>
                    <w:spacing w:before="0" w:beforeAutospacing="0" w:after="0" w:afterAutospacing="0"/>
                    <w:ind w:left="0" w:right="0"/>
                    <w:jc w:val="center"/>
                    <w:textAlignment w:val="center"/>
                    <w:rPr>
                      <w:rFonts w:hint="default" w:ascii="Times New Roman" w:hAnsi="Times New Roman" w:eastAsia="宋体"/>
                      <w:b w:val="0"/>
                      <w:bCs w:val="0"/>
                      <w:color w:val="auto"/>
                      <w:szCs w:val="21"/>
                      <w:lang w:val="en-US"/>
                    </w:rPr>
                  </w:pPr>
                  <w:r>
                    <w:rPr>
                      <w:rFonts w:hint="eastAsia" w:ascii="Times New Roman" w:hAnsi="Times New Roman" w:eastAsia="宋体"/>
                      <w:b w:val="0"/>
                      <w:bCs w:val="0"/>
                      <w:caps w:val="0"/>
                      <w:color w:val="auto"/>
                      <w:spacing w:val="4"/>
                      <w:sz w:val="21"/>
                      <w:szCs w:val="21"/>
                      <w:highlight w:val="none"/>
                      <w:vertAlign w:val="baseline"/>
                      <w:lang w:val="en-US" w:eastAsia="zh-CN"/>
                    </w:rPr>
                    <w:t>A1.4其它布局要求</w:t>
                  </w:r>
                </w:p>
              </w:tc>
              <w:tc>
                <w:tcPr>
                  <w:tcW w:w="2987" w:type="dxa"/>
                  <w:tcBorders>
                    <w:tl2br w:val="nil"/>
                    <w:tr2bl w:val="nil"/>
                  </w:tcBorders>
                  <w:noWrap w:val="0"/>
                  <w:vAlign w:val="center"/>
                </w:tcPr>
                <w:p w14:paraId="27330D97">
                  <w:pPr>
                    <w:keepNext w:val="0"/>
                    <w:keepLines w:val="0"/>
                    <w:pageBreakBefore w:val="0"/>
                    <w:suppressLineNumbers w:val="0"/>
                    <w:kinsoku/>
                    <w:wordWrap/>
                    <w:bidi w:val="0"/>
                    <w:adjustRightInd/>
                    <w:snapToGrid/>
                    <w:spacing w:before="0" w:beforeAutospacing="0" w:after="0" w:afterAutospacing="0"/>
                    <w:ind w:left="0" w:right="0"/>
                    <w:jc w:val="left"/>
                    <w:textAlignment w:val="center"/>
                    <w:rPr>
                      <w:rFonts w:hint="eastAsia" w:ascii="Times New Roman" w:hAnsi="Times New Roman" w:eastAsia="宋体"/>
                      <w:b w:val="0"/>
                      <w:bCs w:val="0"/>
                      <w:color w:val="auto"/>
                      <w:szCs w:val="21"/>
                      <w:lang w:eastAsia="zh-CN"/>
                    </w:rPr>
                  </w:pPr>
                  <w:r>
                    <w:rPr>
                      <w:rFonts w:hint="eastAsia" w:ascii="Times New Roman" w:hAnsi="Times New Roman" w:eastAsia="宋体"/>
                      <w:b w:val="0"/>
                      <w:bCs w:val="0"/>
                      <w:color w:val="auto"/>
                      <w:szCs w:val="21"/>
                    </w:rPr>
                    <w:t>〔A1.4-1〕一切开发建设活动应符合国家、自治区主体功能区规划</w:t>
                  </w:r>
                  <w:r>
                    <w:rPr>
                      <w:rFonts w:hint="eastAsia"/>
                      <w:b w:val="0"/>
                      <w:bCs w:val="0"/>
                      <w:color w:val="auto"/>
                      <w:szCs w:val="21"/>
                      <w:lang w:eastAsia="zh-CN"/>
                    </w:rPr>
                    <w:t>、</w:t>
                  </w:r>
                  <w:r>
                    <w:rPr>
                      <w:rFonts w:hint="eastAsia" w:ascii="Times New Roman" w:hAnsi="Times New Roman" w:eastAsia="宋体"/>
                      <w:b w:val="0"/>
                      <w:bCs w:val="0"/>
                      <w:color w:val="auto"/>
                      <w:szCs w:val="21"/>
                    </w:rPr>
                    <w:t>自治区和各地颁布实施的生态环境功能区划、国民经济发展规划、产业发展规划、国土空间规划等相关规划及重点生态功能区负面清单要求，符合区域或产业规划环评要求</w:t>
                  </w:r>
                  <w:r>
                    <w:rPr>
                      <w:rFonts w:hint="eastAsia" w:ascii="Times New Roman" w:hAnsi="Times New Roman" w:eastAsia="宋体"/>
                      <w:b w:val="0"/>
                      <w:bCs w:val="0"/>
                      <w:color w:val="auto"/>
                      <w:szCs w:val="21"/>
                      <w:lang w:eastAsia="zh-CN"/>
                    </w:rPr>
                    <w:t>。</w:t>
                  </w:r>
                </w:p>
              </w:tc>
              <w:tc>
                <w:tcPr>
                  <w:tcW w:w="2313" w:type="dxa"/>
                  <w:tcBorders>
                    <w:tl2br w:val="nil"/>
                    <w:tr2bl w:val="nil"/>
                  </w:tcBorders>
                  <w:noWrap w:val="0"/>
                  <w:vAlign w:val="center"/>
                </w:tcPr>
                <w:p w14:paraId="02709C67">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eastAsia" w:eastAsia="宋体"/>
                      <w:b w:val="0"/>
                      <w:bCs w:val="0"/>
                      <w:caps w:val="0"/>
                      <w:color w:val="auto"/>
                      <w:kern w:val="0"/>
                      <w:sz w:val="21"/>
                      <w:szCs w:val="21"/>
                      <w:highlight w:val="yellow"/>
                      <w:lang w:val="en-US" w:eastAsia="zh-CN"/>
                    </w:rPr>
                  </w:pPr>
                  <w:r>
                    <w:rPr>
                      <w:rFonts w:hint="eastAsia"/>
                      <w:b w:val="0"/>
                      <w:bCs w:val="0"/>
                      <w:caps w:val="0"/>
                      <w:color w:val="auto"/>
                      <w:kern w:val="0"/>
                      <w:sz w:val="21"/>
                      <w:szCs w:val="21"/>
                      <w:highlight w:val="none"/>
                      <w:lang w:val="en-US" w:eastAsia="zh-CN"/>
                    </w:rPr>
                    <w:t>本项目符合</w:t>
                  </w:r>
                  <w:r>
                    <w:rPr>
                      <w:rFonts w:hint="eastAsia" w:ascii="Times New Roman" w:hAnsi="Times New Roman" w:eastAsia="宋体"/>
                      <w:b w:val="0"/>
                      <w:bCs w:val="0"/>
                      <w:color w:val="auto"/>
                      <w:szCs w:val="21"/>
                      <w:highlight w:val="none"/>
                    </w:rPr>
                    <w:t>国家、自治区主体功能区规划</w:t>
                  </w:r>
                  <w:r>
                    <w:rPr>
                      <w:rFonts w:hint="eastAsia"/>
                      <w:b w:val="0"/>
                      <w:bCs w:val="0"/>
                      <w:color w:val="auto"/>
                      <w:szCs w:val="21"/>
                      <w:highlight w:val="none"/>
                      <w:lang w:eastAsia="zh-CN"/>
                    </w:rPr>
                    <w:t>、</w:t>
                  </w:r>
                  <w:r>
                    <w:rPr>
                      <w:rFonts w:hint="eastAsia" w:ascii="Times New Roman" w:hAnsi="Times New Roman" w:eastAsia="宋体"/>
                      <w:b w:val="0"/>
                      <w:bCs w:val="0"/>
                      <w:color w:val="auto"/>
                      <w:szCs w:val="21"/>
                      <w:highlight w:val="none"/>
                    </w:rPr>
                    <w:t>自治区和各地颁布实施的生态环境功能区划、国民经济发展规划、产业发展规划、国土空间规划等相关规划及重点生态功能区负面清单要求，符合区域或产业规划环评要求</w:t>
                  </w:r>
                  <w:r>
                    <w:rPr>
                      <w:rFonts w:hint="eastAsia" w:ascii="Times New Roman" w:hAnsi="Times New Roman" w:eastAsia="宋体"/>
                      <w:b w:val="0"/>
                      <w:bCs w:val="0"/>
                      <w:color w:val="auto"/>
                      <w:szCs w:val="21"/>
                      <w:highlight w:val="none"/>
                      <w:lang w:eastAsia="zh-CN"/>
                    </w:rPr>
                    <w:t>。</w:t>
                  </w:r>
                </w:p>
              </w:tc>
              <w:tc>
                <w:tcPr>
                  <w:tcW w:w="979" w:type="dxa"/>
                  <w:tcBorders>
                    <w:tl2br w:val="nil"/>
                    <w:tr2bl w:val="nil"/>
                  </w:tcBorders>
                  <w:noWrap w:val="0"/>
                  <w:vAlign w:val="center"/>
                </w:tcPr>
                <w:p w14:paraId="54C4992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2FAF93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tcBorders>
                    <w:tl2br w:val="nil"/>
                    <w:tr2bl w:val="nil"/>
                  </w:tcBorders>
                  <w:noWrap w:val="0"/>
                  <w:vAlign w:val="center"/>
                </w:tcPr>
                <w:p w14:paraId="7EDF0D7B">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lang w:val="en-US"/>
                    </w:rPr>
                  </w:pPr>
                  <w:r>
                    <w:rPr>
                      <w:rFonts w:hint="eastAsia" w:ascii="Times New Roman" w:hAnsi="Times New Roman" w:eastAsia="宋体"/>
                      <w:b w:val="0"/>
                      <w:bCs w:val="0"/>
                      <w:caps w:val="0"/>
                      <w:color w:val="auto"/>
                      <w:spacing w:val="4"/>
                      <w:sz w:val="21"/>
                      <w:szCs w:val="21"/>
                      <w:highlight w:val="none"/>
                      <w:vertAlign w:val="baseline"/>
                      <w:lang w:val="en-US" w:eastAsia="zh-CN"/>
                    </w:rPr>
                    <w:t>A2污染物排放管控</w:t>
                  </w:r>
                </w:p>
              </w:tc>
              <w:tc>
                <w:tcPr>
                  <w:tcW w:w="788" w:type="dxa"/>
                  <w:tcBorders>
                    <w:tl2br w:val="nil"/>
                    <w:tr2bl w:val="nil"/>
                  </w:tcBorders>
                  <w:noWrap w:val="0"/>
                  <w:vAlign w:val="center"/>
                </w:tcPr>
                <w:p w14:paraId="550E06B3">
                  <w:pPr>
                    <w:keepNext w:val="0"/>
                    <w:keepLines w:val="0"/>
                    <w:pageBreakBefore w:val="0"/>
                    <w:suppressLineNumbers w:val="0"/>
                    <w:kinsoku/>
                    <w:wordWrap/>
                    <w:bidi w:val="0"/>
                    <w:adjustRightInd/>
                    <w:snapToGrid/>
                    <w:spacing w:before="0" w:beforeAutospacing="0" w:after="0" w:afterAutospacing="0"/>
                    <w:ind w:left="0" w:right="0"/>
                    <w:jc w:val="center"/>
                    <w:textAlignment w:val="center"/>
                    <w:rPr>
                      <w:rFonts w:hint="default" w:ascii="Times New Roman" w:hAnsi="Times New Roman" w:eastAsia="宋体"/>
                      <w:b w:val="0"/>
                      <w:bCs w:val="0"/>
                      <w:color w:val="auto"/>
                      <w:szCs w:val="21"/>
                      <w:lang w:val="en-US"/>
                    </w:rPr>
                  </w:pPr>
                  <w:r>
                    <w:rPr>
                      <w:rFonts w:hint="eastAsia" w:ascii="Times New Roman" w:hAnsi="Times New Roman" w:eastAsia="宋体"/>
                      <w:b w:val="0"/>
                      <w:bCs w:val="0"/>
                      <w:caps w:val="0"/>
                      <w:color w:val="auto"/>
                      <w:spacing w:val="4"/>
                      <w:sz w:val="21"/>
                      <w:szCs w:val="21"/>
                      <w:highlight w:val="none"/>
                      <w:vertAlign w:val="baseline"/>
                      <w:lang w:val="en-US" w:eastAsia="zh-CN"/>
                    </w:rPr>
                    <w:t>A2.1污染物削减/替代要求</w:t>
                  </w:r>
                </w:p>
              </w:tc>
              <w:tc>
                <w:tcPr>
                  <w:tcW w:w="2987" w:type="dxa"/>
                  <w:tcBorders>
                    <w:tl2br w:val="nil"/>
                    <w:tr2bl w:val="nil"/>
                  </w:tcBorders>
                  <w:noWrap w:val="0"/>
                  <w:vAlign w:val="center"/>
                </w:tcPr>
                <w:p w14:paraId="305C648E">
                  <w:pPr>
                    <w:keepNext w:val="0"/>
                    <w:keepLines w:val="0"/>
                    <w:pageBreakBefore w:val="0"/>
                    <w:suppressLineNumbers w:val="0"/>
                    <w:kinsoku/>
                    <w:wordWrap/>
                    <w:bidi w:val="0"/>
                    <w:adjustRightInd/>
                    <w:snapToGrid/>
                    <w:spacing w:before="0" w:beforeAutospacing="0" w:after="0" w:afterAutospacing="0"/>
                    <w:ind w:left="0" w:leftChars="0" w:right="0" w:rightChars="0"/>
                    <w:jc w:val="left"/>
                    <w:textAlignment w:val="center"/>
                    <w:rPr>
                      <w:rFonts w:hint="eastAsia" w:ascii="Times New Roman" w:hAnsi="Times New Roman" w:eastAsia="宋体"/>
                      <w:b w:val="0"/>
                      <w:bCs w:val="0"/>
                      <w:color w:val="auto"/>
                      <w:szCs w:val="21"/>
                      <w:highlight w:val="none"/>
                    </w:rPr>
                  </w:pPr>
                  <w:r>
                    <w:rPr>
                      <w:rFonts w:hint="eastAsia" w:ascii="Times New Roman" w:hAnsi="Times New Roman" w:eastAsia="宋体"/>
                      <w:b w:val="0"/>
                      <w:bCs w:val="0"/>
                      <w:color w:val="auto"/>
                      <w:szCs w:val="21"/>
                      <w:highlight w:val="none"/>
                    </w:rPr>
                    <w:t>〔A2.1-3〕促进大气污染物与温室气体协同控制。实施污染物和温室气体协同控制，实现减污降碳协同效应。开展工业、农业温室气体和污染减排协同控制研究，减少温室气体和污染物排放。强化污水、垃圾等集中处置设施环境管理，协同控制氢氟碳化物、甲烷、氧化亚氮等温室气体。加强节约能源与大气污染防治协同有效衔接，促进大气污染防治协同增效。</w:t>
                  </w:r>
                </w:p>
              </w:tc>
              <w:tc>
                <w:tcPr>
                  <w:tcW w:w="2313" w:type="dxa"/>
                  <w:tcBorders>
                    <w:tl2br w:val="nil"/>
                    <w:tr2bl w:val="nil"/>
                  </w:tcBorders>
                  <w:noWrap w:val="0"/>
                  <w:vAlign w:val="center"/>
                </w:tcPr>
                <w:p w14:paraId="5A1C3DDB">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eastAsia" w:eastAsia="宋体"/>
                      <w:b w:val="0"/>
                      <w:bCs w:val="0"/>
                      <w:caps w:val="0"/>
                      <w:color w:val="auto"/>
                      <w:kern w:val="0"/>
                      <w:sz w:val="21"/>
                      <w:szCs w:val="21"/>
                      <w:highlight w:val="none"/>
                      <w:lang w:val="en-US" w:eastAsia="zh-CN"/>
                    </w:rPr>
                  </w:pPr>
                  <w:r>
                    <w:rPr>
                      <w:rFonts w:hint="eastAsia" w:cs="Times New Roman"/>
                      <w:b w:val="0"/>
                      <w:bCs w:val="0"/>
                      <w:caps w:val="0"/>
                      <w:color w:val="auto"/>
                      <w:szCs w:val="21"/>
                      <w:highlight w:val="none"/>
                      <w:lang w:val="en-US" w:eastAsia="zh-CN"/>
                    </w:rPr>
                    <w:t>本项目</w:t>
                  </w:r>
                  <w:r>
                    <w:rPr>
                      <w:rFonts w:hint="eastAsia" w:cs="Times New Roman"/>
                      <w:color w:val="auto"/>
                      <w:sz w:val="21"/>
                      <w:szCs w:val="21"/>
                      <w:highlight w:val="none"/>
                      <w:lang w:val="en-US" w:eastAsia="zh-CN"/>
                    </w:rPr>
                    <w:t>合理</w:t>
                  </w:r>
                  <w:r>
                    <w:rPr>
                      <w:rFonts w:hint="default" w:ascii="Times New Roman" w:hAnsi="Times New Roman" w:eastAsia="宋体" w:cs="Times New Roman"/>
                      <w:color w:val="auto"/>
                      <w:sz w:val="21"/>
                      <w:szCs w:val="21"/>
                      <w:highlight w:val="none"/>
                      <w:lang w:val="en-US" w:eastAsia="zh-CN"/>
                    </w:rPr>
                    <w:t>安排施工进度及施工时间，避免雨天和大风天开挖施工作业</w:t>
                  </w:r>
                  <w:r>
                    <w:rPr>
                      <w:rFonts w:hint="eastAsia" w:ascii="Times New Roman" w:hAnsi="Times New Roman" w:eastAsia="宋体" w:cs="Times New Roman"/>
                      <w:color w:val="auto"/>
                      <w:sz w:val="21"/>
                      <w:szCs w:val="21"/>
                      <w:highlight w:val="none"/>
                      <w:lang w:val="en-US" w:eastAsia="zh-CN"/>
                    </w:rPr>
                    <w:t>；</w:t>
                  </w:r>
                  <w:r>
                    <w:rPr>
                      <w:rFonts w:hint="eastAsia" w:cs="宋体"/>
                      <w:color w:val="auto"/>
                      <w:kern w:val="0"/>
                      <w:sz w:val="21"/>
                      <w:szCs w:val="21"/>
                      <w:highlight w:val="none"/>
                      <w:lang w:val="en-US" w:eastAsia="zh-CN" w:bidi="ar"/>
                    </w:rPr>
                    <w:t>剥离工程、钻探工程、取土场</w:t>
                  </w:r>
                  <w:r>
                    <w:rPr>
                      <w:rFonts w:hint="eastAsia" w:ascii="Times New Roman" w:hAnsi="Times New Roman" w:cs="宋体"/>
                      <w:color w:val="auto"/>
                      <w:kern w:val="0"/>
                      <w:sz w:val="21"/>
                      <w:szCs w:val="21"/>
                      <w:highlight w:val="none"/>
                      <w:lang w:bidi="ar"/>
                    </w:rPr>
                    <w:t>等易于产生地面扬尘的工程区域，采用定期洒水方式降低施工扬尘的影响</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val="en-US" w:eastAsia="zh-CN" w:bidi="ar"/>
                    </w:rPr>
                    <w:t>运输车辆采取篷布覆盖、降低车速、运输道路洒水等措施降低扬尘污染；</w:t>
                  </w:r>
                  <w:r>
                    <w:rPr>
                      <w:rFonts w:hint="default" w:ascii="Times New Roman" w:hAnsi="Times New Roman" w:eastAsia="宋体" w:cs="Times New Roman"/>
                      <w:color w:val="auto"/>
                      <w:sz w:val="21"/>
                      <w:szCs w:val="21"/>
                      <w:highlight w:val="none"/>
                      <w:lang w:val="en-US" w:eastAsia="zh-CN"/>
                    </w:rPr>
                    <w:t>加强施工机械、车辆</w:t>
                  </w:r>
                  <w:r>
                    <w:rPr>
                      <w:rFonts w:hint="eastAsia" w:ascii="Times New Roman" w:hAnsi="Times New Roman" w:cs="Times New Roman"/>
                      <w:color w:val="auto"/>
                      <w:szCs w:val="21"/>
                      <w:highlight w:val="none"/>
                    </w:rPr>
                    <w:t>维护保养，使用正品燃油</w:t>
                  </w:r>
                  <w:r>
                    <w:rPr>
                      <w:rFonts w:hint="eastAsia" w:ascii="Times New Roman" w:hAnsi="Times New Roman" w:cs="宋体"/>
                      <w:color w:val="auto"/>
                      <w:kern w:val="0"/>
                      <w:sz w:val="21"/>
                      <w:szCs w:val="21"/>
                      <w:highlight w:val="none"/>
                      <w:lang w:bidi="ar"/>
                    </w:rPr>
                    <w:t>。</w:t>
                  </w:r>
                </w:p>
              </w:tc>
              <w:tc>
                <w:tcPr>
                  <w:tcW w:w="979" w:type="dxa"/>
                  <w:tcBorders>
                    <w:tl2br w:val="nil"/>
                    <w:tr2bl w:val="nil"/>
                  </w:tcBorders>
                  <w:noWrap w:val="0"/>
                  <w:vAlign w:val="center"/>
                </w:tcPr>
                <w:p w14:paraId="37CA011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2C0F1E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restart"/>
                  <w:tcBorders>
                    <w:tl2br w:val="nil"/>
                    <w:tr2bl w:val="nil"/>
                  </w:tcBorders>
                  <w:noWrap w:val="0"/>
                  <w:vAlign w:val="center"/>
                </w:tcPr>
                <w:p w14:paraId="01C13346">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lang w:val="en-US" w:eastAsia="zh-CN"/>
                    </w:rPr>
                  </w:pPr>
                  <w:r>
                    <w:rPr>
                      <w:rFonts w:hint="eastAsia" w:ascii="Times New Roman" w:hAnsi="Times New Roman" w:eastAsia="宋体"/>
                      <w:b w:val="0"/>
                      <w:bCs w:val="0"/>
                      <w:caps w:val="0"/>
                      <w:color w:val="auto"/>
                      <w:kern w:val="0"/>
                      <w:sz w:val="21"/>
                      <w:szCs w:val="21"/>
                      <w:highlight w:val="none"/>
                      <w:lang w:val="en-US" w:eastAsia="zh-CN"/>
                    </w:rPr>
                    <w:t>A3环境风险防控</w:t>
                  </w:r>
                </w:p>
              </w:tc>
              <w:tc>
                <w:tcPr>
                  <w:tcW w:w="788" w:type="dxa"/>
                  <w:vMerge w:val="restart"/>
                  <w:tcBorders>
                    <w:tl2br w:val="nil"/>
                    <w:tr2bl w:val="nil"/>
                  </w:tcBorders>
                  <w:noWrap w:val="0"/>
                  <w:vAlign w:val="center"/>
                </w:tcPr>
                <w:p w14:paraId="2DD0FE00">
                  <w:pPr>
                    <w:keepNext w:val="0"/>
                    <w:keepLines w:val="0"/>
                    <w:pageBreakBefore w:val="0"/>
                    <w:suppressLineNumbers w:val="0"/>
                    <w:kinsoku/>
                    <w:wordWrap/>
                    <w:bidi w:val="0"/>
                    <w:adjustRightInd/>
                    <w:snapToGrid/>
                    <w:spacing w:before="0" w:beforeAutospacing="0" w:after="0" w:afterAutospacing="0"/>
                    <w:ind w:left="0" w:right="0"/>
                    <w:jc w:val="center"/>
                    <w:textAlignment w:val="center"/>
                    <w:rPr>
                      <w:rFonts w:hint="default" w:ascii="Times New Roman" w:hAnsi="Times New Roman" w:eastAsia="宋体"/>
                      <w:b w:val="0"/>
                      <w:bCs w:val="0"/>
                      <w:color w:val="auto"/>
                      <w:szCs w:val="21"/>
                      <w:lang w:val="en-US" w:eastAsia="zh-CN"/>
                    </w:rPr>
                  </w:pPr>
                  <w:r>
                    <w:rPr>
                      <w:rFonts w:hint="eastAsia" w:ascii="Times New Roman" w:hAnsi="Times New Roman" w:eastAsia="宋体"/>
                      <w:b w:val="0"/>
                      <w:bCs w:val="0"/>
                      <w:color w:val="auto"/>
                      <w:szCs w:val="21"/>
                      <w:lang w:val="en-US" w:eastAsia="zh-CN"/>
                    </w:rPr>
                    <w:t>A3.1人居环境要求</w:t>
                  </w:r>
                </w:p>
              </w:tc>
              <w:tc>
                <w:tcPr>
                  <w:tcW w:w="2987" w:type="dxa"/>
                  <w:tcBorders>
                    <w:tl2br w:val="nil"/>
                    <w:tr2bl w:val="nil"/>
                  </w:tcBorders>
                  <w:noWrap w:val="0"/>
                  <w:vAlign w:val="center"/>
                </w:tcPr>
                <w:p w14:paraId="3579D78B">
                  <w:pPr>
                    <w:keepNext w:val="0"/>
                    <w:keepLines w:val="0"/>
                    <w:pageBreakBefore w:val="0"/>
                    <w:suppressLineNumbers w:val="0"/>
                    <w:kinsoku/>
                    <w:wordWrap/>
                    <w:bidi w:val="0"/>
                    <w:adjustRightInd/>
                    <w:snapToGrid/>
                    <w:spacing w:before="0" w:beforeAutospacing="0" w:after="0" w:afterAutospacing="0"/>
                    <w:ind w:left="0" w:right="0"/>
                    <w:jc w:val="left"/>
                    <w:textAlignment w:val="center"/>
                    <w:rPr>
                      <w:rFonts w:hint="eastAsia" w:ascii="Times New Roman" w:hAnsi="Times New Roman" w:eastAsia="宋体"/>
                      <w:b w:val="0"/>
                      <w:bCs w:val="0"/>
                      <w:color w:val="auto"/>
                      <w:szCs w:val="21"/>
                      <w:highlight w:val="none"/>
                    </w:rPr>
                  </w:pPr>
                  <w:r>
                    <w:rPr>
                      <w:rFonts w:hint="eastAsia" w:ascii="Times New Roman" w:hAnsi="Times New Roman" w:eastAsia="宋体"/>
                      <w:b w:val="0"/>
                      <w:bCs w:val="0"/>
                      <w:color w:val="auto"/>
                      <w:szCs w:val="21"/>
                      <w:highlight w:val="none"/>
                    </w:rPr>
                    <w:t>〔A3.1-1〕建立和完善重污染天气兵地联合应急预案、预报预警应急机制和会商联动机制。“</w:t>
                  </w:r>
                  <w:r>
                    <w:rPr>
                      <w:rFonts w:hint="eastAsia" w:ascii="Times New Roman" w:hAnsi="Times New Roman" w:eastAsia="宋体"/>
                      <w:b w:val="0"/>
                      <w:bCs w:val="0"/>
                      <w:color w:val="auto"/>
                      <w:szCs w:val="21"/>
                      <w:highlight w:val="none"/>
                      <w:lang w:val="en-US" w:eastAsia="zh-CN"/>
                    </w:rPr>
                    <w:t>乌-</w:t>
                  </w:r>
                  <w:r>
                    <w:rPr>
                      <w:rFonts w:hint="eastAsia" w:ascii="Times New Roman" w:hAnsi="Times New Roman" w:eastAsia="宋体"/>
                      <w:b w:val="0"/>
                      <w:bCs w:val="0"/>
                      <w:color w:val="auto"/>
                      <w:szCs w:val="21"/>
                      <w:highlight w:val="none"/>
                    </w:rPr>
                    <w:t>昌</w:t>
                  </w:r>
                  <w:r>
                    <w:rPr>
                      <w:rFonts w:hint="eastAsia" w:ascii="Times New Roman" w:hAnsi="Times New Roman" w:eastAsia="宋体"/>
                      <w:b w:val="0"/>
                      <w:bCs w:val="0"/>
                      <w:color w:val="auto"/>
                      <w:szCs w:val="21"/>
                      <w:highlight w:val="none"/>
                      <w:lang w:val="en-US" w:eastAsia="zh-CN"/>
                    </w:rPr>
                    <w:t>-</w:t>
                  </w:r>
                  <w:r>
                    <w:rPr>
                      <w:rFonts w:hint="eastAsia" w:ascii="Times New Roman" w:hAnsi="Times New Roman" w:eastAsia="宋体"/>
                      <w:b w:val="0"/>
                      <w:bCs w:val="0"/>
                      <w:color w:val="auto"/>
                      <w:szCs w:val="21"/>
                      <w:highlight w:val="none"/>
                    </w:rPr>
                    <w:t>石”区域内可能影响相邻行政区域大气环境的项目，兵地间、城市间必须相互征求意见。</w:t>
                  </w:r>
                </w:p>
              </w:tc>
              <w:tc>
                <w:tcPr>
                  <w:tcW w:w="2313" w:type="dxa"/>
                  <w:tcBorders>
                    <w:tl2br w:val="nil"/>
                    <w:tr2bl w:val="nil"/>
                  </w:tcBorders>
                  <w:noWrap w:val="0"/>
                  <w:vAlign w:val="center"/>
                </w:tcPr>
                <w:p w14:paraId="312E048E">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eastAsia" w:eastAsia="宋体"/>
                      <w:b w:val="0"/>
                      <w:bCs w:val="0"/>
                      <w:caps w:val="0"/>
                      <w:color w:val="auto"/>
                      <w:kern w:val="0"/>
                      <w:sz w:val="21"/>
                      <w:szCs w:val="21"/>
                      <w:highlight w:val="none"/>
                      <w:lang w:val="en-US" w:eastAsia="zh-CN"/>
                    </w:rPr>
                  </w:pPr>
                  <w:r>
                    <w:rPr>
                      <w:rFonts w:hint="default" w:ascii="Times New Roman" w:hAnsi="Times New Roman" w:eastAsia="宋体" w:cs="Times New Roman"/>
                      <w:b w:val="0"/>
                      <w:bCs w:val="0"/>
                      <w:color w:val="auto"/>
                      <w:spacing w:val="-8"/>
                      <w:sz w:val="21"/>
                      <w:szCs w:val="21"/>
                      <w:highlight w:val="none"/>
                    </w:rPr>
                    <w:t>本</w:t>
                  </w:r>
                  <w:r>
                    <w:rPr>
                      <w:rFonts w:hint="eastAsia" w:ascii="Times New Roman" w:hAnsi="Times New Roman" w:eastAsia="宋体" w:cs="Times New Roman"/>
                      <w:b w:val="0"/>
                      <w:bCs w:val="0"/>
                      <w:color w:val="auto"/>
                      <w:spacing w:val="-8"/>
                      <w:sz w:val="21"/>
                      <w:szCs w:val="21"/>
                      <w:highlight w:val="none"/>
                      <w:lang w:eastAsia="zh-CN"/>
                    </w:rPr>
                    <w:t>项目位于</w:t>
                  </w:r>
                  <w:r>
                    <w:rPr>
                      <w:rFonts w:hint="eastAsia" w:cs="Times New Roman"/>
                      <w:b w:val="0"/>
                      <w:bCs w:val="0"/>
                      <w:color w:val="auto"/>
                      <w:spacing w:val="-8"/>
                      <w:sz w:val="21"/>
                      <w:szCs w:val="21"/>
                      <w:highlight w:val="none"/>
                      <w:lang w:val="en-US" w:eastAsia="zh-CN"/>
                    </w:rPr>
                    <w:t>阜康市康龙煤矿</w:t>
                  </w:r>
                  <w:r>
                    <w:rPr>
                      <w:rFonts w:hint="eastAsia" w:ascii="Times New Roman" w:hAnsi="Times New Roman" w:eastAsia="宋体" w:cs="Times New Roman"/>
                      <w:b w:val="0"/>
                      <w:bCs w:val="0"/>
                      <w:color w:val="auto"/>
                      <w:spacing w:val="-8"/>
                      <w:sz w:val="21"/>
                      <w:szCs w:val="21"/>
                      <w:highlight w:val="none"/>
                      <w:lang w:eastAsia="zh-CN"/>
                    </w:rPr>
                    <w:t>，</w:t>
                  </w:r>
                  <w:r>
                    <w:rPr>
                      <w:rFonts w:hint="eastAsia" w:ascii="Times New Roman" w:hAnsi="Times New Roman" w:eastAsia="宋体" w:cs="Times New Roman"/>
                      <w:b w:val="0"/>
                      <w:bCs w:val="0"/>
                      <w:color w:val="auto"/>
                      <w:spacing w:val="-8"/>
                      <w:sz w:val="21"/>
                      <w:szCs w:val="21"/>
                      <w:highlight w:val="none"/>
                      <w:lang w:val="en-US" w:eastAsia="zh-CN"/>
                    </w:rPr>
                    <w:t>项目所在地不</w:t>
                  </w:r>
                  <w:r>
                    <w:rPr>
                      <w:rFonts w:hint="eastAsia" w:cs="Times New Roman"/>
                      <w:b w:val="0"/>
                      <w:bCs w:val="0"/>
                      <w:color w:val="auto"/>
                      <w:spacing w:val="-8"/>
                      <w:sz w:val="21"/>
                      <w:szCs w:val="21"/>
                      <w:highlight w:val="none"/>
                      <w:lang w:val="en-US" w:eastAsia="zh-CN"/>
                    </w:rPr>
                    <w:t>在</w:t>
                  </w:r>
                  <w:r>
                    <w:rPr>
                      <w:rFonts w:hint="eastAsia" w:ascii="Times New Roman" w:hAnsi="Times New Roman" w:eastAsia="宋体"/>
                      <w:b w:val="0"/>
                      <w:bCs w:val="0"/>
                      <w:color w:val="auto"/>
                      <w:szCs w:val="21"/>
                      <w:highlight w:val="none"/>
                    </w:rPr>
                    <w:t>“</w:t>
                  </w:r>
                  <w:r>
                    <w:rPr>
                      <w:rFonts w:hint="eastAsia" w:ascii="Times New Roman" w:hAnsi="Times New Roman" w:eastAsia="宋体"/>
                      <w:b w:val="0"/>
                      <w:bCs w:val="0"/>
                      <w:color w:val="auto"/>
                      <w:szCs w:val="21"/>
                      <w:highlight w:val="none"/>
                      <w:lang w:val="en-US" w:eastAsia="zh-CN"/>
                    </w:rPr>
                    <w:t>乌-</w:t>
                  </w:r>
                  <w:r>
                    <w:rPr>
                      <w:rFonts w:hint="eastAsia" w:ascii="Times New Roman" w:hAnsi="Times New Roman" w:eastAsia="宋体"/>
                      <w:b w:val="0"/>
                      <w:bCs w:val="0"/>
                      <w:color w:val="auto"/>
                      <w:szCs w:val="21"/>
                      <w:highlight w:val="none"/>
                    </w:rPr>
                    <w:t>昌</w:t>
                  </w:r>
                  <w:r>
                    <w:rPr>
                      <w:rFonts w:hint="eastAsia" w:ascii="Times New Roman" w:hAnsi="Times New Roman" w:eastAsia="宋体"/>
                      <w:b w:val="0"/>
                      <w:bCs w:val="0"/>
                      <w:color w:val="auto"/>
                      <w:szCs w:val="21"/>
                      <w:highlight w:val="none"/>
                      <w:lang w:val="en-US" w:eastAsia="zh-CN"/>
                    </w:rPr>
                    <w:t>-</w:t>
                  </w:r>
                  <w:r>
                    <w:rPr>
                      <w:rFonts w:hint="eastAsia" w:ascii="Times New Roman" w:hAnsi="Times New Roman" w:eastAsia="宋体"/>
                      <w:b w:val="0"/>
                      <w:bCs w:val="0"/>
                      <w:color w:val="auto"/>
                      <w:szCs w:val="21"/>
                      <w:highlight w:val="none"/>
                    </w:rPr>
                    <w:t>石”区域</w:t>
                  </w:r>
                  <w:r>
                    <w:rPr>
                      <w:rFonts w:hint="eastAsia" w:ascii="Times New Roman" w:hAnsi="Times New Roman" w:eastAsia="宋体"/>
                      <w:b w:val="0"/>
                      <w:bCs w:val="0"/>
                      <w:color w:val="auto"/>
                      <w:szCs w:val="21"/>
                      <w:highlight w:val="none"/>
                      <w:lang w:eastAsia="zh-CN"/>
                    </w:rPr>
                    <w:t>。</w:t>
                  </w:r>
                </w:p>
              </w:tc>
              <w:tc>
                <w:tcPr>
                  <w:tcW w:w="979" w:type="dxa"/>
                  <w:tcBorders>
                    <w:tl2br w:val="nil"/>
                    <w:tr2bl w:val="nil"/>
                  </w:tcBorders>
                  <w:noWrap w:val="0"/>
                  <w:vAlign w:val="center"/>
                </w:tcPr>
                <w:p w14:paraId="076FE00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2633E3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continue"/>
                  <w:tcBorders>
                    <w:tl2br w:val="nil"/>
                    <w:tr2bl w:val="nil"/>
                  </w:tcBorders>
                  <w:noWrap w:val="0"/>
                  <w:vAlign w:val="center"/>
                </w:tcPr>
                <w:p w14:paraId="5FAD7C25">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rPr>
                  </w:pPr>
                </w:p>
              </w:tc>
              <w:tc>
                <w:tcPr>
                  <w:tcW w:w="788" w:type="dxa"/>
                  <w:vMerge w:val="continue"/>
                  <w:tcBorders>
                    <w:tl2br w:val="nil"/>
                    <w:tr2bl w:val="nil"/>
                  </w:tcBorders>
                  <w:noWrap w:val="0"/>
                  <w:vAlign w:val="center"/>
                </w:tcPr>
                <w:p w14:paraId="7F4E9FB1">
                  <w:pPr>
                    <w:keepNext w:val="0"/>
                    <w:keepLines w:val="0"/>
                    <w:pageBreakBefore w:val="0"/>
                    <w:suppressLineNumbers w:val="0"/>
                    <w:kinsoku/>
                    <w:wordWrap/>
                    <w:bidi w:val="0"/>
                    <w:adjustRightInd/>
                    <w:snapToGrid/>
                    <w:spacing w:before="0" w:beforeAutospacing="0" w:after="0" w:afterAutospacing="0"/>
                    <w:ind w:left="0" w:right="0"/>
                    <w:textAlignment w:val="center"/>
                    <w:rPr>
                      <w:rFonts w:hint="default" w:ascii="Times New Roman" w:hAnsi="Times New Roman" w:eastAsia="宋体"/>
                      <w:b w:val="0"/>
                      <w:bCs w:val="0"/>
                      <w:color w:val="auto"/>
                      <w:szCs w:val="21"/>
                    </w:rPr>
                  </w:pPr>
                </w:p>
              </w:tc>
              <w:tc>
                <w:tcPr>
                  <w:tcW w:w="2987" w:type="dxa"/>
                  <w:tcBorders>
                    <w:tl2br w:val="nil"/>
                    <w:tr2bl w:val="nil"/>
                  </w:tcBorders>
                  <w:noWrap w:val="0"/>
                  <w:vAlign w:val="center"/>
                </w:tcPr>
                <w:p w14:paraId="38DED3D3">
                  <w:pPr>
                    <w:keepNext w:val="0"/>
                    <w:keepLines w:val="0"/>
                    <w:pageBreakBefore w:val="0"/>
                    <w:suppressLineNumbers w:val="0"/>
                    <w:kinsoku/>
                    <w:wordWrap/>
                    <w:bidi w:val="0"/>
                    <w:adjustRightInd/>
                    <w:snapToGrid/>
                    <w:spacing w:before="0" w:beforeAutospacing="0" w:after="0" w:afterAutospacing="0"/>
                    <w:ind w:left="0" w:right="0"/>
                    <w:jc w:val="left"/>
                    <w:textAlignment w:val="center"/>
                    <w:rPr>
                      <w:rFonts w:hint="eastAsia" w:ascii="Times New Roman" w:hAnsi="Times New Roman" w:eastAsia="宋体"/>
                      <w:b w:val="0"/>
                      <w:bCs w:val="0"/>
                      <w:color w:val="auto"/>
                      <w:szCs w:val="21"/>
                    </w:rPr>
                  </w:pPr>
                  <w:r>
                    <w:rPr>
                      <w:rFonts w:hint="eastAsia" w:ascii="Times New Roman" w:hAnsi="Times New Roman" w:eastAsia="宋体"/>
                      <w:b w:val="0"/>
                      <w:bCs w:val="0"/>
                      <w:color w:val="auto"/>
                      <w:szCs w:val="21"/>
                    </w:rPr>
                    <w:t>〔A3.1-3〕强化重污染天气监测预报预警能力，建立和完善重污染天气兵地联合应急预案、预警应急机制和会商联动机制，加强轻、中度污染天气管控。</w:t>
                  </w:r>
                </w:p>
              </w:tc>
              <w:tc>
                <w:tcPr>
                  <w:tcW w:w="2313" w:type="dxa"/>
                  <w:tcBorders>
                    <w:tl2br w:val="nil"/>
                    <w:tr2bl w:val="nil"/>
                  </w:tcBorders>
                  <w:noWrap w:val="0"/>
                  <w:vAlign w:val="center"/>
                </w:tcPr>
                <w:p w14:paraId="6F610D14">
                  <w:pPr>
                    <w:keepNext w:val="0"/>
                    <w:keepLines w:val="0"/>
                    <w:pageBreakBefore w:val="0"/>
                    <w:suppressLineNumbers w:val="0"/>
                    <w:kinsoku/>
                    <w:wordWrap/>
                    <w:topLinePunct/>
                    <w:bidi w:val="0"/>
                    <w:adjustRightInd/>
                    <w:snapToGrid/>
                    <w:spacing w:before="0" w:beforeAutospacing="0" w:after="0" w:afterAutospacing="0"/>
                    <w:ind w:left="0" w:right="0"/>
                    <w:jc w:val="left"/>
                    <w:rPr>
                      <w:rFonts w:hint="default"/>
                      <w:b w:val="0"/>
                      <w:bCs w:val="0"/>
                      <w:caps w:val="0"/>
                      <w:color w:val="auto"/>
                      <w:kern w:val="0"/>
                      <w:sz w:val="21"/>
                      <w:szCs w:val="21"/>
                      <w:highlight w:val="none"/>
                      <w:lang w:val="en-US" w:eastAsia="zh-CN"/>
                    </w:rPr>
                  </w:pPr>
                  <w:r>
                    <w:rPr>
                      <w:rFonts w:hint="eastAsia"/>
                      <w:b w:val="0"/>
                      <w:bCs w:val="0"/>
                      <w:caps w:val="0"/>
                      <w:color w:val="auto"/>
                      <w:kern w:val="0"/>
                      <w:sz w:val="21"/>
                      <w:szCs w:val="21"/>
                      <w:highlight w:val="none"/>
                      <w:lang w:val="en-US" w:eastAsia="zh-CN"/>
                    </w:rPr>
                    <w:t>本项目严格落实重污染天气相关要求。</w:t>
                  </w:r>
                </w:p>
              </w:tc>
              <w:tc>
                <w:tcPr>
                  <w:tcW w:w="979" w:type="dxa"/>
                  <w:tcBorders>
                    <w:tl2br w:val="nil"/>
                    <w:tr2bl w:val="nil"/>
                  </w:tcBorders>
                  <w:noWrap w:val="0"/>
                  <w:vAlign w:val="center"/>
                </w:tcPr>
                <w:p w14:paraId="1BC9122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26F5899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continue"/>
                  <w:tcBorders>
                    <w:tl2br w:val="nil"/>
                    <w:tr2bl w:val="nil"/>
                  </w:tcBorders>
                  <w:noWrap w:val="0"/>
                  <w:vAlign w:val="center"/>
                </w:tcPr>
                <w:p w14:paraId="0DB9ADB0">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rPr>
                  </w:pPr>
                </w:p>
              </w:tc>
              <w:tc>
                <w:tcPr>
                  <w:tcW w:w="788" w:type="dxa"/>
                  <w:vMerge w:val="restart"/>
                  <w:tcBorders>
                    <w:tl2br w:val="nil"/>
                    <w:tr2bl w:val="nil"/>
                  </w:tcBorders>
                  <w:noWrap w:val="0"/>
                  <w:vAlign w:val="center"/>
                </w:tcPr>
                <w:p w14:paraId="0D96EB0F">
                  <w:pPr>
                    <w:keepNext w:val="0"/>
                    <w:keepLines w:val="0"/>
                    <w:pageBreakBefore w:val="0"/>
                    <w:suppressLineNumbers w:val="0"/>
                    <w:kinsoku/>
                    <w:wordWrap/>
                    <w:bidi w:val="0"/>
                    <w:adjustRightInd/>
                    <w:snapToGrid/>
                    <w:spacing w:before="0" w:beforeAutospacing="0" w:after="0" w:afterAutospacing="0"/>
                    <w:ind w:left="0" w:right="0"/>
                    <w:jc w:val="center"/>
                    <w:textAlignment w:val="center"/>
                    <w:rPr>
                      <w:rFonts w:hint="default" w:ascii="Times New Roman" w:hAnsi="Times New Roman" w:eastAsia="宋体"/>
                      <w:b w:val="0"/>
                      <w:bCs w:val="0"/>
                      <w:color w:val="auto"/>
                      <w:szCs w:val="21"/>
                    </w:rPr>
                  </w:pPr>
                  <w:r>
                    <w:rPr>
                      <w:rFonts w:hint="eastAsia" w:ascii="Times New Roman" w:hAnsi="Times New Roman" w:eastAsia="宋体"/>
                      <w:b w:val="0"/>
                      <w:bCs w:val="0"/>
                      <w:color w:val="auto"/>
                      <w:szCs w:val="21"/>
                      <w:lang w:val="en-US" w:eastAsia="zh-CN"/>
                    </w:rPr>
                    <w:t>A3.2联防联控要求</w:t>
                  </w:r>
                </w:p>
              </w:tc>
              <w:tc>
                <w:tcPr>
                  <w:tcW w:w="2987" w:type="dxa"/>
                  <w:tcBorders>
                    <w:tl2br w:val="nil"/>
                    <w:tr2bl w:val="nil"/>
                  </w:tcBorders>
                  <w:noWrap w:val="0"/>
                  <w:vAlign w:val="center"/>
                </w:tcPr>
                <w:p w14:paraId="7F6B7B5B">
                  <w:pPr>
                    <w:keepNext w:val="0"/>
                    <w:keepLines w:val="0"/>
                    <w:pageBreakBefore w:val="0"/>
                    <w:suppressLineNumbers w:val="0"/>
                    <w:kinsoku/>
                    <w:wordWrap/>
                    <w:bidi w:val="0"/>
                    <w:adjustRightInd/>
                    <w:snapToGrid/>
                    <w:spacing w:before="0" w:beforeAutospacing="0" w:after="0" w:afterAutospacing="0"/>
                    <w:ind w:left="0" w:leftChars="0" w:right="0" w:rightChars="0"/>
                    <w:jc w:val="left"/>
                    <w:textAlignment w:val="center"/>
                    <w:rPr>
                      <w:rFonts w:hint="eastAsia" w:ascii="Times New Roman" w:hAnsi="Times New Roman" w:eastAsia="宋体"/>
                      <w:b w:val="0"/>
                      <w:bCs w:val="0"/>
                      <w:color w:val="auto"/>
                      <w:szCs w:val="21"/>
                    </w:rPr>
                  </w:pPr>
                  <w:r>
                    <w:rPr>
                      <w:rFonts w:hint="eastAsia" w:ascii="Times New Roman" w:hAnsi="Times New Roman" w:eastAsia="宋体"/>
                      <w:b w:val="0"/>
                      <w:bCs w:val="0"/>
                      <w:color w:val="auto"/>
                      <w:szCs w:val="21"/>
                    </w:rPr>
                    <w:t>〔A3.2-4〕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tc>
              <w:tc>
                <w:tcPr>
                  <w:tcW w:w="2313" w:type="dxa"/>
                  <w:tcBorders>
                    <w:tl2br w:val="nil"/>
                    <w:tr2bl w:val="nil"/>
                  </w:tcBorders>
                  <w:noWrap w:val="0"/>
                  <w:vAlign w:val="center"/>
                </w:tcPr>
                <w:p w14:paraId="1CFA1DED">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eastAsia"/>
                      <w:b w:val="0"/>
                      <w:bCs w:val="0"/>
                      <w:caps w:val="0"/>
                      <w:color w:val="auto"/>
                      <w:kern w:val="0"/>
                      <w:sz w:val="21"/>
                      <w:szCs w:val="21"/>
                      <w:highlight w:val="none"/>
                      <w:lang w:val="en-US" w:eastAsia="zh-CN"/>
                    </w:rPr>
                  </w:pPr>
                  <w:r>
                    <w:rPr>
                      <w:rFonts w:hint="eastAsia"/>
                      <w:b w:val="0"/>
                      <w:bCs w:val="0"/>
                      <w:caps w:val="0"/>
                      <w:color w:val="auto"/>
                      <w:kern w:val="0"/>
                      <w:sz w:val="21"/>
                      <w:szCs w:val="21"/>
                      <w:highlight w:val="none"/>
                      <w:lang w:val="en-US" w:eastAsia="zh-CN"/>
                    </w:rPr>
                    <w:t>本项目严格落实环境风险预警防控相关要求。</w:t>
                  </w:r>
                </w:p>
              </w:tc>
              <w:tc>
                <w:tcPr>
                  <w:tcW w:w="979" w:type="dxa"/>
                  <w:tcBorders>
                    <w:tl2br w:val="nil"/>
                    <w:tr2bl w:val="nil"/>
                  </w:tcBorders>
                  <w:noWrap w:val="0"/>
                  <w:vAlign w:val="center"/>
                </w:tcPr>
                <w:p w14:paraId="10A8106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665A98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continue"/>
                  <w:tcBorders>
                    <w:tl2br w:val="nil"/>
                    <w:tr2bl w:val="nil"/>
                  </w:tcBorders>
                  <w:noWrap w:val="0"/>
                  <w:vAlign w:val="center"/>
                </w:tcPr>
                <w:p w14:paraId="62FE3146">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rPr>
                  </w:pPr>
                </w:p>
              </w:tc>
              <w:tc>
                <w:tcPr>
                  <w:tcW w:w="788" w:type="dxa"/>
                  <w:vMerge w:val="continue"/>
                  <w:tcBorders>
                    <w:tl2br w:val="nil"/>
                    <w:tr2bl w:val="nil"/>
                  </w:tcBorders>
                  <w:noWrap w:val="0"/>
                  <w:vAlign w:val="center"/>
                </w:tcPr>
                <w:p w14:paraId="48855512">
                  <w:pPr>
                    <w:keepNext w:val="0"/>
                    <w:keepLines w:val="0"/>
                    <w:pageBreakBefore w:val="0"/>
                    <w:suppressLineNumbers w:val="0"/>
                    <w:kinsoku/>
                    <w:wordWrap/>
                    <w:bidi w:val="0"/>
                    <w:adjustRightInd/>
                    <w:snapToGrid/>
                    <w:spacing w:before="0" w:beforeAutospacing="0" w:after="0" w:afterAutospacing="0"/>
                    <w:ind w:left="0" w:right="0"/>
                    <w:textAlignment w:val="center"/>
                    <w:rPr>
                      <w:rFonts w:hint="default" w:ascii="Times New Roman" w:hAnsi="Times New Roman" w:eastAsia="宋体"/>
                      <w:b w:val="0"/>
                      <w:bCs w:val="0"/>
                      <w:color w:val="auto"/>
                      <w:szCs w:val="21"/>
                    </w:rPr>
                  </w:pPr>
                </w:p>
              </w:tc>
              <w:tc>
                <w:tcPr>
                  <w:tcW w:w="2987" w:type="dxa"/>
                  <w:tcBorders>
                    <w:tl2br w:val="nil"/>
                    <w:tr2bl w:val="nil"/>
                  </w:tcBorders>
                  <w:noWrap w:val="0"/>
                  <w:vAlign w:val="center"/>
                </w:tcPr>
                <w:p w14:paraId="06DE2251">
                  <w:pPr>
                    <w:keepNext w:val="0"/>
                    <w:keepLines w:val="0"/>
                    <w:pageBreakBefore w:val="0"/>
                    <w:suppressLineNumbers w:val="0"/>
                    <w:kinsoku/>
                    <w:wordWrap/>
                    <w:bidi w:val="0"/>
                    <w:adjustRightInd/>
                    <w:snapToGrid/>
                    <w:spacing w:before="0" w:beforeAutospacing="0" w:after="0" w:afterAutospacing="0"/>
                    <w:ind w:left="0" w:leftChars="0" w:right="0" w:rightChars="0"/>
                    <w:jc w:val="left"/>
                    <w:textAlignment w:val="center"/>
                    <w:rPr>
                      <w:rFonts w:hint="eastAsia" w:ascii="Times New Roman" w:hAnsi="Times New Roman" w:eastAsia="宋体"/>
                      <w:b w:val="0"/>
                      <w:bCs w:val="0"/>
                      <w:color w:val="auto"/>
                      <w:szCs w:val="21"/>
                    </w:rPr>
                  </w:pPr>
                  <w:r>
                    <w:rPr>
                      <w:rFonts w:hint="eastAsia" w:ascii="Times New Roman" w:hAnsi="Times New Roman" w:eastAsia="宋体"/>
                      <w:b w:val="0"/>
                      <w:bCs w:val="0"/>
                      <w:color w:val="auto"/>
                      <w:szCs w:val="21"/>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2313" w:type="dxa"/>
                  <w:tcBorders>
                    <w:tl2br w:val="nil"/>
                    <w:tr2bl w:val="nil"/>
                  </w:tcBorders>
                  <w:noWrap w:val="0"/>
                  <w:vAlign w:val="center"/>
                </w:tcPr>
                <w:p w14:paraId="4A44B767">
                  <w:pPr>
                    <w:keepNext w:val="0"/>
                    <w:keepLines w:val="0"/>
                    <w:pageBreakBefore w:val="0"/>
                    <w:suppressLineNumbers w:val="0"/>
                    <w:kinsoku/>
                    <w:wordWrap/>
                    <w:bidi w:val="0"/>
                    <w:adjustRightInd/>
                    <w:snapToGrid/>
                    <w:spacing w:before="120" w:beforeLines="50" w:beforeAutospacing="0" w:after="0" w:afterAutospacing="0" w:line="240" w:lineRule="auto"/>
                    <w:ind w:left="0" w:right="0"/>
                    <w:jc w:val="both"/>
                    <w:rPr>
                      <w:rFonts w:hint="eastAsia" w:ascii="Times New Roman" w:hAnsi="Times New Roman" w:eastAsia="宋体"/>
                      <w:b w:val="0"/>
                      <w:bCs w:val="0"/>
                      <w:caps w:val="0"/>
                      <w:color w:val="auto"/>
                      <w:sz w:val="21"/>
                      <w:szCs w:val="21"/>
                      <w:highlight w:val="none"/>
                      <w:vertAlign w:val="baseline"/>
                      <w:lang w:val="en-US" w:eastAsia="zh-CN"/>
                    </w:rPr>
                  </w:pPr>
                  <w:r>
                    <w:rPr>
                      <w:rFonts w:hint="eastAsia"/>
                      <w:b w:val="0"/>
                      <w:bCs w:val="0"/>
                      <w:caps w:val="0"/>
                      <w:color w:val="auto"/>
                      <w:kern w:val="0"/>
                      <w:sz w:val="21"/>
                      <w:szCs w:val="21"/>
                      <w:highlight w:val="none"/>
                      <w:lang w:val="en-US" w:eastAsia="zh-CN"/>
                    </w:rPr>
                    <w:t>本项目严格落实生态环境应急管理相关要求，</w:t>
                  </w:r>
                  <w:r>
                    <w:rPr>
                      <w:rFonts w:hint="eastAsia" w:ascii="Times New Roman" w:hAnsi="Times New Roman" w:eastAsia="宋体"/>
                      <w:b w:val="0"/>
                      <w:bCs w:val="0"/>
                      <w:caps w:val="0"/>
                      <w:color w:val="auto"/>
                      <w:highlight w:val="none"/>
                    </w:rPr>
                    <w:t>项目建成后加强风险管理，及时配备应急物资。</w:t>
                  </w:r>
                </w:p>
                <w:p w14:paraId="22D6C91C">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default"/>
                      <w:b w:val="0"/>
                      <w:bCs w:val="0"/>
                      <w:caps w:val="0"/>
                      <w:color w:val="auto"/>
                      <w:kern w:val="0"/>
                      <w:sz w:val="21"/>
                      <w:szCs w:val="21"/>
                      <w:highlight w:val="none"/>
                      <w:lang w:val="en-US" w:eastAsia="zh-CN"/>
                    </w:rPr>
                  </w:pPr>
                </w:p>
              </w:tc>
              <w:tc>
                <w:tcPr>
                  <w:tcW w:w="979" w:type="dxa"/>
                  <w:tcBorders>
                    <w:tl2br w:val="nil"/>
                    <w:tr2bl w:val="nil"/>
                  </w:tcBorders>
                  <w:noWrap w:val="0"/>
                  <w:vAlign w:val="center"/>
                </w:tcPr>
                <w:p w14:paraId="7E9C41B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269629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restart"/>
                  <w:tcBorders>
                    <w:tl2br w:val="nil"/>
                    <w:tr2bl w:val="nil"/>
                  </w:tcBorders>
                  <w:noWrap w:val="0"/>
                  <w:vAlign w:val="center"/>
                </w:tcPr>
                <w:p w14:paraId="0E47B4DD">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lang w:val="en-US" w:eastAsia="zh-CN"/>
                    </w:rPr>
                  </w:pPr>
                  <w:r>
                    <w:rPr>
                      <w:rFonts w:hint="eastAsia" w:ascii="Times New Roman" w:hAnsi="Times New Roman" w:eastAsia="宋体"/>
                      <w:b w:val="0"/>
                      <w:bCs w:val="0"/>
                      <w:caps w:val="0"/>
                      <w:color w:val="auto"/>
                      <w:kern w:val="0"/>
                      <w:sz w:val="21"/>
                      <w:szCs w:val="21"/>
                      <w:highlight w:val="none"/>
                      <w:lang w:val="en-US" w:eastAsia="zh-CN"/>
                    </w:rPr>
                    <w:t>A4资源利用要求</w:t>
                  </w:r>
                </w:p>
              </w:tc>
              <w:tc>
                <w:tcPr>
                  <w:tcW w:w="788" w:type="dxa"/>
                  <w:tcBorders>
                    <w:tl2br w:val="nil"/>
                    <w:tr2bl w:val="nil"/>
                  </w:tcBorders>
                  <w:noWrap w:val="0"/>
                  <w:vAlign w:val="center"/>
                </w:tcPr>
                <w:p w14:paraId="2FCC44F0">
                  <w:pPr>
                    <w:keepNext w:val="0"/>
                    <w:keepLines w:val="0"/>
                    <w:pageBreakBefore w:val="0"/>
                    <w:suppressLineNumbers w:val="0"/>
                    <w:kinsoku/>
                    <w:wordWrap/>
                    <w:bidi w:val="0"/>
                    <w:adjustRightInd/>
                    <w:snapToGrid/>
                    <w:spacing w:before="0" w:beforeAutospacing="0" w:after="0" w:afterAutospacing="0"/>
                    <w:ind w:left="0" w:right="0"/>
                    <w:jc w:val="center"/>
                    <w:textAlignment w:val="center"/>
                    <w:rPr>
                      <w:rFonts w:hint="default" w:ascii="Times New Roman" w:hAnsi="Times New Roman" w:eastAsia="宋体"/>
                      <w:b w:val="0"/>
                      <w:bCs w:val="0"/>
                      <w:color w:val="auto"/>
                      <w:szCs w:val="21"/>
                      <w:lang w:val="en-US"/>
                    </w:rPr>
                  </w:pPr>
                  <w:r>
                    <w:rPr>
                      <w:rFonts w:hint="eastAsia" w:ascii="Times New Roman" w:hAnsi="Times New Roman" w:eastAsia="宋体"/>
                      <w:b w:val="0"/>
                      <w:bCs w:val="0"/>
                      <w:color w:val="auto"/>
                      <w:szCs w:val="21"/>
                      <w:lang w:val="en-US" w:eastAsia="zh-CN"/>
                    </w:rPr>
                    <w:t>A4.1水资源</w:t>
                  </w:r>
                </w:p>
              </w:tc>
              <w:tc>
                <w:tcPr>
                  <w:tcW w:w="2987" w:type="dxa"/>
                  <w:tcBorders>
                    <w:tl2br w:val="nil"/>
                    <w:tr2bl w:val="nil"/>
                  </w:tcBorders>
                  <w:noWrap w:val="0"/>
                  <w:vAlign w:val="center"/>
                </w:tcPr>
                <w:p w14:paraId="583FB407">
                  <w:pPr>
                    <w:keepNext w:val="0"/>
                    <w:keepLines w:val="0"/>
                    <w:pageBreakBefore w:val="0"/>
                    <w:suppressLineNumbers w:val="0"/>
                    <w:kinsoku/>
                    <w:wordWrap/>
                    <w:bidi w:val="0"/>
                    <w:adjustRightInd/>
                    <w:snapToGrid/>
                    <w:spacing w:before="0" w:beforeAutospacing="0" w:after="0" w:afterAutospacing="0"/>
                    <w:ind w:left="0" w:right="0"/>
                    <w:jc w:val="left"/>
                    <w:textAlignment w:val="center"/>
                    <w:rPr>
                      <w:rFonts w:hint="eastAsia" w:ascii="Times New Roman" w:hAnsi="Times New Roman" w:eastAsia="宋体"/>
                      <w:b w:val="0"/>
                      <w:bCs w:val="0"/>
                      <w:color w:val="auto"/>
                      <w:szCs w:val="21"/>
                    </w:rPr>
                  </w:pPr>
                  <w:r>
                    <w:rPr>
                      <w:rFonts w:hint="eastAsia" w:ascii="Times New Roman" w:hAnsi="Times New Roman" w:eastAsia="宋体"/>
                      <w:b w:val="0"/>
                      <w:bCs w:val="0"/>
                      <w:color w:val="auto"/>
                      <w:szCs w:val="21"/>
                    </w:rPr>
                    <w:t>〔A4.1-1〕自治区用水总量2025年、2030年控制在国家下达的指标内。</w:t>
                  </w:r>
                </w:p>
              </w:tc>
              <w:tc>
                <w:tcPr>
                  <w:tcW w:w="2313" w:type="dxa"/>
                  <w:tcBorders>
                    <w:tl2br w:val="nil"/>
                    <w:tr2bl w:val="nil"/>
                  </w:tcBorders>
                  <w:noWrap w:val="0"/>
                  <w:vAlign w:val="center"/>
                </w:tcPr>
                <w:p w14:paraId="0929DE3C">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default"/>
                      <w:b w:val="0"/>
                      <w:bCs w:val="0"/>
                      <w:caps w:val="0"/>
                      <w:color w:val="auto"/>
                      <w:kern w:val="0"/>
                      <w:sz w:val="21"/>
                      <w:szCs w:val="21"/>
                      <w:highlight w:val="yellow"/>
                      <w:lang w:val="en-US" w:eastAsia="zh-CN"/>
                    </w:rPr>
                  </w:pPr>
                  <w:r>
                    <w:rPr>
                      <w:rFonts w:hint="eastAsia"/>
                      <w:b w:val="0"/>
                      <w:bCs w:val="0"/>
                      <w:caps w:val="0"/>
                      <w:color w:val="auto"/>
                      <w:kern w:val="0"/>
                      <w:sz w:val="21"/>
                      <w:szCs w:val="21"/>
                      <w:highlight w:val="none"/>
                      <w:lang w:val="en-US" w:eastAsia="zh-CN"/>
                    </w:rPr>
                    <w:t>本项目严格落实用水总量控制要求。</w:t>
                  </w:r>
                </w:p>
              </w:tc>
              <w:tc>
                <w:tcPr>
                  <w:tcW w:w="979" w:type="dxa"/>
                  <w:tcBorders>
                    <w:tl2br w:val="nil"/>
                    <w:tr2bl w:val="nil"/>
                  </w:tcBorders>
                  <w:noWrap w:val="0"/>
                  <w:vAlign w:val="center"/>
                </w:tcPr>
                <w:p w14:paraId="23446E6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7B1BD78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continue"/>
                  <w:tcBorders>
                    <w:tl2br w:val="nil"/>
                    <w:tr2bl w:val="nil"/>
                  </w:tcBorders>
                  <w:noWrap w:val="0"/>
                  <w:vAlign w:val="center"/>
                </w:tcPr>
                <w:p w14:paraId="013A3344">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rPr>
                  </w:pPr>
                </w:p>
              </w:tc>
              <w:tc>
                <w:tcPr>
                  <w:tcW w:w="788" w:type="dxa"/>
                  <w:tcBorders>
                    <w:tl2br w:val="nil"/>
                    <w:tr2bl w:val="nil"/>
                  </w:tcBorders>
                  <w:noWrap w:val="0"/>
                  <w:vAlign w:val="center"/>
                </w:tcPr>
                <w:p w14:paraId="4B6B1EE9">
                  <w:pPr>
                    <w:keepNext w:val="0"/>
                    <w:keepLines w:val="0"/>
                    <w:pageBreakBefore w:val="0"/>
                    <w:suppressLineNumbers w:val="0"/>
                    <w:kinsoku/>
                    <w:wordWrap/>
                    <w:bidi w:val="0"/>
                    <w:adjustRightInd/>
                    <w:snapToGrid/>
                    <w:spacing w:before="0" w:beforeAutospacing="0" w:after="0" w:afterAutospacing="0"/>
                    <w:ind w:left="0" w:right="0"/>
                    <w:jc w:val="center"/>
                    <w:textAlignment w:val="center"/>
                    <w:rPr>
                      <w:rFonts w:hint="default" w:ascii="Times New Roman" w:hAnsi="Times New Roman" w:eastAsia="宋体"/>
                      <w:b w:val="0"/>
                      <w:bCs w:val="0"/>
                      <w:color w:val="auto"/>
                      <w:szCs w:val="21"/>
                    </w:rPr>
                  </w:pPr>
                  <w:r>
                    <w:rPr>
                      <w:rFonts w:hint="eastAsia" w:ascii="Times New Roman" w:hAnsi="Times New Roman" w:eastAsia="宋体"/>
                      <w:b w:val="0"/>
                      <w:bCs w:val="0"/>
                      <w:color w:val="auto"/>
                      <w:szCs w:val="21"/>
                      <w:lang w:val="en-US" w:eastAsia="zh-CN"/>
                    </w:rPr>
                    <w:t>A4.1土地资源</w:t>
                  </w:r>
                </w:p>
              </w:tc>
              <w:tc>
                <w:tcPr>
                  <w:tcW w:w="2987" w:type="dxa"/>
                  <w:tcBorders>
                    <w:tl2br w:val="nil"/>
                    <w:tr2bl w:val="nil"/>
                  </w:tcBorders>
                  <w:noWrap w:val="0"/>
                  <w:vAlign w:val="center"/>
                </w:tcPr>
                <w:p w14:paraId="2E5E4BF6">
                  <w:pPr>
                    <w:keepNext w:val="0"/>
                    <w:keepLines w:val="0"/>
                    <w:pageBreakBefore w:val="0"/>
                    <w:suppressLineNumbers w:val="0"/>
                    <w:kinsoku/>
                    <w:wordWrap/>
                    <w:bidi w:val="0"/>
                    <w:adjustRightInd/>
                    <w:snapToGrid/>
                    <w:spacing w:before="0" w:beforeAutospacing="0" w:after="0" w:afterAutospacing="0"/>
                    <w:ind w:left="0" w:right="0"/>
                    <w:jc w:val="left"/>
                    <w:textAlignment w:val="center"/>
                    <w:rPr>
                      <w:rFonts w:hint="eastAsia" w:ascii="Times New Roman" w:hAnsi="Times New Roman" w:eastAsia="宋体"/>
                      <w:b w:val="0"/>
                      <w:bCs w:val="0"/>
                      <w:color w:val="auto"/>
                      <w:szCs w:val="21"/>
                    </w:rPr>
                  </w:pPr>
                  <w:r>
                    <w:rPr>
                      <w:rFonts w:hint="eastAsia" w:ascii="Times New Roman" w:hAnsi="Times New Roman" w:eastAsia="宋体"/>
                      <w:b w:val="0"/>
                      <w:bCs w:val="0"/>
                      <w:color w:val="auto"/>
                      <w:szCs w:val="21"/>
                    </w:rPr>
                    <w:t>〔A4.2-1〕土地资源上线指标控制在最终批复的国土空间规划控制指标内。</w:t>
                  </w:r>
                </w:p>
              </w:tc>
              <w:tc>
                <w:tcPr>
                  <w:tcW w:w="2313" w:type="dxa"/>
                  <w:tcBorders>
                    <w:tl2br w:val="nil"/>
                    <w:tr2bl w:val="nil"/>
                  </w:tcBorders>
                  <w:noWrap w:val="0"/>
                  <w:vAlign w:val="center"/>
                </w:tcPr>
                <w:p w14:paraId="28B8A9D1">
                  <w:pPr>
                    <w:keepNext w:val="0"/>
                    <w:keepLines w:val="0"/>
                    <w:pageBreakBefore w:val="0"/>
                    <w:suppressLineNumbers w:val="0"/>
                    <w:kinsoku/>
                    <w:wordWrap/>
                    <w:topLinePunct/>
                    <w:bidi w:val="0"/>
                    <w:adjustRightInd/>
                    <w:snapToGrid/>
                    <w:spacing w:before="0" w:beforeAutospacing="0" w:after="0" w:afterAutospacing="0"/>
                    <w:ind w:left="0" w:right="0"/>
                    <w:jc w:val="left"/>
                    <w:rPr>
                      <w:rFonts w:hint="default"/>
                      <w:b w:val="0"/>
                      <w:bCs w:val="0"/>
                      <w:caps w:val="0"/>
                      <w:color w:val="auto"/>
                      <w:kern w:val="0"/>
                      <w:sz w:val="21"/>
                      <w:szCs w:val="21"/>
                      <w:highlight w:val="none"/>
                      <w:lang w:val="en-US" w:eastAsia="zh-CN"/>
                    </w:rPr>
                  </w:pPr>
                  <w:r>
                    <w:rPr>
                      <w:rFonts w:hint="eastAsia" w:cs="Times New Roman"/>
                      <w:b w:val="0"/>
                      <w:bCs w:val="0"/>
                      <w:color w:val="auto"/>
                      <w:spacing w:val="-8"/>
                      <w:sz w:val="21"/>
                      <w:szCs w:val="21"/>
                      <w:highlight w:val="none"/>
                      <w:lang w:val="en-US" w:eastAsia="zh-CN"/>
                    </w:rPr>
                    <w:t>本项目严格落实国土空间规划土地资源上线指标。</w:t>
                  </w:r>
                </w:p>
              </w:tc>
              <w:tc>
                <w:tcPr>
                  <w:tcW w:w="979" w:type="dxa"/>
                  <w:tcBorders>
                    <w:tl2br w:val="nil"/>
                    <w:tr2bl w:val="nil"/>
                  </w:tcBorders>
                  <w:noWrap w:val="0"/>
                  <w:vAlign w:val="center"/>
                </w:tcPr>
                <w:p w14:paraId="62D6FA5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17CD46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continue"/>
                  <w:tcBorders>
                    <w:tl2br w:val="nil"/>
                    <w:tr2bl w:val="nil"/>
                  </w:tcBorders>
                  <w:noWrap w:val="0"/>
                  <w:vAlign w:val="center"/>
                </w:tcPr>
                <w:p w14:paraId="3E9EDBE9">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rPr>
                  </w:pPr>
                </w:p>
              </w:tc>
              <w:tc>
                <w:tcPr>
                  <w:tcW w:w="788" w:type="dxa"/>
                  <w:tcBorders>
                    <w:tl2br w:val="nil"/>
                    <w:tr2bl w:val="nil"/>
                  </w:tcBorders>
                  <w:noWrap w:val="0"/>
                  <w:vAlign w:val="center"/>
                </w:tcPr>
                <w:p w14:paraId="7B325E4E">
                  <w:pPr>
                    <w:keepNext w:val="0"/>
                    <w:keepLines w:val="0"/>
                    <w:pageBreakBefore w:val="0"/>
                    <w:suppressLineNumbers w:val="0"/>
                    <w:kinsoku/>
                    <w:wordWrap/>
                    <w:bidi w:val="0"/>
                    <w:adjustRightInd/>
                    <w:snapToGrid/>
                    <w:spacing w:before="0" w:beforeAutospacing="0" w:after="0" w:afterAutospacing="0"/>
                    <w:ind w:left="0" w:right="0"/>
                    <w:jc w:val="center"/>
                    <w:textAlignment w:val="center"/>
                    <w:rPr>
                      <w:rFonts w:hint="default" w:ascii="Times New Roman" w:hAnsi="Times New Roman" w:eastAsia="宋体"/>
                      <w:b w:val="0"/>
                      <w:bCs w:val="0"/>
                      <w:color w:val="auto"/>
                      <w:szCs w:val="21"/>
                      <w:lang w:val="en-US"/>
                    </w:rPr>
                  </w:pPr>
                  <w:r>
                    <w:rPr>
                      <w:rFonts w:hint="eastAsia" w:ascii="Times New Roman" w:hAnsi="Times New Roman" w:eastAsia="宋体"/>
                      <w:b w:val="0"/>
                      <w:bCs w:val="0"/>
                      <w:color w:val="auto"/>
                      <w:szCs w:val="21"/>
                      <w:lang w:val="en-US" w:eastAsia="zh-CN"/>
                    </w:rPr>
                    <w:t>A4.3能源利用要求</w:t>
                  </w:r>
                </w:p>
              </w:tc>
              <w:tc>
                <w:tcPr>
                  <w:tcW w:w="2987" w:type="dxa"/>
                  <w:tcBorders>
                    <w:tl2br w:val="nil"/>
                    <w:tr2bl w:val="nil"/>
                  </w:tcBorders>
                  <w:noWrap w:val="0"/>
                  <w:vAlign w:val="center"/>
                </w:tcPr>
                <w:p w14:paraId="07FD4349">
                  <w:pPr>
                    <w:keepNext w:val="0"/>
                    <w:keepLines w:val="0"/>
                    <w:pageBreakBefore w:val="0"/>
                    <w:suppressLineNumbers w:val="0"/>
                    <w:kinsoku/>
                    <w:wordWrap/>
                    <w:bidi w:val="0"/>
                    <w:adjustRightInd/>
                    <w:snapToGrid/>
                    <w:spacing w:before="0" w:beforeAutospacing="0" w:after="0" w:afterAutospacing="0"/>
                    <w:ind w:left="0" w:leftChars="0" w:right="0" w:rightChars="0"/>
                    <w:jc w:val="left"/>
                    <w:textAlignment w:val="center"/>
                    <w:rPr>
                      <w:rFonts w:hint="eastAsia" w:ascii="Times New Roman" w:hAnsi="Times New Roman" w:eastAsia="宋体"/>
                      <w:b w:val="0"/>
                      <w:bCs w:val="0"/>
                      <w:color w:val="auto"/>
                      <w:szCs w:val="21"/>
                    </w:rPr>
                  </w:pPr>
                  <w:r>
                    <w:rPr>
                      <w:rFonts w:hint="eastAsia" w:ascii="Times New Roman" w:hAnsi="Times New Roman" w:eastAsia="宋体"/>
                      <w:b w:val="0"/>
                      <w:bCs w:val="0"/>
                      <w:color w:val="auto"/>
                      <w:szCs w:val="21"/>
                    </w:rPr>
                    <w:t>〔A4.3-6〕深入推进碳达峰碳中和行动。推动能源清洁低碳转型加强能耗“双控”管理，优化能源消费结构。新增原料用能不纳入能源消费总量控制。持续推进散煤整治。</w:t>
                  </w:r>
                </w:p>
              </w:tc>
              <w:tc>
                <w:tcPr>
                  <w:tcW w:w="2313" w:type="dxa"/>
                  <w:tcBorders>
                    <w:tl2br w:val="nil"/>
                    <w:tr2bl w:val="nil"/>
                  </w:tcBorders>
                  <w:noWrap w:val="0"/>
                  <w:vAlign w:val="center"/>
                </w:tcPr>
                <w:p w14:paraId="67541EEF">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default"/>
                      <w:b w:val="0"/>
                      <w:bCs w:val="0"/>
                      <w:caps w:val="0"/>
                      <w:color w:val="auto"/>
                      <w:kern w:val="0"/>
                      <w:sz w:val="21"/>
                      <w:szCs w:val="21"/>
                      <w:highlight w:val="none"/>
                      <w:lang w:val="en-US" w:eastAsia="zh-CN"/>
                    </w:rPr>
                  </w:pPr>
                  <w:r>
                    <w:rPr>
                      <w:rFonts w:hint="eastAsia"/>
                      <w:b w:val="0"/>
                      <w:bCs w:val="0"/>
                      <w:caps w:val="0"/>
                      <w:color w:val="auto"/>
                      <w:kern w:val="0"/>
                      <w:sz w:val="21"/>
                      <w:szCs w:val="21"/>
                      <w:highlight w:val="none"/>
                      <w:lang w:val="en-US" w:eastAsia="zh-CN"/>
                    </w:rPr>
                    <w:t>本项目严格落实</w:t>
                  </w:r>
                  <w:r>
                    <w:rPr>
                      <w:rFonts w:hint="eastAsia" w:ascii="Times New Roman" w:hAnsi="Times New Roman" w:eastAsia="宋体"/>
                      <w:b w:val="0"/>
                      <w:bCs w:val="0"/>
                      <w:color w:val="auto"/>
                      <w:szCs w:val="21"/>
                      <w:highlight w:val="none"/>
                    </w:rPr>
                    <w:t>碳达峰碳中和行动</w:t>
                  </w:r>
                  <w:r>
                    <w:rPr>
                      <w:rFonts w:hint="eastAsia" w:ascii="Times New Roman" w:hAnsi="Times New Roman" w:eastAsia="宋体"/>
                      <w:b w:val="0"/>
                      <w:bCs w:val="0"/>
                      <w:color w:val="auto"/>
                      <w:szCs w:val="21"/>
                      <w:highlight w:val="none"/>
                      <w:lang w:eastAsia="zh-CN"/>
                    </w:rPr>
                    <w:t>，</w:t>
                  </w:r>
                  <w:r>
                    <w:rPr>
                      <w:rFonts w:hint="eastAsia" w:ascii="Times New Roman" w:hAnsi="Times New Roman" w:eastAsia="宋体"/>
                      <w:b w:val="0"/>
                      <w:bCs w:val="0"/>
                      <w:color w:val="auto"/>
                      <w:szCs w:val="21"/>
                      <w:highlight w:val="none"/>
                      <w:lang w:val="en-US" w:eastAsia="zh-CN"/>
                    </w:rPr>
                    <w:t>控制能耗，</w:t>
                  </w:r>
                  <w:r>
                    <w:rPr>
                      <w:rFonts w:hint="eastAsia"/>
                      <w:b w:val="0"/>
                      <w:bCs w:val="0"/>
                      <w:caps w:val="0"/>
                      <w:color w:val="auto"/>
                      <w:kern w:val="0"/>
                      <w:sz w:val="21"/>
                      <w:szCs w:val="21"/>
                      <w:highlight w:val="none"/>
                      <w:lang w:val="en-US" w:eastAsia="zh-CN"/>
                    </w:rPr>
                    <w:t>生产不使用燃煤。</w:t>
                  </w:r>
                </w:p>
              </w:tc>
              <w:tc>
                <w:tcPr>
                  <w:tcW w:w="979" w:type="dxa"/>
                  <w:tcBorders>
                    <w:tl2br w:val="nil"/>
                    <w:tr2bl w:val="nil"/>
                  </w:tcBorders>
                  <w:noWrap w:val="0"/>
                  <w:vAlign w:val="center"/>
                </w:tcPr>
                <w:p w14:paraId="32F3130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4C85B2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continue"/>
                  <w:tcBorders>
                    <w:tl2br w:val="nil"/>
                    <w:tr2bl w:val="nil"/>
                  </w:tcBorders>
                  <w:noWrap w:val="0"/>
                  <w:vAlign w:val="center"/>
                </w:tcPr>
                <w:p w14:paraId="797BA91B">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rPr>
                  </w:pPr>
                </w:p>
              </w:tc>
              <w:tc>
                <w:tcPr>
                  <w:tcW w:w="788" w:type="dxa"/>
                  <w:tcBorders>
                    <w:tl2br w:val="nil"/>
                    <w:tr2bl w:val="nil"/>
                  </w:tcBorders>
                  <w:noWrap w:val="0"/>
                  <w:vAlign w:val="center"/>
                </w:tcPr>
                <w:p w14:paraId="54465528">
                  <w:pPr>
                    <w:keepNext w:val="0"/>
                    <w:keepLines w:val="0"/>
                    <w:pageBreakBefore w:val="0"/>
                    <w:suppressLineNumbers w:val="0"/>
                    <w:kinsoku/>
                    <w:wordWrap/>
                    <w:bidi w:val="0"/>
                    <w:adjustRightInd/>
                    <w:snapToGrid/>
                    <w:spacing w:before="0" w:beforeAutospacing="0" w:after="0" w:afterAutospacing="0"/>
                    <w:ind w:left="0" w:right="0"/>
                    <w:jc w:val="center"/>
                    <w:textAlignment w:val="center"/>
                    <w:rPr>
                      <w:rFonts w:hint="default" w:ascii="Times New Roman" w:hAnsi="Times New Roman" w:eastAsia="宋体"/>
                      <w:b w:val="0"/>
                      <w:bCs w:val="0"/>
                      <w:color w:val="auto"/>
                      <w:szCs w:val="21"/>
                    </w:rPr>
                  </w:pPr>
                  <w:r>
                    <w:rPr>
                      <w:rFonts w:hint="eastAsia" w:ascii="Times New Roman" w:hAnsi="Times New Roman" w:eastAsia="宋体"/>
                      <w:b w:val="0"/>
                      <w:bCs w:val="0"/>
                      <w:color w:val="auto"/>
                      <w:szCs w:val="21"/>
                      <w:lang w:val="en-US" w:eastAsia="zh-CN"/>
                    </w:rPr>
                    <w:t>A4.4禁燃区要求</w:t>
                  </w:r>
                </w:p>
              </w:tc>
              <w:tc>
                <w:tcPr>
                  <w:tcW w:w="2987" w:type="dxa"/>
                  <w:tcBorders>
                    <w:tl2br w:val="nil"/>
                    <w:tr2bl w:val="nil"/>
                  </w:tcBorders>
                  <w:noWrap w:val="0"/>
                  <w:vAlign w:val="center"/>
                </w:tcPr>
                <w:p w14:paraId="2DC15A0B">
                  <w:pPr>
                    <w:keepNext w:val="0"/>
                    <w:keepLines w:val="0"/>
                    <w:pageBreakBefore w:val="0"/>
                    <w:suppressLineNumbers w:val="0"/>
                    <w:kinsoku/>
                    <w:wordWrap/>
                    <w:bidi w:val="0"/>
                    <w:adjustRightInd/>
                    <w:snapToGrid/>
                    <w:spacing w:before="0" w:beforeAutospacing="0" w:after="0" w:afterAutospacing="0"/>
                    <w:ind w:left="0" w:right="0"/>
                    <w:jc w:val="left"/>
                    <w:textAlignment w:val="center"/>
                    <w:rPr>
                      <w:rFonts w:hint="eastAsia" w:ascii="Times New Roman" w:hAnsi="Times New Roman" w:eastAsia="宋体"/>
                      <w:b w:val="0"/>
                      <w:bCs w:val="0"/>
                      <w:color w:val="auto"/>
                      <w:szCs w:val="21"/>
                      <w:lang w:eastAsia="zh-CN"/>
                    </w:rPr>
                  </w:pPr>
                  <w:r>
                    <w:rPr>
                      <w:rFonts w:hint="eastAsia" w:ascii="Times New Roman" w:hAnsi="Times New Roman" w:eastAsia="宋体"/>
                      <w:b w:val="0"/>
                      <w:bCs w:val="0"/>
                      <w:color w:val="auto"/>
                      <w:szCs w:val="21"/>
                    </w:rPr>
                    <w:t>〔A4.4-1〕在禁燃区内，禁止销售、燃用高污染燃料</w:t>
                  </w:r>
                  <w:r>
                    <w:rPr>
                      <w:rFonts w:hint="eastAsia" w:ascii="Times New Roman" w:hAnsi="Times New Roman" w:eastAsia="宋体"/>
                      <w:b w:val="0"/>
                      <w:bCs w:val="0"/>
                      <w:color w:val="auto"/>
                      <w:szCs w:val="21"/>
                      <w:lang w:eastAsia="zh-CN"/>
                    </w:rPr>
                    <w:t>；</w:t>
                  </w:r>
                  <w:r>
                    <w:rPr>
                      <w:rFonts w:hint="eastAsia" w:ascii="Times New Roman" w:hAnsi="Times New Roman" w:eastAsia="宋体"/>
                      <w:b w:val="0"/>
                      <w:bCs w:val="0"/>
                      <w:color w:val="auto"/>
                      <w:szCs w:val="21"/>
                    </w:rPr>
                    <w:t>禁止新建、扩建燃用高污染燃料的设施。已建成的，应当在规定期限内改用清洁能源</w:t>
                  </w:r>
                  <w:r>
                    <w:rPr>
                      <w:rFonts w:hint="eastAsia" w:ascii="Times New Roman" w:hAnsi="Times New Roman" w:eastAsia="宋体"/>
                      <w:b w:val="0"/>
                      <w:bCs w:val="0"/>
                      <w:color w:val="auto"/>
                      <w:szCs w:val="21"/>
                      <w:lang w:eastAsia="zh-CN"/>
                    </w:rPr>
                    <w:t>。</w:t>
                  </w:r>
                </w:p>
              </w:tc>
              <w:tc>
                <w:tcPr>
                  <w:tcW w:w="2313" w:type="dxa"/>
                  <w:tcBorders>
                    <w:tl2br w:val="nil"/>
                    <w:tr2bl w:val="nil"/>
                  </w:tcBorders>
                  <w:noWrap w:val="0"/>
                  <w:vAlign w:val="center"/>
                </w:tcPr>
                <w:p w14:paraId="09C4A3B0">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eastAsia" w:eastAsia="宋体"/>
                      <w:b w:val="0"/>
                      <w:bCs w:val="0"/>
                      <w:caps w:val="0"/>
                      <w:color w:val="auto"/>
                      <w:kern w:val="0"/>
                      <w:sz w:val="21"/>
                      <w:szCs w:val="21"/>
                      <w:highlight w:val="yellow"/>
                      <w:lang w:val="en-US" w:eastAsia="zh-CN"/>
                    </w:rPr>
                  </w:pPr>
                  <w:r>
                    <w:rPr>
                      <w:rFonts w:hint="eastAsia"/>
                      <w:b w:val="0"/>
                      <w:bCs w:val="0"/>
                      <w:caps w:val="0"/>
                      <w:color w:val="auto"/>
                      <w:kern w:val="0"/>
                      <w:sz w:val="21"/>
                      <w:szCs w:val="21"/>
                      <w:highlight w:val="none"/>
                      <w:lang w:val="en-US" w:eastAsia="zh-CN"/>
                    </w:rPr>
                    <w:t>本项目不</w:t>
                  </w:r>
                  <w:r>
                    <w:rPr>
                      <w:rFonts w:hint="eastAsia" w:ascii="Times New Roman" w:hAnsi="Times New Roman" w:eastAsia="宋体"/>
                      <w:b w:val="0"/>
                      <w:bCs w:val="0"/>
                      <w:color w:val="auto"/>
                      <w:szCs w:val="21"/>
                      <w:highlight w:val="none"/>
                    </w:rPr>
                    <w:t>销售、</w:t>
                  </w:r>
                  <w:r>
                    <w:rPr>
                      <w:rFonts w:hint="eastAsia" w:ascii="Times New Roman" w:hAnsi="Times New Roman" w:eastAsia="宋体"/>
                      <w:b w:val="0"/>
                      <w:bCs w:val="0"/>
                      <w:color w:val="auto"/>
                      <w:szCs w:val="21"/>
                      <w:highlight w:val="none"/>
                      <w:lang w:val="en-US" w:eastAsia="zh-CN"/>
                    </w:rPr>
                    <w:t>不</w:t>
                  </w:r>
                  <w:r>
                    <w:rPr>
                      <w:rFonts w:hint="eastAsia" w:ascii="Times New Roman" w:hAnsi="Times New Roman" w:eastAsia="宋体"/>
                      <w:b w:val="0"/>
                      <w:bCs w:val="0"/>
                      <w:color w:val="auto"/>
                      <w:szCs w:val="21"/>
                      <w:highlight w:val="none"/>
                    </w:rPr>
                    <w:t>燃用高污染燃料</w:t>
                  </w:r>
                  <w:r>
                    <w:rPr>
                      <w:rFonts w:hint="eastAsia" w:ascii="Times New Roman" w:hAnsi="Times New Roman" w:eastAsia="宋体"/>
                      <w:b w:val="0"/>
                      <w:bCs w:val="0"/>
                      <w:color w:val="auto"/>
                      <w:szCs w:val="21"/>
                      <w:highlight w:val="none"/>
                      <w:lang w:eastAsia="zh-CN"/>
                    </w:rPr>
                    <w:t>；</w:t>
                  </w:r>
                  <w:r>
                    <w:rPr>
                      <w:rFonts w:hint="eastAsia" w:ascii="Times New Roman" w:hAnsi="Times New Roman" w:eastAsia="宋体"/>
                      <w:b w:val="0"/>
                      <w:bCs w:val="0"/>
                      <w:color w:val="auto"/>
                      <w:szCs w:val="21"/>
                      <w:highlight w:val="none"/>
                      <w:lang w:val="en-US" w:eastAsia="zh-CN"/>
                    </w:rPr>
                    <w:t>不使用</w:t>
                  </w:r>
                  <w:r>
                    <w:rPr>
                      <w:rFonts w:hint="eastAsia" w:ascii="Times New Roman" w:hAnsi="Times New Roman" w:eastAsia="宋体"/>
                      <w:b w:val="0"/>
                      <w:bCs w:val="0"/>
                      <w:color w:val="auto"/>
                      <w:szCs w:val="21"/>
                      <w:highlight w:val="none"/>
                    </w:rPr>
                    <w:t>燃用高污染燃料的设施</w:t>
                  </w:r>
                  <w:r>
                    <w:rPr>
                      <w:rFonts w:hint="eastAsia" w:ascii="Times New Roman" w:hAnsi="Times New Roman" w:eastAsia="宋体"/>
                      <w:b w:val="0"/>
                      <w:bCs w:val="0"/>
                      <w:color w:val="auto"/>
                      <w:szCs w:val="21"/>
                      <w:highlight w:val="none"/>
                      <w:lang w:eastAsia="zh-CN"/>
                    </w:rPr>
                    <w:t>。</w:t>
                  </w:r>
                </w:p>
              </w:tc>
              <w:tc>
                <w:tcPr>
                  <w:tcW w:w="979" w:type="dxa"/>
                  <w:tcBorders>
                    <w:tl2br w:val="nil"/>
                    <w:tr2bl w:val="nil"/>
                  </w:tcBorders>
                  <w:noWrap w:val="0"/>
                  <w:vAlign w:val="center"/>
                </w:tcPr>
                <w:p w14:paraId="08733E5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r w14:paraId="3A523C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2" w:type="dxa"/>
                  <w:vMerge w:val="continue"/>
                  <w:tcBorders>
                    <w:tl2br w:val="nil"/>
                    <w:tr2bl w:val="nil"/>
                  </w:tcBorders>
                  <w:noWrap w:val="0"/>
                  <w:vAlign w:val="center"/>
                </w:tcPr>
                <w:p w14:paraId="1943EAFE">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b w:val="0"/>
                      <w:bCs w:val="0"/>
                      <w:caps w:val="0"/>
                      <w:color w:val="auto"/>
                      <w:kern w:val="0"/>
                      <w:sz w:val="21"/>
                      <w:szCs w:val="21"/>
                      <w:highlight w:val="none"/>
                    </w:rPr>
                  </w:pPr>
                </w:p>
              </w:tc>
              <w:tc>
                <w:tcPr>
                  <w:tcW w:w="788" w:type="dxa"/>
                  <w:tcBorders>
                    <w:tl2br w:val="nil"/>
                    <w:tr2bl w:val="nil"/>
                  </w:tcBorders>
                  <w:noWrap w:val="0"/>
                  <w:vAlign w:val="center"/>
                </w:tcPr>
                <w:p w14:paraId="16464FC1">
                  <w:pPr>
                    <w:keepNext w:val="0"/>
                    <w:keepLines w:val="0"/>
                    <w:pageBreakBefore w:val="0"/>
                    <w:suppressLineNumbers w:val="0"/>
                    <w:kinsoku/>
                    <w:wordWrap/>
                    <w:bidi w:val="0"/>
                    <w:adjustRightInd/>
                    <w:snapToGrid/>
                    <w:spacing w:before="0" w:beforeAutospacing="0" w:after="0" w:afterAutospacing="0"/>
                    <w:ind w:left="0" w:right="0"/>
                    <w:jc w:val="center"/>
                    <w:textAlignment w:val="center"/>
                    <w:rPr>
                      <w:rFonts w:hint="default" w:ascii="Times New Roman" w:hAnsi="Times New Roman" w:eastAsia="宋体"/>
                      <w:b w:val="0"/>
                      <w:bCs w:val="0"/>
                      <w:color w:val="auto"/>
                      <w:szCs w:val="21"/>
                    </w:rPr>
                  </w:pPr>
                  <w:r>
                    <w:rPr>
                      <w:rFonts w:hint="eastAsia" w:ascii="Times New Roman" w:hAnsi="Times New Roman" w:eastAsia="宋体"/>
                      <w:b w:val="0"/>
                      <w:bCs w:val="0"/>
                      <w:color w:val="auto"/>
                      <w:szCs w:val="21"/>
                      <w:lang w:val="en-US" w:eastAsia="zh-CN"/>
                    </w:rPr>
                    <w:t>A</w:t>
                  </w:r>
                  <w:r>
                    <w:rPr>
                      <w:rFonts w:hint="eastAsia"/>
                      <w:b w:val="0"/>
                      <w:bCs w:val="0"/>
                      <w:color w:val="auto"/>
                      <w:szCs w:val="21"/>
                      <w:lang w:val="en-US" w:eastAsia="zh-CN"/>
                    </w:rPr>
                    <w:t>4.5</w:t>
                  </w:r>
                  <w:r>
                    <w:rPr>
                      <w:rFonts w:hint="eastAsia" w:ascii="Times New Roman" w:hAnsi="Times New Roman" w:eastAsia="宋体"/>
                      <w:b w:val="0"/>
                      <w:bCs w:val="0"/>
                      <w:color w:val="auto"/>
                      <w:szCs w:val="21"/>
                      <w:lang w:val="en-US" w:eastAsia="zh-CN"/>
                    </w:rPr>
                    <w:t>资源综合利用要求</w:t>
                  </w:r>
                </w:p>
              </w:tc>
              <w:tc>
                <w:tcPr>
                  <w:tcW w:w="2987" w:type="dxa"/>
                  <w:tcBorders>
                    <w:tl2br w:val="nil"/>
                    <w:tr2bl w:val="nil"/>
                  </w:tcBorders>
                  <w:noWrap w:val="0"/>
                  <w:vAlign w:val="center"/>
                </w:tcPr>
                <w:p w14:paraId="1D8D4107">
                  <w:pPr>
                    <w:keepNext w:val="0"/>
                    <w:keepLines w:val="0"/>
                    <w:pageBreakBefore w:val="0"/>
                    <w:suppressLineNumbers w:val="0"/>
                    <w:kinsoku/>
                    <w:wordWrap/>
                    <w:bidi w:val="0"/>
                    <w:adjustRightInd/>
                    <w:snapToGrid/>
                    <w:spacing w:before="0" w:beforeAutospacing="0" w:after="0" w:afterAutospacing="0"/>
                    <w:ind w:left="0" w:right="0"/>
                    <w:jc w:val="left"/>
                    <w:textAlignment w:val="center"/>
                    <w:rPr>
                      <w:rFonts w:hint="eastAsia" w:ascii="Times New Roman" w:hAnsi="Times New Roman" w:eastAsia="宋体"/>
                      <w:b w:val="0"/>
                      <w:bCs w:val="0"/>
                      <w:color w:val="auto"/>
                      <w:szCs w:val="21"/>
                      <w:highlight w:val="none"/>
                    </w:rPr>
                  </w:pPr>
                  <w:r>
                    <w:rPr>
                      <w:rFonts w:hint="eastAsia" w:ascii="Times New Roman" w:hAnsi="Times New Roman" w:eastAsia="宋体"/>
                      <w:b w:val="0"/>
                      <w:bCs w:val="0"/>
                      <w:color w:val="auto"/>
                      <w:szCs w:val="21"/>
                      <w:highlight w:val="none"/>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模式。以尾矿和共伴生矿、煤矸石、炉渣、粉煤灰、脱硫石膏、冶炼渣、建筑垃圾等为重点，持续推进固体废物综合利用和环境整治不断提高大宗固体废物资源化利用水平。推行生活垃圾分类，加快建设县</w:t>
                  </w:r>
                  <w:r>
                    <w:rPr>
                      <w:rFonts w:hint="eastAsia" w:ascii="Times New Roman" w:hAnsi="Times New Roman" w:eastAsia="宋体"/>
                      <w:b w:val="0"/>
                      <w:bCs w:val="0"/>
                      <w:color w:val="auto"/>
                      <w:szCs w:val="21"/>
                      <w:highlight w:val="none"/>
                      <w:lang w:eastAsia="zh-CN"/>
                    </w:rPr>
                    <w:t>（</w:t>
                  </w:r>
                  <w:r>
                    <w:rPr>
                      <w:rFonts w:hint="eastAsia" w:ascii="Times New Roman" w:hAnsi="Times New Roman" w:eastAsia="宋体"/>
                      <w:b w:val="0"/>
                      <w:bCs w:val="0"/>
                      <w:color w:val="auto"/>
                      <w:szCs w:val="21"/>
                      <w:highlight w:val="none"/>
                    </w:rPr>
                    <w:t>市</w:t>
                  </w:r>
                  <w:r>
                    <w:rPr>
                      <w:rFonts w:hint="eastAsia" w:ascii="Times New Roman" w:hAnsi="Times New Roman" w:eastAsia="宋体"/>
                      <w:b w:val="0"/>
                      <w:bCs w:val="0"/>
                      <w:color w:val="auto"/>
                      <w:szCs w:val="21"/>
                      <w:highlight w:val="none"/>
                      <w:lang w:eastAsia="zh-CN"/>
                    </w:rPr>
                    <w:t>）</w:t>
                  </w:r>
                  <w:r>
                    <w:rPr>
                      <w:rFonts w:hint="eastAsia" w:ascii="Times New Roman" w:hAnsi="Times New Roman" w:eastAsia="宋体"/>
                      <w:b w:val="0"/>
                      <w:bCs w:val="0"/>
                      <w:color w:val="auto"/>
                      <w:szCs w:val="21"/>
                      <w:highlight w:val="none"/>
                    </w:rPr>
                    <w:t>生活垃圾处理设施，到2025年，全</w:t>
                  </w:r>
                  <w:r>
                    <w:rPr>
                      <w:rFonts w:hint="eastAsia"/>
                      <w:b w:val="0"/>
                      <w:bCs w:val="0"/>
                      <w:color w:val="auto"/>
                      <w:szCs w:val="21"/>
                      <w:highlight w:val="none"/>
                      <w:lang w:val="en-US" w:eastAsia="zh-CN"/>
                    </w:rPr>
                    <w:t>疆</w:t>
                  </w:r>
                  <w:r>
                    <w:rPr>
                      <w:rFonts w:hint="eastAsia" w:ascii="Times New Roman" w:hAnsi="Times New Roman" w:eastAsia="宋体"/>
                      <w:b w:val="0"/>
                      <w:bCs w:val="0"/>
                      <w:color w:val="auto"/>
                      <w:szCs w:val="21"/>
                      <w:highlight w:val="none"/>
                    </w:rPr>
                    <w:t>城市生活垃圾无害化处理率达到99%以上。</w:t>
                  </w:r>
                </w:p>
              </w:tc>
              <w:tc>
                <w:tcPr>
                  <w:tcW w:w="2313" w:type="dxa"/>
                  <w:tcBorders>
                    <w:tl2br w:val="nil"/>
                    <w:tr2bl w:val="nil"/>
                  </w:tcBorders>
                  <w:noWrap w:val="0"/>
                  <w:vAlign w:val="center"/>
                </w:tcPr>
                <w:p w14:paraId="1ED5D407">
                  <w:pPr>
                    <w:keepNext w:val="0"/>
                    <w:keepLines w:val="0"/>
                    <w:pageBreakBefore w:val="0"/>
                    <w:suppressLineNumbers w:val="0"/>
                    <w:kinsoku/>
                    <w:wordWrap/>
                    <w:topLinePunct/>
                    <w:bidi w:val="0"/>
                    <w:adjustRightInd/>
                    <w:snapToGrid/>
                    <w:spacing w:before="0" w:beforeAutospacing="0" w:after="0" w:afterAutospacing="0"/>
                    <w:ind w:left="0" w:leftChars="0" w:right="0" w:rightChars="0"/>
                    <w:jc w:val="left"/>
                    <w:rPr>
                      <w:rFonts w:hint="eastAsia"/>
                      <w:b w:val="0"/>
                      <w:bCs w:val="0"/>
                      <w:caps w:val="0"/>
                      <w:color w:val="auto"/>
                      <w:kern w:val="0"/>
                      <w:sz w:val="21"/>
                      <w:szCs w:val="21"/>
                      <w:highlight w:val="none"/>
                      <w:lang w:val="en-US" w:eastAsia="zh-CN"/>
                    </w:rPr>
                  </w:pPr>
                  <w:r>
                    <w:rPr>
                      <w:rFonts w:hint="eastAsia"/>
                      <w:b w:val="0"/>
                      <w:bCs w:val="0"/>
                      <w:caps w:val="0"/>
                      <w:color w:val="auto"/>
                      <w:sz w:val="21"/>
                      <w:szCs w:val="21"/>
                      <w:highlight w:val="none"/>
                      <w:lang w:val="en-US" w:eastAsia="zh-CN"/>
                    </w:rPr>
                    <w:t>本项目</w:t>
                  </w:r>
                  <w:r>
                    <w:rPr>
                      <w:rFonts w:hint="eastAsia" w:cs="Times New Roman"/>
                      <w:color w:val="auto"/>
                      <w:kern w:val="0"/>
                      <w:sz w:val="21"/>
                      <w:szCs w:val="21"/>
                      <w:highlight w:val="none"/>
                      <w:lang w:val="en-US" w:eastAsia="zh-CN"/>
                    </w:rPr>
                    <w:t>剥离工程剥离土方不外排，剥离台阶土方直接向低处甩方自然堆弃，不设置排土场；</w:t>
                  </w:r>
                  <w:r>
                    <w:rPr>
                      <w:rFonts w:hint="eastAsia" w:ascii="Times New Roman" w:hAnsi="Times New Roman" w:eastAsia="宋体" w:cs="Times New Roman"/>
                      <w:color w:val="auto"/>
                      <w:sz w:val="21"/>
                      <w:szCs w:val="21"/>
                      <w:highlight w:val="none"/>
                      <w:lang w:val="en-US" w:eastAsia="zh-CN" w:bidi="ar"/>
                    </w:rPr>
                    <w:t>土石方堆放限制在火区治理范围内</w:t>
                  </w:r>
                  <w:r>
                    <w:rPr>
                      <w:rFonts w:hint="eastAsia" w:cs="Times New Roman"/>
                      <w:color w:val="auto"/>
                      <w:sz w:val="21"/>
                      <w:szCs w:val="21"/>
                      <w:highlight w:val="none"/>
                      <w:lang w:val="en-US" w:eastAsia="zh-CN" w:bidi="ar"/>
                    </w:rPr>
                    <w:t>，</w:t>
                  </w:r>
                  <w:r>
                    <w:rPr>
                      <w:rFonts w:hint="default"/>
                      <w:spacing w:val="-1"/>
                      <w:sz w:val="21"/>
                      <w:szCs w:val="21"/>
                      <w:highlight w:val="none"/>
                    </w:rPr>
                    <w:t>治理结束后可进行边坡防护、场地平整，再进行生态恢复</w:t>
                  </w:r>
                  <w:r>
                    <w:rPr>
                      <w:rFonts w:hint="eastAsia"/>
                      <w:spacing w:val="-1"/>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生活垃圾统一定点收集，委托环卫部门拉运至当地生活垃圾填埋场处理。</w:t>
                  </w:r>
                </w:p>
              </w:tc>
              <w:tc>
                <w:tcPr>
                  <w:tcW w:w="979" w:type="dxa"/>
                  <w:tcBorders>
                    <w:tl2br w:val="nil"/>
                    <w:tr2bl w:val="nil"/>
                  </w:tcBorders>
                  <w:noWrap w:val="0"/>
                  <w:vAlign w:val="center"/>
                </w:tcPr>
                <w:p w14:paraId="0788AAB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b w:val="0"/>
                      <w:bCs w:val="0"/>
                      <w:caps w:val="0"/>
                      <w:color w:val="auto"/>
                      <w:spacing w:val="4"/>
                      <w:sz w:val="21"/>
                      <w:szCs w:val="21"/>
                      <w:highlight w:val="none"/>
                      <w:vertAlign w:val="baseline"/>
                    </w:rPr>
                  </w:pPr>
                  <w:r>
                    <w:rPr>
                      <w:rFonts w:hint="eastAsia" w:ascii="Times New Roman" w:hAnsi="Times New Roman" w:eastAsia="宋体"/>
                      <w:b w:val="0"/>
                      <w:bCs w:val="0"/>
                      <w:caps w:val="0"/>
                      <w:color w:val="auto"/>
                      <w:spacing w:val="4"/>
                      <w:sz w:val="21"/>
                      <w:szCs w:val="21"/>
                      <w:highlight w:val="none"/>
                      <w:vertAlign w:val="baseline"/>
                      <w:lang w:val="en-US" w:eastAsia="zh-CN"/>
                    </w:rPr>
                    <w:t>符合</w:t>
                  </w:r>
                </w:p>
              </w:tc>
            </w:tr>
          </w:tbl>
          <w:p w14:paraId="31640FE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b w:val="0"/>
                <w:bCs w:val="0"/>
                <w:color w:val="auto"/>
                <w:kern w:val="0"/>
                <w:sz w:val="24"/>
                <w:szCs w:val="24"/>
                <w:highlight w:val="none"/>
              </w:rPr>
            </w:pPr>
            <w:r>
              <w:rPr>
                <w:rFonts w:hint="eastAsia"/>
                <w:b w:val="0"/>
                <w:bCs w:val="0"/>
                <w:color w:val="auto"/>
                <w:kern w:val="0"/>
                <w:sz w:val="24"/>
                <w:lang w:eastAsia="zh-CN"/>
              </w:rPr>
              <w:t>（</w:t>
            </w:r>
            <w:r>
              <w:rPr>
                <w:rFonts w:hint="eastAsia"/>
                <w:b w:val="0"/>
                <w:bCs w:val="0"/>
                <w:color w:val="auto"/>
                <w:kern w:val="0"/>
                <w:sz w:val="24"/>
                <w:lang w:val="en-US" w:eastAsia="zh-CN"/>
              </w:rPr>
              <w:t>2</w:t>
            </w:r>
            <w:r>
              <w:rPr>
                <w:rFonts w:hint="eastAsia"/>
                <w:b w:val="0"/>
                <w:bCs w:val="0"/>
                <w:color w:val="auto"/>
                <w:kern w:val="0"/>
                <w:sz w:val="24"/>
                <w:lang w:eastAsia="zh-CN"/>
              </w:rPr>
              <w:t>）</w:t>
            </w:r>
            <w:r>
              <w:rPr>
                <w:rFonts w:hint="default" w:ascii="Times New Roman" w:hAnsi="Times New Roman" w:cs="Times New Roman"/>
                <w:b w:val="0"/>
                <w:bCs w:val="0"/>
                <w:color w:val="auto"/>
                <w:sz w:val="24"/>
                <w:szCs w:val="24"/>
                <w:highlight w:val="none"/>
                <w:lang w:val="en-US" w:eastAsia="zh-CN"/>
              </w:rPr>
              <w:t>与新疆维吾尔自治区</w:t>
            </w:r>
            <w:r>
              <w:rPr>
                <w:rFonts w:hint="eastAsia" w:ascii="Times New Roman" w:hAnsi="Times New Roman" w:cs="Times New Roman"/>
                <w:b w:val="0"/>
                <w:bCs w:val="0"/>
                <w:color w:val="auto"/>
                <w:sz w:val="24"/>
                <w:szCs w:val="24"/>
                <w:highlight w:val="none"/>
                <w:lang w:val="en-US" w:eastAsia="zh-CN"/>
              </w:rPr>
              <w:t>七大片区</w:t>
            </w:r>
            <w:r>
              <w:rPr>
                <w:rFonts w:hint="eastAsia" w:ascii="Times New Roman" w:hAnsi="Times New Roman" w:eastAsia="宋体" w:cs="Times New Roman"/>
                <w:b w:val="0"/>
                <w:bCs w:val="0"/>
                <w:color w:val="auto"/>
                <w:sz w:val="24"/>
                <w:szCs w:val="24"/>
                <w:highlight w:val="none"/>
                <w:lang w:val="en-US" w:eastAsia="zh-CN"/>
              </w:rPr>
              <w:t>生态环境分区管控要求</w:t>
            </w:r>
            <w:r>
              <w:rPr>
                <w:rFonts w:hint="default" w:ascii="Times New Roman" w:hAnsi="Times New Roman" w:cs="Times New Roman"/>
                <w:b w:val="0"/>
                <w:bCs w:val="0"/>
                <w:color w:val="auto"/>
                <w:kern w:val="0"/>
                <w:sz w:val="24"/>
                <w:szCs w:val="24"/>
                <w:highlight w:val="none"/>
              </w:rPr>
              <w:t>符合性分析</w:t>
            </w:r>
          </w:p>
          <w:p w14:paraId="64D188AA">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cs="Times New Roman"/>
                <w:b w:val="0"/>
                <w:bCs w:val="0"/>
                <w:color w:val="auto"/>
                <w:sz w:val="24"/>
                <w:szCs w:val="24"/>
                <w:lang w:val="en-US" w:eastAsia="zh-CN"/>
              </w:rPr>
              <w:t>本项目与《</w:t>
            </w:r>
            <w:r>
              <w:rPr>
                <w:rFonts w:hint="default" w:ascii="Times New Roman" w:hAnsi="Times New Roman" w:cs="Times New Roman"/>
                <w:b w:val="0"/>
                <w:bCs w:val="0"/>
                <w:color w:val="auto"/>
                <w:sz w:val="24"/>
                <w:szCs w:val="24"/>
                <w:highlight w:val="none"/>
                <w:lang w:val="en-US" w:eastAsia="zh-CN"/>
              </w:rPr>
              <w:t>新疆维吾尔自治区</w:t>
            </w:r>
            <w:r>
              <w:rPr>
                <w:rFonts w:hint="eastAsia" w:ascii="Times New Roman" w:hAnsi="Times New Roman" w:cs="Times New Roman"/>
                <w:b w:val="0"/>
                <w:bCs w:val="0"/>
                <w:color w:val="auto"/>
                <w:sz w:val="24"/>
                <w:szCs w:val="24"/>
                <w:highlight w:val="none"/>
                <w:lang w:val="en-US" w:eastAsia="zh-CN"/>
              </w:rPr>
              <w:t>七大片区</w:t>
            </w:r>
            <w:r>
              <w:rPr>
                <w:rFonts w:hint="default" w:ascii="Times New Roman" w:hAnsi="Times New Roman" w:eastAsia="宋体" w:cs="Times New Roman"/>
                <w:b w:val="0"/>
                <w:bCs w:val="0"/>
                <w:color w:val="auto"/>
                <w:sz w:val="24"/>
                <w:szCs w:val="24"/>
                <w:lang w:val="en-US" w:eastAsia="zh-CN"/>
              </w:rPr>
              <w:t>“三线一单”生态环境分区管控方案</w:t>
            </w:r>
            <w:r>
              <w:rPr>
                <w:rFonts w:hint="default" w:ascii="Times New Roman" w:hAnsi="Times New Roman" w:cs="Times New Roman"/>
                <w:b w:val="0"/>
                <w:bCs w:val="0"/>
                <w:color w:val="auto"/>
                <w:sz w:val="24"/>
                <w:szCs w:val="24"/>
                <w:lang w:val="en-US" w:eastAsia="zh-CN"/>
              </w:rPr>
              <w:t>》</w:t>
            </w:r>
            <w:r>
              <w:rPr>
                <w:rFonts w:hint="eastAsia"/>
                <w:b w:val="0"/>
                <w:bCs w:val="0"/>
                <w:color w:val="auto"/>
                <w:kern w:val="0"/>
                <w:sz w:val="24"/>
              </w:rPr>
              <w:t>（新环环评发〔2021〕162号）</w:t>
            </w:r>
            <w:r>
              <w:rPr>
                <w:rFonts w:hint="default" w:ascii="Times New Roman" w:hAnsi="Times New Roman" w:cs="Times New Roman"/>
                <w:b w:val="0"/>
                <w:bCs w:val="0"/>
                <w:color w:val="auto"/>
                <w:sz w:val="24"/>
                <w:szCs w:val="24"/>
                <w:lang w:val="en-US" w:eastAsia="zh-CN"/>
              </w:rPr>
              <w:t>符合性分析见表1-</w:t>
            </w:r>
            <w:r>
              <w:rPr>
                <w:rFonts w:hint="eastAsia"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w:t>
            </w:r>
          </w:p>
          <w:p w14:paraId="7DBA2888">
            <w:pPr>
              <w:keepNext w:val="0"/>
              <w:keepLines w:val="0"/>
              <w:pageBreakBefore w:val="0"/>
              <w:suppressLineNumbers w:val="0"/>
              <w:tabs>
                <w:tab w:val="left" w:pos="2940"/>
                <w:tab w:val="center" w:pos="4630"/>
              </w:tabs>
              <w:kinsoku/>
              <w:wordWrap/>
              <w:autoSpaceDE w:val="0"/>
              <w:autoSpaceDN w:val="0"/>
              <w:bidi w:val="0"/>
              <w:adjustRightInd/>
              <w:snapToGrid/>
              <w:spacing w:before="0" w:beforeAutospacing="0" w:after="0" w:afterAutospacing="0"/>
              <w:ind w:left="0" w:right="0"/>
              <w:jc w:val="center"/>
              <w:rPr>
                <w:rFonts w:hint="eastAsia" w:ascii="Times New Roman" w:hAnsi="Times New Roman" w:eastAsia="宋体" w:cs="Times New Roman"/>
                <w:b/>
                <w:bCs/>
                <w:caps w:val="0"/>
                <w:color w:val="auto"/>
                <w:kern w:val="0"/>
                <w:szCs w:val="21"/>
                <w:highlight w:val="none"/>
                <w:lang w:val="en-US" w:eastAsia="zh-CN"/>
              </w:rPr>
            </w:pPr>
            <w:r>
              <w:rPr>
                <w:rFonts w:hint="default" w:ascii="Times New Roman" w:hAnsi="Times New Roman" w:eastAsia="宋体" w:cs="Times New Roman"/>
                <w:b/>
                <w:bCs/>
                <w:caps w:val="0"/>
                <w:color w:val="auto"/>
                <w:kern w:val="0"/>
                <w:szCs w:val="21"/>
                <w:highlight w:val="none"/>
              </w:rPr>
              <w:t>表</w:t>
            </w:r>
            <w:r>
              <w:rPr>
                <w:rFonts w:hint="eastAsia" w:ascii="Times New Roman" w:hAnsi="Times New Roman" w:eastAsia="宋体" w:cs="Times New Roman"/>
                <w:b/>
                <w:bCs/>
                <w:caps w:val="0"/>
                <w:color w:val="auto"/>
                <w:kern w:val="0"/>
                <w:szCs w:val="21"/>
                <w:highlight w:val="none"/>
              </w:rPr>
              <w:t>1-</w:t>
            </w:r>
            <w:r>
              <w:rPr>
                <w:rFonts w:hint="eastAsia" w:cs="Times New Roman"/>
                <w:b/>
                <w:bCs/>
                <w:caps w:val="0"/>
                <w:color w:val="auto"/>
                <w:kern w:val="0"/>
                <w:szCs w:val="21"/>
                <w:highlight w:val="none"/>
                <w:lang w:val="en-US" w:eastAsia="zh-CN"/>
              </w:rPr>
              <w:t>2</w:t>
            </w:r>
            <w:r>
              <w:rPr>
                <w:rFonts w:hint="eastAsia" w:ascii="Times New Roman" w:hAnsi="Times New Roman" w:eastAsia="宋体" w:cs="Times New Roman"/>
                <w:b/>
                <w:bCs/>
                <w:caps w:val="0"/>
                <w:color w:val="auto"/>
                <w:kern w:val="0"/>
                <w:szCs w:val="21"/>
                <w:highlight w:val="none"/>
                <w:lang w:val="en-US" w:eastAsia="zh-CN"/>
              </w:rPr>
              <w:t xml:space="preserve">   </w:t>
            </w:r>
            <w:r>
              <w:rPr>
                <w:rFonts w:hint="eastAsia" w:ascii="Times New Roman" w:hAnsi="Times New Roman" w:eastAsia="宋体" w:cs="Times New Roman"/>
                <w:b/>
                <w:bCs/>
                <w:caps w:val="0"/>
                <w:color w:val="auto"/>
                <w:kern w:val="0"/>
                <w:szCs w:val="21"/>
                <w:highlight w:val="none"/>
              </w:rPr>
              <w:t>与《</w:t>
            </w:r>
            <w:r>
              <w:rPr>
                <w:rFonts w:hint="default" w:ascii="Times New Roman" w:hAnsi="Times New Roman" w:eastAsia="宋体" w:cs="Times New Roman"/>
                <w:b/>
                <w:bCs/>
                <w:caps w:val="0"/>
                <w:color w:val="auto"/>
                <w:kern w:val="0"/>
                <w:szCs w:val="21"/>
                <w:highlight w:val="none"/>
                <w:lang w:val="en-US" w:eastAsia="zh-CN"/>
              </w:rPr>
              <w:t>新疆维吾尔自治区</w:t>
            </w:r>
            <w:r>
              <w:rPr>
                <w:rFonts w:hint="eastAsia" w:ascii="Times New Roman" w:hAnsi="Times New Roman" w:eastAsia="宋体" w:cs="Times New Roman"/>
                <w:b/>
                <w:bCs/>
                <w:caps w:val="0"/>
                <w:color w:val="auto"/>
                <w:kern w:val="0"/>
                <w:szCs w:val="21"/>
                <w:highlight w:val="none"/>
                <w:lang w:val="en-US" w:eastAsia="zh-CN"/>
              </w:rPr>
              <w:t>七大片区</w:t>
            </w:r>
            <w:r>
              <w:rPr>
                <w:rFonts w:hint="eastAsia" w:ascii="Times New Roman" w:hAnsi="Times New Roman" w:eastAsia="宋体" w:cs="Times New Roman"/>
                <w:b/>
                <w:bCs/>
                <w:caps w:val="0"/>
                <w:color w:val="auto"/>
                <w:kern w:val="0"/>
                <w:szCs w:val="21"/>
                <w:highlight w:val="none"/>
                <w:lang w:eastAsia="zh-CN"/>
              </w:rPr>
              <w:t>“</w:t>
            </w:r>
            <w:r>
              <w:rPr>
                <w:rFonts w:hint="default" w:ascii="Times New Roman" w:hAnsi="Times New Roman" w:eastAsia="宋体" w:cs="Times New Roman"/>
                <w:b/>
                <w:bCs/>
                <w:caps w:val="0"/>
                <w:color w:val="auto"/>
                <w:kern w:val="0"/>
                <w:szCs w:val="21"/>
                <w:highlight w:val="none"/>
                <w:lang w:eastAsia="zh-CN"/>
              </w:rPr>
              <w:t>三线一单</w:t>
            </w:r>
            <w:r>
              <w:rPr>
                <w:rFonts w:hint="eastAsia" w:ascii="Times New Roman" w:hAnsi="Times New Roman" w:eastAsia="宋体" w:cs="Times New Roman"/>
                <w:b/>
                <w:bCs/>
                <w:caps w:val="0"/>
                <w:color w:val="auto"/>
                <w:kern w:val="0"/>
                <w:szCs w:val="21"/>
                <w:highlight w:val="none"/>
                <w:lang w:eastAsia="zh-CN"/>
              </w:rPr>
              <w:t>”</w:t>
            </w:r>
            <w:r>
              <w:rPr>
                <w:rFonts w:hint="eastAsia" w:ascii="Times New Roman" w:hAnsi="Times New Roman" w:eastAsia="宋体" w:cs="Times New Roman"/>
                <w:b/>
                <w:bCs/>
                <w:caps w:val="0"/>
                <w:color w:val="auto"/>
                <w:kern w:val="0"/>
                <w:szCs w:val="21"/>
                <w:highlight w:val="none"/>
                <w:lang w:val="en-US" w:eastAsia="zh-CN"/>
              </w:rPr>
              <w:t>生态环境分区管控要求</w:t>
            </w:r>
            <w:r>
              <w:rPr>
                <w:rFonts w:hint="eastAsia" w:ascii="Times New Roman" w:hAnsi="Times New Roman" w:eastAsia="宋体" w:cs="Times New Roman"/>
                <w:b/>
                <w:bCs/>
                <w:caps w:val="0"/>
                <w:color w:val="auto"/>
                <w:kern w:val="0"/>
                <w:szCs w:val="21"/>
                <w:highlight w:val="none"/>
              </w:rPr>
              <w:t>》</w:t>
            </w:r>
            <w:r>
              <w:rPr>
                <w:rFonts w:hint="eastAsia" w:cs="Times New Roman"/>
                <w:b/>
                <w:bCs/>
                <w:caps w:val="0"/>
                <w:color w:val="auto"/>
                <w:kern w:val="0"/>
                <w:szCs w:val="21"/>
                <w:highlight w:val="none"/>
                <w:lang w:val="en-US" w:eastAsia="zh-CN"/>
              </w:rPr>
              <w:t>中</w:t>
            </w:r>
          </w:p>
          <w:p w14:paraId="5E7E8DE9">
            <w:pPr>
              <w:keepNext w:val="0"/>
              <w:keepLines w:val="0"/>
              <w:pageBreakBefore w:val="0"/>
              <w:suppressLineNumbers w:val="0"/>
              <w:tabs>
                <w:tab w:val="left" w:pos="2940"/>
                <w:tab w:val="center" w:pos="4630"/>
              </w:tabs>
              <w:kinsoku/>
              <w:wordWrap/>
              <w:autoSpaceDE w:val="0"/>
              <w:autoSpaceDN w:val="0"/>
              <w:bidi w:val="0"/>
              <w:adjustRightInd/>
              <w:snapToGrid/>
              <w:spacing w:before="0" w:beforeAutospacing="0" w:after="0" w:afterAutospacing="0"/>
              <w:ind w:left="0" w:right="0"/>
              <w:jc w:val="center"/>
              <w:rPr>
                <w:rFonts w:hint="default" w:ascii="Times New Roman" w:hAnsi="Times New Roman" w:eastAsia="宋体"/>
                <w:b/>
                <w:bCs/>
                <w:caps w:val="0"/>
                <w:color w:val="auto"/>
                <w:szCs w:val="21"/>
                <w:highlight w:val="none"/>
              </w:rPr>
            </w:pPr>
            <w:r>
              <w:rPr>
                <w:rFonts w:hint="eastAsia" w:cs="Times New Roman"/>
                <w:b/>
                <w:bCs/>
                <w:caps w:val="0"/>
                <w:color w:val="auto"/>
                <w:kern w:val="0"/>
                <w:szCs w:val="21"/>
                <w:highlight w:val="none"/>
                <w:lang w:val="en-US" w:eastAsia="zh-CN"/>
              </w:rPr>
              <w:t>相关要求</w:t>
            </w:r>
            <w:r>
              <w:rPr>
                <w:rFonts w:hint="default" w:ascii="Times New Roman" w:hAnsi="Times New Roman" w:eastAsia="宋体"/>
                <w:b/>
                <w:bCs/>
                <w:caps w:val="0"/>
                <w:color w:val="auto"/>
                <w:kern w:val="0"/>
                <w:szCs w:val="21"/>
                <w:highlight w:val="none"/>
              </w:rPr>
              <w:t>符合</w:t>
            </w:r>
            <w:r>
              <w:rPr>
                <w:rFonts w:hint="default" w:ascii="Times New Roman" w:hAnsi="Times New Roman" w:eastAsia="宋体"/>
                <w:b/>
                <w:bCs/>
                <w:caps w:val="0"/>
                <w:color w:val="auto"/>
                <w:szCs w:val="21"/>
                <w:highlight w:val="none"/>
              </w:rPr>
              <w:t>性分析一览表</w:t>
            </w:r>
          </w:p>
          <w:tbl>
            <w:tblPr>
              <w:tblStyle w:val="26"/>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57" w:type="dxa"/>
                <w:left w:w="57" w:type="dxa"/>
                <w:bottom w:w="57" w:type="dxa"/>
                <w:right w:w="57" w:type="dxa"/>
              </w:tblCellMar>
            </w:tblPr>
            <w:tblGrid>
              <w:gridCol w:w="1326"/>
              <w:gridCol w:w="3342"/>
              <w:gridCol w:w="2250"/>
              <w:gridCol w:w="980"/>
            </w:tblGrid>
            <w:tr w14:paraId="655A02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2955" w:type="pct"/>
                  <w:gridSpan w:val="2"/>
                  <w:tcBorders>
                    <w:tl2br w:val="nil"/>
                    <w:tr2bl w:val="nil"/>
                  </w:tcBorders>
                  <w:noWrap w:val="0"/>
                  <w:vAlign w:val="center"/>
                </w:tcPr>
                <w:p w14:paraId="2B1D8B18">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rPr>
                    <w:t>管控</w:t>
                  </w:r>
                  <w:r>
                    <w:rPr>
                      <w:rFonts w:hint="eastAsia"/>
                      <w:b w:val="0"/>
                      <w:bCs w:val="0"/>
                      <w:caps w:val="0"/>
                      <w:color w:val="auto"/>
                      <w:sz w:val="21"/>
                      <w:szCs w:val="21"/>
                      <w:highlight w:val="none"/>
                      <w:lang w:val="en-US" w:eastAsia="zh-CN"/>
                    </w:rPr>
                    <w:t>相关</w:t>
                  </w:r>
                  <w:r>
                    <w:rPr>
                      <w:rFonts w:hint="default" w:ascii="Times New Roman" w:hAnsi="Times New Roman" w:eastAsia="宋体"/>
                      <w:b w:val="0"/>
                      <w:bCs w:val="0"/>
                      <w:caps w:val="0"/>
                      <w:color w:val="auto"/>
                      <w:sz w:val="21"/>
                      <w:szCs w:val="21"/>
                      <w:highlight w:val="none"/>
                    </w:rPr>
                    <w:t>要求</w:t>
                  </w:r>
                </w:p>
              </w:tc>
              <w:tc>
                <w:tcPr>
                  <w:tcW w:w="1424" w:type="pct"/>
                  <w:tcBorders>
                    <w:tl2br w:val="nil"/>
                    <w:tr2bl w:val="nil"/>
                  </w:tcBorders>
                  <w:noWrap w:val="0"/>
                  <w:vAlign w:val="center"/>
                </w:tcPr>
                <w:p w14:paraId="5DF28EBD">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rPr>
                    <w:t>项目情况</w:t>
                  </w:r>
                </w:p>
              </w:tc>
              <w:tc>
                <w:tcPr>
                  <w:tcW w:w="620" w:type="pct"/>
                  <w:tcBorders>
                    <w:tl2br w:val="nil"/>
                    <w:tr2bl w:val="nil"/>
                  </w:tcBorders>
                  <w:noWrap w:val="0"/>
                  <w:vAlign w:val="center"/>
                </w:tcPr>
                <w:p w14:paraId="5E46D59A">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rPr>
                    <w:t>符合性</w:t>
                  </w:r>
                </w:p>
              </w:tc>
            </w:tr>
            <w:tr w14:paraId="2C868C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839" w:type="pct"/>
                  <w:vMerge w:val="restart"/>
                  <w:tcBorders>
                    <w:tl2br w:val="nil"/>
                    <w:tr2bl w:val="nil"/>
                  </w:tcBorders>
                  <w:noWrap w:val="0"/>
                  <w:vAlign w:val="center"/>
                </w:tcPr>
                <w:p w14:paraId="56336A7C">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乌昌石片区（包括乌鲁木齐市、昌吉回族自治州和沙湾市）</w:t>
                  </w:r>
                </w:p>
              </w:tc>
              <w:tc>
                <w:tcPr>
                  <w:tcW w:w="2115" w:type="pct"/>
                  <w:tcBorders>
                    <w:tl2br w:val="nil"/>
                    <w:tr2bl w:val="nil"/>
                  </w:tcBorders>
                  <w:noWrap w:val="0"/>
                  <w:vAlign w:val="center"/>
                </w:tcPr>
                <w:p w14:paraId="3C9DCC31">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b w:val="0"/>
                      <w:bCs w:val="0"/>
                      <w:caps w:val="0"/>
                      <w:color w:val="auto"/>
                      <w:sz w:val="21"/>
                      <w:szCs w:val="21"/>
                      <w:highlight w:val="none"/>
                      <w:lang w:eastAsia="zh-CN"/>
                    </w:rPr>
                  </w:pPr>
                  <w:r>
                    <w:rPr>
                      <w:rFonts w:hint="eastAsia" w:ascii="Times New Roman" w:hAnsi="Times New Roman" w:eastAsia="宋体"/>
                      <w:b w:val="0"/>
                      <w:bCs w:val="0"/>
                      <w:caps w:val="0"/>
                      <w:color w:val="auto"/>
                      <w:sz w:val="21"/>
                      <w:szCs w:val="21"/>
                      <w:highlight w:val="none"/>
                    </w:rPr>
                    <w:t>除国家规划项目外，乌鲁木齐市七区一县、昌吉市、阜康市</w:t>
                  </w:r>
                  <w:r>
                    <w:rPr>
                      <w:rFonts w:hint="eastAsia"/>
                      <w:b w:val="0"/>
                      <w:bCs w:val="0"/>
                      <w:caps w:val="0"/>
                      <w:color w:val="auto"/>
                      <w:sz w:val="21"/>
                      <w:szCs w:val="21"/>
                      <w:highlight w:val="none"/>
                      <w:lang w:eastAsia="zh-CN"/>
                    </w:rPr>
                    <w:t>、</w:t>
                  </w:r>
                  <w:r>
                    <w:rPr>
                      <w:rFonts w:hint="eastAsia" w:ascii="Times New Roman" w:hAnsi="Times New Roman" w:eastAsia="宋体"/>
                      <w:b w:val="0"/>
                      <w:bCs w:val="0"/>
                      <w:caps w:val="0"/>
                      <w:color w:val="auto"/>
                      <w:sz w:val="21"/>
                      <w:szCs w:val="21"/>
                      <w:highlight w:val="none"/>
                    </w:rPr>
                    <w:t>玛纳斯县、呼图壁县、沙湾市建成区及周边敏感区域内不再布局建设煤化工、电解铝、燃煤纯发电机组、金属硅、碳化硅、聚氯乙烯</w:t>
                  </w:r>
                  <w:r>
                    <w:rPr>
                      <w:rFonts w:hint="eastAsia"/>
                      <w:b w:val="0"/>
                      <w:bCs w:val="0"/>
                      <w:caps w:val="0"/>
                      <w:color w:val="auto"/>
                      <w:sz w:val="21"/>
                      <w:szCs w:val="21"/>
                      <w:highlight w:val="none"/>
                      <w:lang w:eastAsia="zh-CN"/>
                    </w:rPr>
                    <w:t>（</w:t>
                  </w:r>
                  <w:r>
                    <w:rPr>
                      <w:rFonts w:hint="eastAsia" w:ascii="Times New Roman" w:hAnsi="Times New Roman" w:eastAsia="宋体"/>
                      <w:b w:val="0"/>
                      <w:bCs w:val="0"/>
                      <w:caps w:val="0"/>
                      <w:color w:val="auto"/>
                      <w:sz w:val="21"/>
                      <w:szCs w:val="21"/>
                      <w:highlight w:val="none"/>
                    </w:rPr>
                    <w:t>电石法</w:t>
                  </w:r>
                  <w:r>
                    <w:rPr>
                      <w:rFonts w:hint="eastAsia"/>
                      <w:b w:val="0"/>
                      <w:bCs w:val="0"/>
                      <w:caps w:val="0"/>
                      <w:color w:val="auto"/>
                      <w:sz w:val="21"/>
                      <w:szCs w:val="21"/>
                      <w:highlight w:val="none"/>
                      <w:lang w:eastAsia="zh-CN"/>
                    </w:rPr>
                    <w:t>）</w:t>
                  </w:r>
                  <w:r>
                    <w:rPr>
                      <w:rFonts w:hint="eastAsia" w:ascii="Times New Roman" w:hAnsi="Times New Roman" w:eastAsia="宋体"/>
                      <w:b w:val="0"/>
                      <w:bCs w:val="0"/>
                      <w:caps w:val="0"/>
                      <w:color w:val="auto"/>
                      <w:sz w:val="21"/>
                      <w:szCs w:val="21"/>
                      <w:highlight w:val="none"/>
                    </w:rPr>
                    <w:t>、焦炭</w:t>
                  </w:r>
                  <w:r>
                    <w:rPr>
                      <w:rFonts w:hint="eastAsia"/>
                      <w:b w:val="0"/>
                      <w:bCs w:val="0"/>
                      <w:caps w:val="0"/>
                      <w:color w:val="auto"/>
                      <w:sz w:val="21"/>
                      <w:szCs w:val="21"/>
                      <w:highlight w:val="none"/>
                      <w:lang w:eastAsia="zh-CN"/>
                    </w:rPr>
                    <w:t>（</w:t>
                  </w:r>
                  <w:r>
                    <w:rPr>
                      <w:rFonts w:hint="eastAsia" w:ascii="Times New Roman" w:hAnsi="Times New Roman" w:eastAsia="宋体"/>
                      <w:b w:val="0"/>
                      <w:bCs w:val="0"/>
                      <w:caps w:val="0"/>
                      <w:color w:val="auto"/>
                      <w:sz w:val="21"/>
                      <w:szCs w:val="21"/>
                      <w:highlight w:val="none"/>
                    </w:rPr>
                    <w:t>含半焦</w:t>
                  </w:r>
                  <w:r>
                    <w:rPr>
                      <w:rFonts w:hint="eastAsia"/>
                      <w:b w:val="0"/>
                      <w:bCs w:val="0"/>
                      <w:caps w:val="0"/>
                      <w:color w:val="auto"/>
                      <w:sz w:val="21"/>
                      <w:szCs w:val="21"/>
                      <w:highlight w:val="none"/>
                      <w:lang w:eastAsia="zh-CN"/>
                    </w:rPr>
                    <w:t>）</w:t>
                  </w:r>
                  <w:r>
                    <w:rPr>
                      <w:rFonts w:hint="eastAsia" w:ascii="Times New Roman" w:hAnsi="Times New Roman" w:eastAsia="宋体"/>
                      <w:b w:val="0"/>
                      <w:bCs w:val="0"/>
                      <w:caps w:val="0"/>
                      <w:color w:val="auto"/>
                      <w:sz w:val="21"/>
                      <w:szCs w:val="21"/>
                      <w:highlight w:val="none"/>
                    </w:rPr>
                    <w:t>等新增产能项目。具备风光电清洁供暖建设条件的区域原则上不新批热电联产项目。坚持属地负责与区域大气污染联防联控相结合，以明显降低细颗粒物浓度为重点，协同推进“</w:t>
                  </w:r>
                  <w:r>
                    <w:rPr>
                      <w:rFonts w:hint="eastAsia"/>
                      <w:b w:val="0"/>
                      <w:bCs w:val="0"/>
                      <w:caps w:val="0"/>
                      <w:color w:val="auto"/>
                      <w:sz w:val="21"/>
                      <w:szCs w:val="21"/>
                      <w:highlight w:val="none"/>
                      <w:lang w:val="en-US" w:eastAsia="zh-CN"/>
                    </w:rPr>
                    <w:t>乌</w:t>
                  </w:r>
                  <w:r>
                    <w:rPr>
                      <w:rFonts w:hint="eastAsia" w:ascii="Times New Roman" w:hAnsi="Times New Roman" w:eastAsia="宋体"/>
                      <w:b w:val="0"/>
                      <w:bCs w:val="0"/>
                      <w:caps w:val="0"/>
                      <w:color w:val="auto"/>
                      <w:sz w:val="21"/>
                      <w:szCs w:val="21"/>
                      <w:highlight w:val="none"/>
                    </w:rPr>
                    <w:t>-昌-石”同防同治区域大气环境治理。强化与生产建设兵团第六师、第八师、第十一师、第十二师的同防同治，所有新建、改建、扩建工业项目执行最严格的大气污染物排放标准</w:t>
                  </w:r>
                  <w:r>
                    <w:rPr>
                      <w:rFonts w:hint="eastAsia"/>
                      <w:b w:val="0"/>
                      <w:bCs w:val="0"/>
                      <w:caps w:val="0"/>
                      <w:color w:val="auto"/>
                      <w:sz w:val="21"/>
                      <w:szCs w:val="21"/>
                      <w:highlight w:val="none"/>
                      <w:lang w:eastAsia="zh-CN"/>
                    </w:rPr>
                    <w:t>，</w:t>
                  </w:r>
                  <w:r>
                    <w:rPr>
                      <w:rFonts w:hint="eastAsia" w:ascii="Times New Roman" w:hAnsi="Times New Roman" w:eastAsia="宋体"/>
                      <w:b w:val="0"/>
                      <w:bCs w:val="0"/>
                      <w:caps w:val="0"/>
                      <w:color w:val="auto"/>
                      <w:sz w:val="21"/>
                      <w:szCs w:val="21"/>
                      <w:highlight w:val="none"/>
                    </w:rPr>
                    <w:t>强化氮氧化物深度治理</w:t>
                  </w:r>
                  <w:r>
                    <w:rPr>
                      <w:rFonts w:hint="eastAsia"/>
                      <w:b w:val="0"/>
                      <w:bCs w:val="0"/>
                      <w:caps w:val="0"/>
                      <w:color w:val="auto"/>
                      <w:sz w:val="21"/>
                      <w:szCs w:val="21"/>
                      <w:highlight w:val="none"/>
                      <w:lang w:eastAsia="zh-CN"/>
                    </w:rPr>
                    <w:t>，</w:t>
                  </w:r>
                  <w:r>
                    <w:rPr>
                      <w:rFonts w:hint="eastAsia" w:ascii="Times New Roman" w:hAnsi="Times New Roman" w:eastAsia="宋体"/>
                      <w:b w:val="0"/>
                      <w:bCs w:val="0"/>
                      <w:caps w:val="0"/>
                      <w:color w:val="auto"/>
                      <w:sz w:val="21"/>
                      <w:szCs w:val="21"/>
                      <w:highlight w:val="none"/>
                    </w:rPr>
                    <w:t>确保区域环境空气质量持续改善</w:t>
                  </w:r>
                  <w:r>
                    <w:rPr>
                      <w:rFonts w:hint="eastAsia"/>
                      <w:b w:val="0"/>
                      <w:bCs w:val="0"/>
                      <w:caps w:val="0"/>
                      <w:color w:val="auto"/>
                      <w:sz w:val="21"/>
                      <w:szCs w:val="21"/>
                      <w:highlight w:val="none"/>
                      <w:lang w:eastAsia="zh-CN"/>
                    </w:rPr>
                    <w:t>。</w:t>
                  </w:r>
                </w:p>
              </w:tc>
              <w:tc>
                <w:tcPr>
                  <w:tcW w:w="1424" w:type="pct"/>
                  <w:tcBorders>
                    <w:tl2br w:val="nil"/>
                    <w:tr2bl w:val="nil"/>
                  </w:tcBorders>
                  <w:noWrap w:val="0"/>
                  <w:vAlign w:val="center"/>
                </w:tcPr>
                <w:p w14:paraId="5CF8B0FC">
                  <w:pPr>
                    <w:keepNext w:val="0"/>
                    <w:keepLines w:val="0"/>
                    <w:pageBreakBefore w:val="0"/>
                    <w:suppressLineNumbers w:val="0"/>
                    <w:kinsoku/>
                    <w:wordWrap/>
                    <w:bidi w:val="0"/>
                    <w:adjustRightInd/>
                    <w:snapToGrid/>
                    <w:spacing w:before="0" w:beforeAutospacing="0" w:after="0" w:afterAutospacing="0"/>
                    <w:ind w:left="0" w:right="0"/>
                    <w:rPr>
                      <w:rFonts w:hint="default" w:ascii="Times New Roman" w:hAnsi="Times New Roman" w:eastAsia="宋体"/>
                      <w:b w:val="0"/>
                      <w:bCs w:val="0"/>
                      <w:caps w:val="0"/>
                      <w:color w:val="auto"/>
                      <w:sz w:val="21"/>
                      <w:szCs w:val="21"/>
                      <w:highlight w:val="none"/>
                      <w:lang w:val="en-US"/>
                    </w:rPr>
                  </w:pPr>
                  <w:r>
                    <w:rPr>
                      <w:rFonts w:hint="eastAsia" w:ascii="Times New Roman" w:hAnsi="Times New Roman" w:eastAsia="宋体" w:cs="Times New Roman"/>
                      <w:b w:val="0"/>
                      <w:bCs w:val="0"/>
                      <w:caps w:val="0"/>
                      <w:color w:val="auto"/>
                      <w:spacing w:val="4"/>
                      <w:kern w:val="2"/>
                      <w:sz w:val="21"/>
                      <w:szCs w:val="21"/>
                      <w:highlight w:val="none"/>
                      <w:lang w:val="en-US" w:eastAsia="zh-CN" w:bidi="ar-SA"/>
                    </w:rPr>
                    <w:t>本项目</w:t>
                  </w:r>
                  <w:r>
                    <w:rPr>
                      <w:rFonts w:hint="eastAsia" w:cs="Times New Roman"/>
                      <w:b w:val="0"/>
                      <w:bCs w:val="0"/>
                      <w:caps w:val="0"/>
                      <w:color w:val="auto"/>
                      <w:spacing w:val="4"/>
                      <w:kern w:val="2"/>
                      <w:sz w:val="21"/>
                      <w:szCs w:val="21"/>
                      <w:highlight w:val="none"/>
                      <w:lang w:val="en-US" w:eastAsia="zh-CN" w:bidi="ar-SA"/>
                    </w:rPr>
                    <w:t>为煤田火区灭火治理工程，</w:t>
                  </w:r>
                  <w:r>
                    <w:rPr>
                      <w:rFonts w:hint="default" w:ascii="Times New Roman" w:hAnsi="Times New Roman" w:eastAsia="宋体"/>
                      <w:b w:val="0"/>
                      <w:bCs w:val="0"/>
                      <w:color w:val="auto"/>
                      <w:sz w:val="21"/>
                      <w:szCs w:val="21"/>
                      <w:highlight w:val="none"/>
                    </w:rPr>
                    <w:t>不涉及管控要求中工业项目</w:t>
                  </w:r>
                  <w:r>
                    <w:rPr>
                      <w:rFonts w:hint="eastAsia" w:ascii="Times New Roman" w:hAnsi="Times New Roman" w:eastAsia="宋体"/>
                      <w:b w:val="0"/>
                      <w:bCs w:val="0"/>
                      <w:color w:val="auto"/>
                      <w:sz w:val="21"/>
                      <w:szCs w:val="21"/>
                      <w:highlight w:val="none"/>
                      <w:lang w:eastAsia="zh-CN"/>
                    </w:rPr>
                    <w:t>。</w:t>
                  </w:r>
                  <w:r>
                    <w:rPr>
                      <w:rFonts w:hint="eastAsia" w:cs="Times New Roman"/>
                      <w:color w:val="auto"/>
                      <w:sz w:val="21"/>
                      <w:szCs w:val="21"/>
                      <w:highlight w:val="none"/>
                      <w:lang w:val="en-US" w:eastAsia="zh-CN"/>
                    </w:rPr>
                    <w:t>合理</w:t>
                  </w:r>
                  <w:r>
                    <w:rPr>
                      <w:rFonts w:hint="default" w:ascii="Times New Roman" w:hAnsi="Times New Roman" w:eastAsia="宋体" w:cs="Times New Roman"/>
                      <w:color w:val="auto"/>
                      <w:sz w:val="21"/>
                      <w:szCs w:val="21"/>
                      <w:highlight w:val="none"/>
                      <w:lang w:val="en-US" w:eastAsia="zh-CN"/>
                    </w:rPr>
                    <w:t>安排施工进度及施工时间，避免雨天和大风天开挖施工作业</w:t>
                  </w:r>
                  <w:r>
                    <w:rPr>
                      <w:rFonts w:hint="eastAsia" w:ascii="Times New Roman" w:hAnsi="Times New Roman" w:eastAsia="宋体" w:cs="Times New Roman"/>
                      <w:color w:val="auto"/>
                      <w:sz w:val="21"/>
                      <w:szCs w:val="21"/>
                      <w:highlight w:val="none"/>
                      <w:lang w:val="en-US" w:eastAsia="zh-CN"/>
                    </w:rPr>
                    <w:t>；</w:t>
                  </w:r>
                  <w:r>
                    <w:rPr>
                      <w:rFonts w:hint="eastAsia" w:cs="宋体"/>
                      <w:color w:val="auto"/>
                      <w:kern w:val="0"/>
                      <w:sz w:val="21"/>
                      <w:szCs w:val="21"/>
                      <w:highlight w:val="none"/>
                      <w:lang w:val="en-US" w:eastAsia="zh-CN" w:bidi="ar"/>
                    </w:rPr>
                    <w:t>剥离工程、钻探工程、取土场</w:t>
                  </w:r>
                  <w:r>
                    <w:rPr>
                      <w:rFonts w:hint="eastAsia" w:ascii="Times New Roman" w:hAnsi="Times New Roman" w:cs="宋体"/>
                      <w:color w:val="auto"/>
                      <w:kern w:val="0"/>
                      <w:sz w:val="21"/>
                      <w:szCs w:val="21"/>
                      <w:highlight w:val="none"/>
                      <w:lang w:bidi="ar"/>
                    </w:rPr>
                    <w:t>等易于产生地面扬尘的工程区域，采用定期洒水方式降低施工扬尘的影响</w:t>
                  </w:r>
                  <w:r>
                    <w:rPr>
                      <w:rFonts w:hint="eastAsia" w:ascii="Times New Roman" w:hAnsi="Times New Roman" w:cs="宋体"/>
                      <w:color w:val="auto"/>
                      <w:kern w:val="0"/>
                      <w:sz w:val="21"/>
                      <w:szCs w:val="21"/>
                      <w:highlight w:val="none"/>
                      <w:lang w:eastAsia="zh-CN" w:bidi="ar"/>
                    </w:rPr>
                    <w:t>；</w:t>
                  </w:r>
                  <w:r>
                    <w:rPr>
                      <w:rFonts w:hint="eastAsia" w:ascii="Times New Roman" w:hAnsi="Times New Roman" w:eastAsia="宋体" w:cs="Times New Roman"/>
                      <w:color w:val="auto"/>
                      <w:sz w:val="21"/>
                      <w:szCs w:val="21"/>
                      <w:lang w:val="en-US" w:eastAsia="zh-CN"/>
                    </w:rPr>
                    <w:t>注浆站上料区域四周设置围挡，上料过程密闭或采用湿法作业；</w:t>
                  </w:r>
                  <w:r>
                    <w:rPr>
                      <w:rFonts w:hint="eastAsia" w:ascii="Times New Roman" w:hAnsi="Times New Roman" w:cs="宋体"/>
                      <w:color w:val="auto"/>
                      <w:kern w:val="0"/>
                      <w:sz w:val="21"/>
                      <w:szCs w:val="21"/>
                      <w:highlight w:val="none"/>
                      <w:lang w:val="en-US" w:eastAsia="zh-CN" w:bidi="ar"/>
                    </w:rPr>
                    <w:t>运输车辆采取篷布覆盖、降低车速、运输道路洒水等措施降低扬尘污染；</w:t>
                  </w:r>
                  <w:r>
                    <w:rPr>
                      <w:rFonts w:hint="default" w:ascii="Times New Roman" w:hAnsi="Times New Roman" w:eastAsia="宋体" w:cs="Times New Roman"/>
                      <w:color w:val="auto"/>
                      <w:sz w:val="21"/>
                      <w:szCs w:val="21"/>
                      <w:highlight w:val="none"/>
                      <w:lang w:val="en-US" w:eastAsia="zh-CN"/>
                    </w:rPr>
                    <w:t>加强施工机械、车辆</w:t>
                  </w:r>
                  <w:r>
                    <w:rPr>
                      <w:rFonts w:hint="eastAsia" w:ascii="Times New Roman" w:hAnsi="Times New Roman" w:cs="Times New Roman"/>
                      <w:color w:val="auto"/>
                      <w:szCs w:val="21"/>
                      <w:highlight w:val="none"/>
                    </w:rPr>
                    <w:t>维护保养，使用正品燃油</w:t>
                  </w:r>
                  <w:r>
                    <w:rPr>
                      <w:rFonts w:hint="eastAsia" w:ascii="Times New Roman" w:hAnsi="Times New Roman" w:cs="宋体"/>
                      <w:color w:val="auto"/>
                      <w:kern w:val="0"/>
                      <w:sz w:val="21"/>
                      <w:szCs w:val="21"/>
                      <w:highlight w:val="none"/>
                      <w:lang w:bidi="ar"/>
                    </w:rPr>
                    <w:t>。</w:t>
                  </w:r>
                </w:p>
              </w:tc>
              <w:tc>
                <w:tcPr>
                  <w:tcW w:w="620" w:type="pct"/>
                  <w:tcBorders>
                    <w:tl2br w:val="nil"/>
                    <w:tr2bl w:val="nil"/>
                  </w:tcBorders>
                  <w:noWrap w:val="0"/>
                  <w:vAlign w:val="center"/>
                </w:tcPr>
                <w:p w14:paraId="2ED10D4D">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r w14:paraId="0B207D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839" w:type="pct"/>
                  <w:vMerge w:val="continue"/>
                  <w:tcBorders>
                    <w:tl2br w:val="nil"/>
                    <w:tr2bl w:val="nil"/>
                  </w:tcBorders>
                  <w:noWrap w:val="0"/>
                  <w:vAlign w:val="center"/>
                </w:tcPr>
                <w:p w14:paraId="2B379D3D">
                  <w:pPr>
                    <w:keepNext w:val="0"/>
                    <w:keepLines w:val="0"/>
                    <w:pageBreakBefore w:val="0"/>
                    <w:suppressLineNumbers w:val="0"/>
                    <w:kinsoku/>
                    <w:wordWrap/>
                    <w:bidi w:val="0"/>
                    <w:adjustRightInd/>
                    <w:snapToGrid/>
                    <w:spacing w:before="0" w:beforeAutospacing="0" w:after="0" w:afterAutospacing="0"/>
                    <w:ind w:left="0" w:right="0"/>
                    <w:jc w:val="both"/>
                    <w:rPr>
                      <w:rFonts w:hint="default" w:ascii="Times New Roman" w:hAnsi="Times New Roman" w:eastAsia="宋体"/>
                      <w:b w:val="0"/>
                      <w:bCs w:val="0"/>
                      <w:caps w:val="0"/>
                      <w:color w:val="auto"/>
                      <w:spacing w:val="4"/>
                      <w:sz w:val="21"/>
                      <w:szCs w:val="21"/>
                      <w:highlight w:val="none"/>
                    </w:rPr>
                  </w:pPr>
                </w:p>
              </w:tc>
              <w:tc>
                <w:tcPr>
                  <w:tcW w:w="2115" w:type="pct"/>
                  <w:tcBorders>
                    <w:tl2br w:val="nil"/>
                    <w:tr2bl w:val="nil"/>
                  </w:tcBorders>
                  <w:noWrap w:val="0"/>
                  <w:vAlign w:val="center"/>
                </w:tcPr>
                <w:p w14:paraId="4C1C448C">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b w:val="0"/>
                      <w:bCs w:val="0"/>
                      <w:caps w:val="0"/>
                      <w:color w:val="auto"/>
                      <w:sz w:val="21"/>
                      <w:szCs w:val="21"/>
                      <w:highlight w:val="none"/>
                      <w:lang w:eastAsia="zh-CN"/>
                    </w:rPr>
                  </w:pPr>
                  <w:r>
                    <w:rPr>
                      <w:rFonts w:hint="eastAsia" w:ascii="Times New Roman" w:hAnsi="Times New Roman" w:eastAsia="宋体"/>
                      <w:b w:val="0"/>
                      <w:bCs w:val="0"/>
                      <w:caps w:val="0"/>
                      <w:color w:val="auto"/>
                      <w:sz w:val="21"/>
                      <w:szCs w:val="21"/>
                      <w:highlight w:val="none"/>
                    </w:rPr>
                    <w:t>煤炭、石油、天然气开发单位应当制定生态保护和恢复治理方案，并予以实施。生态保护和恢复治理方案内容应当向社会公布，接受社会监督</w:t>
                  </w:r>
                  <w:r>
                    <w:rPr>
                      <w:rFonts w:hint="eastAsia"/>
                      <w:b w:val="0"/>
                      <w:bCs w:val="0"/>
                      <w:caps w:val="0"/>
                      <w:color w:val="auto"/>
                      <w:sz w:val="21"/>
                      <w:szCs w:val="21"/>
                      <w:highlight w:val="none"/>
                      <w:lang w:eastAsia="zh-CN"/>
                    </w:rPr>
                    <w:t>。</w:t>
                  </w:r>
                </w:p>
              </w:tc>
              <w:tc>
                <w:tcPr>
                  <w:tcW w:w="1424" w:type="pct"/>
                  <w:tcBorders>
                    <w:tl2br w:val="nil"/>
                    <w:tr2bl w:val="nil"/>
                  </w:tcBorders>
                  <w:noWrap w:val="0"/>
                  <w:vAlign w:val="center"/>
                </w:tcPr>
                <w:p w14:paraId="1AB503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left"/>
                    <w:textAlignment w:val="auto"/>
                    <w:rPr>
                      <w:rFonts w:hint="eastAsia" w:ascii="Times New Roman" w:hAnsi="Times New Roman" w:eastAsia="宋体"/>
                      <w:b w:val="0"/>
                      <w:bCs w:val="0"/>
                      <w:caps w:val="0"/>
                      <w:color w:val="auto"/>
                      <w:sz w:val="21"/>
                      <w:szCs w:val="21"/>
                      <w:highlight w:val="none"/>
                      <w:lang w:val="en-US" w:eastAsia="zh-CN"/>
                    </w:rPr>
                  </w:pPr>
                  <w:r>
                    <w:rPr>
                      <w:rFonts w:hint="default" w:ascii="Times New Roman" w:hAnsi="Times New Roman" w:eastAsia="宋体"/>
                      <w:b w:val="0"/>
                      <w:bCs w:val="0"/>
                      <w:color w:val="auto"/>
                      <w:sz w:val="21"/>
                      <w:szCs w:val="21"/>
                      <w:highlight w:val="none"/>
                    </w:rPr>
                    <w:t>本项目</w:t>
                  </w:r>
                  <w:r>
                    <w:rPr>
                      <w:rFonts w:hint="eastAsia"/>
                      <w:b w:val="0"/>
                      <w:bCs w:val="0"/>
                      <w:color w:val="auto"/>
                      <w:sz w:val="21"/>
                      <w:szCs w:val="21"/>
                      <w:highlight w:val="none"/>
                      <w:lang w:val="en-US" w:eastAsia="zh-CN"/>
                    </w:rPr>
                    <w:t>为</w:t>
                  </w:r>
                  <w:r>
                    <w:rPr>
                      <w:rFonts w:hint="eastAsia" w:cs="Times New Roman"/>
                      <w:b w:val="0"/>
                      <w:bCs w:val="0"/>
                      <w:caps w:val="0"/>
                      <w:color w:val="auto"/>
                      <w:spacing w:val="4"/>
                      <w:kern w:val="2"/>
                      <w:sz w:val="21"/>
                      <w:szCs w:val="21"/>
                      <w:highlight w:val="none"/>
                      <w:lang w:val="en-US" w:eastAsia="zh-CN" w:bidi="ar-SA"/>
                    </w:rPr>
                    <w:t>煤田火区灭火治理工程</w:t>
                  </w:r>
                  <w:r>
                    <w:rPr>
                      <w:rFonts w:hint="eastAsia"/>
                      <w:b w:val="0"/>
                      <w:bCs w:val="0"/>
                      <w:color w:val="auto"/>
                      <w:sz w:val="21"/>
                      <w:szCs w:val="21"/>
                      <w:highlight w:val="none"/>
                      <w:lang w:val="en-US" w:eastAsia="zh-CN"/>
                    </w:rPr>
                    <w:t>，</w:t>
                  </w:r>
                  <w:r>
                    <w:rPr>
                      <w:rFonts w:hint="default" w:ascii="Times New Roman" w:hAnsi="Times New Roman" w:eastAsia="宋体"/>
                      <w:b w:val="0"/>
                      <w:bCs w:val="0"/>
                      <w:color w:val="auto"/>
                      <w:sz w:val="21"/>
                      <w:szCs w:val="21"/>
                      <w:highlight w:val="none"/>
                    </w:rPr>
                    <w:t>不涉及煤炭开发</w:t>
                  </w:r>
                  <w:r>
                    <w:rPr>
                      <w:rFonts w:hint="eastAsia"/>
                      <w:b w:val="0"/>
                      <w:bCs w:val="0"/>
                      <w:color w:val="auto"/>
                      <w:sz w:val="21"/>
                      <w:szCs w:val="21"/>
                      <w:highlight w:val="none"/>
                      <w:lang w:eastAsia="zh-CN"/>
                    </w:rPr>
                    <w:t>。</w:t>
                  </w:r>
                </w:p>
              </w:tc>
              <w:tc>
                <w:tcPr>
                  <w:tcW w:w="620" w:type="pct"/>
                  <w:tcBorders>
                    <w:tl2br w:val="nil"/>
                    <w:tr2bl w:val="nil"/>
                  </w:tcBorders>
                  <w:noWrap w:val="0"/>
                  <w:vAlign w:val="center"/>
                </w:tcPr>
                <w:p w14:paraId="3E9ACFCC">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bl>
          <w:p w14:paraId="734E9CC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rPr>
            </w:pPr>
            <w:r>
              <w:rPr>
                <w:rFonts w:hint="eastAsia" w:ascii="Times New Roman" w:hAnsi="Times New Roman" w:eastAsia="宋体" w:cs="Times New Roman"/>
                <w:b w:val="0"/>
                <w:bCs w:val="0"/>
                <w:color w:val="auto"/>
                <w:kern w:val="0"/>
                <w:sz w:val="24"/>
                <w:szCs w:val="24"/>
                <w:lang w:val="en-US" w:eastAsia="zh-CN"/>
              </w:rPr>
              <w:t>（3）与</w:t>
            </w:r>
            <w:r>
              <w:rPr>
                <w:rFonts w:hint="default" w:ascii="Times New Roman" w:hAnsi="Times New Roman" w:eastAsia="宋体" w:cs="Times New Roman"/>
                <w:b w:val="0"/>
                <w:bCs w:val="0"/>
                <w:color w:val="auto"/>
                <w:kern w:val="0"/>
                <w:sz w:val="24"/>
                <w:szCs w:val="24"/>
                <w:lang w:val="en-US" w:eastAsia="zh-CN"/>
              </w:rPr>
              <w:t>昌吉回族自治州</w:t>
            </w:r>
            <w:r>
              <w:rPr>
                <w:rFonts w:hint="eastAsia" w:ascii="Times New Roman" w:hAnsi="Times New Roman" w:eastAsia="宋体" w:cs="Times New Roman"/>
                <w:b w:val="0"/>
                <w:bCs w:val="0"/>
                <w:color w:val="auto"/>
                <w:kern w:val="0"/>
                <w:sz w:val="24"/>
                <w:szCs w:val="24"/>
                <w:lang w:val="en-US" w:eastAsia="zh-CN"/>
              </w:rPr>
              <w:t>生态环境分区管控要求符合性分析</w:t>
            </w:r>
          </w:p>
          <w:p w14:paraId="18F52E9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rPr>
            </w:pPr>
            <w:r>
              <w:rPr>
                <w:rFonts w:hint="default" w:ascii="Times New Roman" w:hAnsi="Times New Roman" w:eastAsia="宋体" w:cs="Times New Roman"/>
                <w:b w:val="0"/>
                <w:bCs w:val="0"/>
                <w:color w:val="auto"/>
                <w:kern w:val="0"/>
                <w:sz w:val="24"/>
                <w:szCs w:val="24"/>
                <w:lang w:val="en-US" w:eastAsia="zh-CN"/>
              </w:rPr>
              <w:t>根据《</w:t>
            </w:r>
            <w:r>
              <w:rPr>
                <w:rFonts w:hint="eastAsia" w:ascii="Times New Roman" w:hAnsi="Times New Roman" w:eastAsia="宋体" w:cs="Times New Roman"/>
                <w:b w:val="0"/>
                <w:bCs w:val="0"/>
                <w:color w:val="auto"/>
                <w:kern w:val="0"/>
                <w:sz w:val="24"/>
                <w:szCs w:val="24"/>
                <w:lang w:val="en-US" w:eastAsia="zh-CN"/>
              </w:rPr>
              <w:t>关于发布</w:t>
            </w:r>
            <w:r>
              <w:rPr>
                <w:rFonts w:hint="default" w:ascii="Times New Roman" w:hAnsi="Times New Roman" w:eastAsia="宋体" w:cs="Times New Roman"/>
                <w:b w:val="0"/>
                <w:bCs w:val="0"/>
                <w:color w:val="auto"/>
                <w:kern w:val="0"/>
                <w:sz w:val="24"/>
                <w:szCs w:val="24"/>
                <w:lang w:val="en-US" w:eastAsia="zh-CN"/>
              </w:rPr>
              <w:t>昌吉回族自治州生态环境分区管控</w:t>
            </w:r>
            <w:r>
              <w:rPr>
                <w:rFonts w:hint="eastAsia" w:ascii="Times New Roman" w:hAnsi="Times New Roman" w:eastAsia="宋体" w:cs="Times New Roman"/>
                <w:b w:val="0"/>
                <w:bCs w:val="0"/>
                <w:color w:val="auto"/>
                <w:kern w:val="0"/>
                <w:sz w:val="24"/>
                <w:szCs w:val="24"/>
                <w:lang w:val="en-US" w:eastAsia="zh-CN"/>
              </w:rPr>
              <w:t>动态更新成果的公告</w:t>
            </w:r>
            <w:r>
              <w:rPr>
                <w:rFonts w:hint="default" w:ascii="Times New Roman" w:hAnsi="Times New Roman" w:eastAsia="宋体" w:cs="Times New Roman"/>
                <w:b w:val="0"/>
                <w:bCs w:val="0"/>
                <w:color w:val="auto"/>
                <w:kern w:val="0"/>
                <w:sz w:val="24"/>
                <w:szCs w:val="24"/>
                <w:lang w:val="en-US" w:eastAsia="zh-CN"/>
              </w:rPr>
              <w:t>》，昌吉回族自治州共划定</w:t>
            </w:r>
            <w:r>
              <w:rPr>
                <w:rFonts w:hint="eastAsia" w:ascii="Times New Roman" w:hAnsi="Times New Roman" w:eastAsia="宋体" w:cs="Times New Roman"/>
                <w:b w:val="0"/>
                <w:bCs w:val="0"/>
                <w:color w:val="auto"/>
                <w:kern w:val="0"/>
                <w:sz w:val="24"/>
                <w:szCs w:val="24"/>
                <w:lang w:val="en-US" w:eastAsia="zh-CN"/>
              </w:rPr>
              <w:t>193</w:t>
            </w:r>
            <w:r>
              <w:rPr>
                <w:rFonts w:hint="default" w:ascii="Times New Roman" w:hAnsi="Times New Roman" w:eastAsia="宋体" w:cs="Times New Roman"/>
                <w:b w:val="0"/>
                <w:bCs w:val="0"/>
                <w:color w:val="auto"/>
                <w:kern w:val="0"/>
                <w:sz w:val="24"/>
                <w:szCs w:val="24"/>
                <w:lang w:val="en-US" w:eastAsia="zh-CN"/>
              </w:rPr>
              <w:t>个环境管控单元，</w:t>
            </w:r>
            <w:r>
              <w:rPr>
                <w:rFonts w:hint="eastAsia" w:ascii="Times New Roman" w:hAnsi="Times New Roman" w:eastAsia="宋体" w:cs="Times New Roman"/>
                <w:b w:val="0"/>
                <w:bCs w:val="0"/>
                <w:color w:val="auto"/>
                <w:kern w:val="0"/>
                <w:sz w:val="24"/>
                <w:szCs w:val="24"/>
                <w:lang w:val="en-US" w:eastAsia="zh-CN"/>
              </w:rPr>
              <w:t>包括</w:t>
            </w:r>
            <w:r>
              <w:rPr>
                <w:rFonts w:hint="default" w:ascii="Times New Roman" w:hAnsi="Times New Roman" w:eastAsia="宋体" w:cs="Times New Roman"/>
                <w:b w:val="0"/>
                <w:bCs w:val="0"/>
                <w:color w:val="auto"/>
                <w:kern w:val="0"/>
                <w:sz w:val="24"/>
                <w:szCs w:val="24"/>
                <w:lang w:val="en-US" w:eastAsia="zh-CN"/>
              </w:rPr>
              <w:t>优先保护单元</w:t>
            </w:r>
            <w:r>
              <w:rPr>
                <w:rFonts w:hint="eastAsia" w:ascii="Times New Roman" w:hAnsi="Times New Roman" w:eastAsia="宋体" w:cs="Times New Roman"/>
                <w:b w:val="0"/>
                <w:bCs w:val="0"/>
                <w:color w:val="auto"/>
                <w:kern w:val="0"/>
                <w:sz w:val="24"/>
                <w:szCs w:val="24"/>
                <w:lang w:val="en-US" w:eastAsia="zh-CN"/>
              </w:rPr>
              <w:t>94个，</w:t>
            </w:r>
            <w:r>
              <w:rPr>
                <w:rFonts w:hint="default" w:ascii="Times New Roman" w:hAnsi="Times New Roman" w:eastAsia="宋体" w:cs="Times New Roman"/>
                <w:b w:val="0"/>
                <w:bCs w:val="0"/>
                <w:color w:val="auto"/>
                <w:kern w:val="0"/>
                <w:sz w:val="24"/>
                <w:szCs w:val="24"/>
                <w:lang w:val="en-US" w:eastAsia="zh-CN"/>
              </w:rPr>
              <w:t>重点管控单元</w:t>
            </w:r>
            <w:r>
              <w:rPr>
                <w:rFonts w:hint="eastAsia" w:ascii="Times New Roman" w:hAnsi="Times New Roman" w:eastAsia="宋体" w:cs="Times New Roman"/>
                <w:b w:val="0"/>
                <w:bCs w:val="0"/>
                <w:color w:val="auto"/>
                <w:kern w:val="0"/>
                <w:sz w:val="24"/>
                <w:szCs w:val="24"/>
                <w:lang w:val="en-US" w:eastAsia="zh-CN"/>
              </w:rPr>
              <w:t>92个，</w:t>
            </w:r>
            <w:r>
              <w:rPr>
                <w:rFonts w:hint="default" w:ascii="Times New Roman" w:hAnsi="Times New Roman" w:eastAsia="宋体" w:cs="Times New Roman"/>
                <w:b w:val="0"/>
                <w:bCs w:val="0"/>
                <w:color w:val="auto"/>
                <w:kern w:val="0"/>
                <w:sz w:val="24"/>
                <w:szCs w:val="24"/>
                <w:lang w:val="en-US" w:eastAsia="zh-CN"/>
              </w:rPr>
              <w:t>一般管控单元</w:t>
            </w:r>
            <w:r>
              <w:rPr>
                <w:rFonts w:hint="eastAsia" w:ascii="Times New Roman" w:hAnsi="Times New Roman" w:eastAsia="宋体" w:cs="Times New Roman"/>
                <w:b w:val="0"/>
                <w:bCs w:val="0"/>
                <w:color w:val="auto"/>
                <w:kern w:val="0"/>
                <w:sz w:val="24"/>
                <w:szCs w:val="24"/>
                <w:lang w:val="en-US" w:eastAsia="zh-CN"/>
              </w:rPr>
              <w:t>7个</w:t>
            </w:r>
            <w:r>
              <w:rPr>
                <w:rFonts w:hint="default" w:ascii="Times New Roman" w:hAnsi="Times New Roman" w:eastAsia="宋体" w:cs="Times New Roman"/>
                <w:b w:val="0"/>
                <w:bCs w:val="0"/>
                <w:color w:val="auto"/>
                <w:kern w:val="0"/>
                <w:sz w:val="24"/>
                <w:szCs w:val="24"/>
                <w:lang w:val="en-US" w:eastAsia="zh-CN"/>
              </w:rPr>
              <w:t>。</w:t>
            </w:r>
          </w:p>
          <w:p w14:paraId="7FFC389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lang w:val="en-US" w:eastAsia="zh-CN"/>
              </w:rPr>
              <w:t>本项目位于</w:t>
            </w:r>
            <w:r>
              <w:rPr>
                <w:rFonts w:hint="default" w:ascii="Times New Roman" w:hAnsi="Times New Roman" w:eastAsia="宋体" w:cs="Times New Roman"/>
                <w:b w:val="0"/>
                <w:bCs w:val="0"/>
                <w:color w:val="auto"/>
                <w:kern w:val="0"/>
                <w:sz w:val="24"/>
                <w:szCs w:val="24"/>
                <w:highlight w:val="none"/>
                <w:lang w:val="en-US" w:eastAsia="zh-CN"/>
              </w:rPr>
              <w:t>重点管控单元，环境管控单元名称为准南煤矿</w:t>
            </w:r>
            <w:r>
              <w:rPr>
                <w:rFonts w:hint="eastAsia" w:ascii="Times New Roman" w:hAnsi="Times New Roman" w:eastAsia="宋体" w:cs="Times New Roman"/>
                <w:b w:val="0"/>
                <w:bCs w:val="0"/>
                <w:color w:val="auto"/>
                <w:kern w:val="0"/>
                <w:sz w:val="24"/>
                <w:szCs w:val="24"/>
                <w:highlight w:val="none"/>
                <w:lang w:val="en-US" w:eastAsia="zh-CN"/>
              </w:rPr>
              <w:t>阜康矿区</w:t>
            </w:r>
            <w:r>
              <w:rPr>
                <w:rFonts w:hint="default" w:ascii="Times New Roman" w:hAnsi="Times New Roman" w:eastAsia="宋体" w:cs="Times New Roman"/>
                <w:b w:val="0"/>
                <w:bCs w:val="0"/>
                <w:color w:val="auto"/>
                <w:kern w:val="0"/>
                <w:sz w:val="24"/>
                <w:szCs w:val="24"/>
                <w:highlight w:val="none"/>
                <w:lang w:val="en-US" w:eastAsia="zh-CN"/>
              </w:rPr>
              <w:t>，环境管控单元编码为ZH65230220004。本项目与昌吉回族自治州</w:t>
            </w:r>
            <w:r>
              <w:rPr>
                <w:rFonts w:hint="eastAsia" w:ascii="Times New Roman" w:hAnsi="Times New Roman" w:eastAsia="宋体" w:cs="Times New Roman"/>
                <w:b w:val="0"/>
                <w:bCs w:val="0"/>
                <w:color w:val="auto"/>
                <w:kern w:val="0"/>
                <w:sz w:val="24"/>
                <w:szCs w:val="24"/>
                <w:highlight w:val="none"/>
                <w:lang w:val="en-US" w:eastAsia="zh-CN"/>
              </w:rPr>
              <w:t>环境管控单元分类图位置关系见</w:t>
            </w:r>
            <w:r>
              <w:rPr>
                <w:rFonts w:hint="eastAsia" w:ascii="Times New Roman" w:hAnsi="Times New Roman" w:eastAsia="宋体" w:cs="Times New Roman"/>
                <w:b/>
                <w:bCs/>
                <w:color w:val="auto"/>
                <w:kern w:val="0"/>
                <w:sz w:val="24"/>
                <w:szCs w:val="24"/>
                <w:highlight w:val="none"/>
                <w:lang w:val="en-US" w:eastAsia="zh-CN"/>
              </w:rPr>
              <w:t>附图3</w:t>
            </w:r>
            <w:r>
              <w:rPr>
                <w:rFonts w:hint="eastAsia" w:ascii="Times New Roman" w:hAnsi="Times New Roman" w:eastAsia="宋体" w:cs="Times New Roman"/>
                <w:b w:val="0"/>
                <w:bCs w:val="0"/>
                <w:color w:val="auto"/>
                <w:kern w:val="0"/>
                <w:sz w:val="24"/>
                <w:szCs w:val="24"/>
                <w:highlight w:val="none"/>
                <w:lang w:val="en-US" w:eastAsia="zh-CN"/>
              </w:rPr>
              <w:t>。</w:t>
            </w:r>
          </w:p>
          <w:p w14:paraId="2BBF550D">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b/>
                <w:bCs/>
                <w:color w:val="auto"/>
                <w:sz w:val="18"/>
                <w:szCs w:val="18"/>
                <w:highlight w:val="none"/>
                <w:lang w:val="en-US" w:eastAsia="zh-CN"/>
              </w:rPr>
            </w:pPr>
          </w:p>
          <w:p w14:paraId="0DEC2C63">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lang w:val="en-US" w:eastAsia="zh-CN"/>
              </w:rPr>
              <w:t>表1-</w:t>
            </w:r>
            <w:r>
              <w:rPr>
                <w:rFonts w:hint="eastAsia" w:ascii="Times New Roman" w:hAnsi="Times New Roman" w:cs="Times New Roman"/>
                <w:b/>
                <w:bCs/>
                <w:color w:val="auto"/>
                <w:sz w:val="18"/>
                <w:szCs w:val="18"/>
                <w:highlight w:val="none"/>
                <w:lang w:val="en-US" w:eastAsia="zh-CN"/>
              </w:rPr>
              <w:t>3</w:t>
            </w:r>
            <w:r>
              <w:rPr>
                <w:rFonts w:hint="default" w:ascii="Times New Roman" w:hAnsi="Times New Roman" w:eastAsia="宋体" w:cs="Times New Roman"/>
                <w:b/>
                <w:bCs/>
                <w:color w:val="auto"/>
                <w:sz w:val="18"/>
                <w:szCs w:val="18"/>
                <w:highlight w:val="none"/>
                <w:lang w:val="en-US" w:eastAsia="zh-CN"/>
              </w:rPr>
              <w:t xml:space="preserve">  与</w:t>
            </w:r>
            <w:r>
              <w:rPr>
                <w:rFonts w:hint="eastAsia" w:ascii="Times New Roman" w:hAnsi="Times New Roman" w:cs="Times New Roman"/>
                <w:b/>
                <w:bCs/>
                <w:color w:val="auto"/>
                <w:sz w:val="18"/>
                <w:szCs w:val="18"/>
                <w:highlight w:val="none"/>
                <w:lang w:val="en-US" w:eastAsia="zh-CN"/>
              </w:rPr>
              <w:t>阜康环境管控单元</w:t>
            </w:r>
            <w:r>
              <w:rPr>
                <w:rFonts w:hint="default" w:ascii="Times New Roman" w:hAnsi="Times New Roman" w:cs="Times New Roman"/>
                <w:b/>
                <w:bCs/>
                <w:color w:val="auto"/>
                <w:sz w:val="18"/>
                <w:szCs w:val="18"/>
                <w:highlight w:val="none"/>
                <w:lang w:val="en-US" w:eastAsia="zh-CN"/>
              </w:rPr>
              <w:t>生态环境准入清单</w:t>
            </w:r>
            <w:r>
              <w:rPr>
                <w:rFonts w:hint="eastAsia" w:ascii="Times New Roman" w:hAnsi="Times New Roman" w:cs="Times New Roman"/>
                <w:b/>
                <w:bCs/>
                <w:color w:val="auto"/>
                <w:sz w:val="18"/>
                <w:szCs w:val="18"/>
                <w:highlight w:val="none"/>
                <w:lang w:val="en-US" w:eastAsia="zh-CN"/>
              </w:rPr>
              <w:t>动态更新成果（重点管控单元）符合性分析</w:t>
            </w:r>
          </w:p>
          <w:tbl>
            <w:tblPr>
              <w:tblStyle w:val="26"/>
              <w:tblW w:w="7561"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8"/>
              <w:gridCol w:w="3313"/>
              <w:gridCol w:w="2665"/>
              <w:gridCol w:w="865"/>
            </w:tblGrid>
            <w:tr w14:paraId="649CBB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4031" w:type="dxa"/>
                  <w:gridSpan w:val="2"/>
                  <w:tcBorders>
                    <w:tl2br w:val="nil"/>
                    <w:tr2bl w:val="nil"/>
                  </w:tcBorders>
                  <w:noWrap w:val="0"/>
                  <w:vAlign w:val="center"/>
                </w:tcPr>
                <w:p w14:paraId="0D68E000">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管控要求</w:t>
                  </w:r>
                </w:p>
              </w:tc>
              <w:tc>
                <w:tcPr>
                  <w:tcW w:w="2665" w:type="dxa"/>
                  <w:tcBorders>
                    <w:tl2br w:val="nil"/>
                    <w:tr2bl w:val="nil"/>
                  </w:tcBorders>
                  <w:noWrap w:val="0"/>
                  <w:vAlign w:val="center"/>
                </w:tcPr>
                <w:p w14:paraId="08C1CE68">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本项目</w:t>
                  </w:r>
                  <w:r>
                    <w:rPr>
                      <w:rFonts w:hint="eastAsia" w:ascii="Times New Roman" w:hAnsi="Times New Roman" w:eastAsia="宋体" w:cs="Times New Roman"/>
                      <w:b w:val="0"/>
                      <w:bCs w:val="0"/>
                      <w:color w:val="auto"/>
                      <w:sz w:val="21"/>
                      <w:szCs w:val="21"/>
                      <w:highlight w:val="none"/>
                      <w:vertAlign w:val="baseline"/>
                      <w:lang w:val="en-US" w:eastAsia="zh-CN"/>
                    </w:rPr>
                    <w:t>情况</w:t>
                  </w:r>
                </w:p>
              </w:tc>
              <w:tc>
                <w:tcPr>
                  <w:tcW w:w="865" w:type="dxa"/>
                  <w:tcBorders>
                    <w:tl2br w:val="nil"/>
                    <w:tr2bl w:val="nil"/>
                  </w:tcBorders>
                  <w:noWrap w:val="0"/>
                  <w:vAlign w:val="center"/>
                </w:tcPr>
                <w:p w14:paraId="28075F50">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符合性</w:t>
                  </w:r>
                </w:p>
              </w:tc>
            </w:tr>
            <w:tr w14:paraId="5677E9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l2br w:val="nil"/>
                    <w:tr2bl w:val="nil"/>
                  </w:tcBorders>
                  <w:noWrap w:val="0"/>
                  <w:vAlign w:val="center"/>
                </w:tcPr>
                <w:p w14:paraId="6028EC4A">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kern w:val="0"/>
                      <w:sz w:val="21"/>
                      <w:szCs w:val="21"/>
                      <w:highlight w:val="none"/>
                    </w:rPr>
                    <w:t>空间布局约束</w:t>
                  </w:r>
                </w:p>
              </w:tc>
              <w:tc>
                <w:tcPr>
                  <w:tcW w:w="3313" w:type="dxa"/>
                  <w:tcBorders>
                    <w:tl2br w:val="nil"/>
                    <w:tr2bl w:val="nil"/>
                  </w:tcBorders>
                  <w:noWrap w:val="0"/>
                  <w:vAlign w:val="center"/>
                </w:tcPr>
                <w:p w14:paraId="0B48D104">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1、矿产资源勘查开发活动应符合国土空间规划要求，不得影响区域主导生态功能。 </w:t>
                  </w:r>
                </w:p>
                <w:p w14:paraId="43CB6A20">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2、矿产资源勘查开发活动应符合《新疆维吾尔自治区矿产资源总体规划（2021-2025 年）》《新疆维吾尔自治区昌吉回族自治州矿产资源总体规划（2021-2025 年）》相关要求。 </w:t>
                  </w:r>
                </w:p>
                <w:p w14:paraId="3E49116A">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3、禁止新建煤层含硫量大于3%的煤矿。 </w:t>
                  </w:r>
                </w:p>
                <w:p w14:paraId="79677861">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4、坚持安全、环保、效率并重，禁止新建非机械化开采的煤矿；原则上禁止建设改扩建后产能低于120万吨/年的煤矿；禁止核准新建生产能力低于120 万吨/年的矿井。</w:t>
                  </w:r>
                </w:p>
                <w:p w14:paraId="2FD199A3">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lang w:val="en-US" w:eastAsia="zh-CN"/>
                    </w:rPr>
                  </w:pPr>
                </w:p>
              </w:tc>
              <w:tc>
                <w:tcPr>
                  <w:tcW w:w="2665" w:type="dxa"/>
                  <w:tcBorders>
                    <w:tl2br w:val="nil"/>
                    <w:tr2bl w:val="nil"/>
                  </w:tcBorders>
                  <w:noWrap w:val="0"/>
                  <w:vAlign w:val="center"/>
                </w:tcPr>
                <w:p w14:paraId="4359E521">
                  <w:pPr>
                    <w:keepNext w:val="0"/>
                    <w:keepLines w:val="0"/>
                    <w:pageBreakBefore w:val="0"/>
                    <w:suppressLineNumbers w:val="0"/>
                    <w:kinsoku/>
                    <w:wordWrap/>
                    <w:bidi w:val="0"/>
                    <w:adjustRightInd/>
                    <w:snapToGrid/>
                    <w:spacing w:before="0" w:beforeAutospacing="0" w:after="0" w:afterAutospacing="0"/>
                    <w:ind w:left="0" w:leftChars="0" w:right="0" w:rightChars="0"/>
                    <w:jc w:val="both"/>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rPr>
                    <w:t>本项目</w:t>
                  </w:r>
                  <w:r>
                    <w:rPr>
                      <w:rFonts w:hint="eastAsia" w:cs="Times New Roman"/>
                      <w:b w:val="0"/>
                      <w:bCs w:val="0"/>
                      <w:color w:val="auto"/>
                      <w:sz w:val="21"/>
                      <w:szCs w:val="21"/>
                      <w:highlight w:val="none"/>
                      <w:lang w:val="en-US" w:eastAsia="zh-CN"/>
                    </w:rPr>
                    <w:t>为煤田火区灭火治理工程</w:t>
                  </w:r>
                  <w:r>
                    <w:rPr>
                      <w:rFonts w:hint="default" w:ascii="Times New Roman" w:hAnsi="Times New Roman" w:cs="Times New Roman"/>
                      <w:b w:val="0"/>
                      <w:bCs w:val="0"/>
                      <w:color w:val="auto"/>
                      <w:sz w:val="21"/>
                      <w:szCs w:val="21"/>
                      <w:highlight w:val="none"/>
                    </w:rPr>
                    <w:t>。</w:t>
                  </w:r>
                </w:p>
              </w:tc>
              <w:tc>
                <w:tcPr>
                  <w:tcW w:w="865" w:type="dxa"/>
                  <w:tcBorders>
                    <w:tl2br w:val="nil"/>
                    <w:tr2bl w:val="nil"/>
                  </w:tcBorders>
                  <w:noWrap w:val="0"/>
                  <w:vAlign w:val="center"/>
                </w:tcPr>
                <w:p w14:paraId="30AF41FF">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ascii="Times New Roman" w:hAnsi="Times New Roman" w:cs="Times New Roman"/>
                      <w:b w:val="0"/>
                      <w:bCs w:val="0"/>
                      <w:color w:val="auto"/>
                      <w:sz w:val="21"/>
                      <w:szCs w:val="21"/>
                      <w:highlight w:val="none"/>
                    </w:rPr>
                  </w:pPr>
                </w:p>
              </w:tc>
            </w:tr>
            <w:tr w14:paraId="32BD4A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l2br w:val="nil"/>
                    <w:tr2bl w:val="nil"/>
                  </w:tcBorders>
                  <w:noWrap w:val="0"/>
                  <w:vAlign w:val="center"/>
                </w:tcPr>
                <w:p w14:paraId="1632672E">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kern w:val="0"/>
                      <w:sz w:val="21"/>
                      <w:szCs w:val="21"/>
                      <w:highlight w:val="none"/>
                    </w:rPr>
                    <w:t>污染物排放管控</w:t>
                  </w:r>
                </w:p>
              </w:tc>
              <w:tc>
                <w:tcPr>
                  <w:tcW w:w="3313" w:type="dxa"/>
                  <w:tcBorders>
                    <w:tl2br w:val="nil"/>
                    <w:tr2bl w:val="nil"/>
                  </w:tcBorders>
                  <w:noWrap w:val="0"/>
                  <w:vAlign w:val="center"/>
                </w:tcPr>
                <w:p w14:paraId="3EBCD24F">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1、煤炭企业污染物排放应满足《煤炭工业污染物排放标准》 </w:t>
                  </w:r>
                </w:p>
                <w:p w14:paraId="1E6D6089">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（GB20426-2006）。 </w:t>
                  </w:r>
                </w:p>
                <w:p w14:paraId="342625FD">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2、新（改、扩）建项目应执行最严格的大气污染物排放标准。 </w:t>
                  </w:r>
                </w:p>
                <w:p w14:paraId="56F52CEE">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3、煤矸石无害化处置率达到 100%。露天矿的剥离物集中排入排土场，处置率达100%。煤矸石堆场的建设及运营应符合《一般工业固体废弃物贮存、处置场污染控制标准》（GB18599）的有关要求。煤矸石为Ⅱ类一般工业固废的，其 </w:t>
                  </w:r>
                </w:p>
                <w:p w14:paraId="268CE905">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堆场采取防渗技术措施。生活垃圾实现 100%无害化处置。 </w:t>
                  </w:r>
                </w:p>
                <w:p w14:paraId="6F8BC2A4">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4、采矿产生的固体废物，应在专用场所堆放，并采取措施防止二次污染；禁止向河流、湖泊、水库等水体及行洪渠道排放固体废物。</w:t>
                  </w:r>
                </w:p>
                <w:p w14:paraId="500E3B31">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p>
                <w:p w14:paraId="50568E24">
                  <w:pPr>
                    <w:keepNext w:val="0"/>
                    <w:keepLines w:val="0"/>
                    <w:pageBreakBefore w:val="0"/>
                    <w:suppressLineNumbers w:val="0"/>
                    <w:kinsoku/>
                    <w:wordWrap/>
                    <w:bidi w:val="0"/>
                    <w:adjustRightInd/>
                    <w:snapToGrid/>
                    <w:spacing w:before="0" w:beforeAutospacing="0" w:after="0" w:afterAutospacing="0"/>
                    <w:ind w:left="0" w:right="0"/>
                    <w:jc w:val="both"/>
                    <w:rPr>
                      <w:rFonts w:hint="default" w:ascii="Times New Roman" w:hAnsi="Times New Roman" w:eastAsia="宋体" w:cs="Times New Roman"/>
                      <w:b w:val="0"/>
                      <w:bCs w:val="0"/>
                      <w:caps w:val="0"/>
                      <w:color w:val="auto"/>
                      <w:sz w:val="21"/>
                      <w:szCs w:val="21"/>
                      <w:highlight w:val="none"/>
                      <w:lang w:val="en-US" w:eastAsia="zh-CN"/>
                    </w:rPr>
                  </w:pPr>
                </w:p>
              </w:tc>
              <w:tc>
                <w:tcPr>
                  <w:tcW w:w="2665" w:type="dxa"/>
                  <w:tcBorders>
                    <w:tl2br w:val="nil"/>
                    <w:tr2bl w:val="nil"/>
                  </w:tcBorders>
                  <w:noWrap w:val="0"/>
                  <w:vAlign w:val="center"/>
                </w:tcPr>
                <w:p w14:paraId="3426F5CE">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default" w:ascii="Times New Roman" w:hAnsi="Times New Roman" w:eastAsia="宋体" w:cs="Times New Roman"/>
                      <w:b w:val="0"/>
                      <w:bCs w:val="0"/>
                      <w:color w:val="auto"/>
                      <w:sz w:val="21"/>
                      <w:szCs w:val="21"/>
                      <w:highlight w:val="yellow"/>
                      <w:vertAlign w:val="baseline"/>
                      <w:lang w:val="en-US" w:eastAsia="zh-CN"/>
                    </w:rPr>
                  </w:pPr>
                  <w:r>
                    <w:rPr>
                      <w:rFonts w:hint="default" w:ascii="Times New Roman" w:hAnsi="Times New Roman" w:cs="Times New Roman"/>
                      <w:b w:val="0"/>
                      <w:bCs w:val="0"/>
                      <w:color w:val="auto"/>
                      <w:sz w:val="21"/>
                      <w:szCs w:val="21"/>
                      <w:highlight w:val="none"/>
                    </w:rPr>
                    <w:t>本项目</w:t>
                  </w:r>
                  <w:r>
                    <w:rPr>
                      <w:rFonts w:hint="eastAsia" w:cs="Times New Roman"/>
                      <w:b w:val="0"/>
                      <w:bCs w:val="0"/>
                      <w:color w:val="auto"/>
                      <w:sz w:val="21"/>
                      <w:szCs w:val="21"/>
                      <w:highlight w:val="none"/>
                      <w:lang w:val="en-US" w:eastAsia="zh-CN"/>
                    </w:rPr>
                    <w:t>为煤田火区灭火治理工程，</w:t>
                  </w:r>
                  <w:r>
                    <w:rPr>
                      <w:rFonts w:hint="eastAsia" w:cs="Times New Roman"/>
                      <w:color w:val="auto"/>
                      <w:sz w:val="21"/>
                      <w:szCs w:val="21"/>
                      <w:highlight w:val="none"/>
                      <w:lang w:val="en-US" w:eastAsia="zh-CN"/>
                    </w:rPr>
                    <w:t>合理</w:t>
                  </w:r>
                  <w:r>
                    <w:rPr>
                      <w:rFonts w:hint="default" w:ascii="Times New Roman" w:hAnsi="Times New Roman" w:eastAsia="宋体" w:cs="Times New Roman"/>
                      <w:color w:val="auto"/>
                      <w:sz w:val="21"/>
                      <w:szCs w:val="21"/>
                      <w:highlight w:val="none"/>
                      <w:lang w:val="en-US" w:eastAsia="zh-CN"/>
                    </w:rPr>
                    <w:t>安排施工进度及施工时间，避免雨天和大风天开挖施工作业</w:t>
                  </w:r>
                  <w:r>
                    <w:rPr>
                      <w:rFonts w:hint="eastAsia" w:ascii="Times New Roman" w:hAnsi="Times New Roman" w:eastAsia="宋体" w:cs="Times New Roman"/>
                      <w:color w:val="auto"/>
                      <w:sz w:val="21"/>
                      <w:szCs w:val="21"/>
                      <w:highlight w:val="none"/>
                      <w:lang w:val="en-US" w:eastAsia="zh-CN"/>
                    </w:rPr>
                    <w:t>；</w:t>
                  </w:r>
                  <w:r>
                    <w:rPr>
                      <w:rFonts w:hint="eastAsia" w:cs="宋体"/>
                      <w:color w:val="auto"/>
                      <w:kern w:val="0"/>
                      <w:sz w:val="21"/>
                      <w:szCs w:val="21"/>
                      <w:highlight w:val="none"/>
                      <w:lang w:val="en-US" w:eastAsia="zh-CN" w:bidi="ar"/>
                    </w:rPr>
                    <w:t>剥离工程、钻探工程、取土场</w:t>
                  </w:r>
                  <w:r>
                    <w:rPr>
                      <w:rFonts w:hint="eastAsia" w:ascii="Times New Roman" w:hAnsi="Times New Roman" w:cs="宋体"/>
                      <w:color w:val="auto"/>
                      <w:kern w:val="0"/>
                      <w:sz w:val="21"/>
                      <w:szCs w:val="21"/>
                      <w:highlight w:val="none"/>
                      <w:lang w:bidi="ar"/>
                    </w:rPr>
                    <w:t>等易于产生地面扬尘的工程区域，采用定期洒水方式降低施工扬尘的影响</w:t>
                  </w:r>
                  <w:r>
                    <w:rPr>
                      <w:rFonts w:hint="eastAsia" w:ascii="Times New Roman" w:hAnsi="Times New Roman" w:cs="宋体"/>
                      <w:color w:val="auto"/>
                      <w:kern w:val="0"/>
                      <w:sz w:val="21"/>
                      <w:szCs w:val="21"/>
                      <w:highlight w:val="none"/>
                      <w:lang w:eastAsia="zh-CN" w:bidi="ar"/>
                    </w:rPr>
                    <w:t>；</w:t>
                  </w:r>
                  <w:r>
                    <w:rPr>
                      <w:rFonts w:hint="eastAsia" w:ascii="Times New Roman" w:hAnsi="Times New Roman" w:eastAsia="宋体" w:cs="Times New Roman"/>
                      <w:color w:val="auto"/>
                      <w:sz w:val="21"/>
                      <w:szCs w:val="21"/>
                      <w:lang w:val="en-US" w:eastAsia="zh-CN"/>
                    </w:rPr>
                    <w:t>注浆站上料区域四周设置围挡，上料过程密闭或采用湿法作业；</w:t>
                  </w:r>
                  <w:r>
                    <w:rPr>
                      <w:rFonts w:hint="eastAsia" w:ascii="Times New Roman" w:hAnsi="Times New Roman" w:cs="宋体"/>
                      <w:color w:val="auto"/>
                      <w:kern w:val="0"/>
                      <w:sz w:val="21"/>
                      <w:szCs w:val="21"/>
                      <w:highlight w:val="none"/>
                      <w:lang w:val="en-US" w:eastAsia="zh-CN" w:bidi="ar"/>
                    </w:rPr>
                    <w:t>运输车辆采取篷布覆盖、降低车速、运输道</w:t>
                  </w:r>
                  <w:r>
                    <w:rPr>
                      <w:rFonts w:hint="eastAsia" w:ascii="Times New Roman" w:hAnsi="Times New Roman" w:eastAsia="宋体" w:cs="宋体"/>
                      <w:color w:val="auto"/>
                      <w:kern w:val="0"/>
                      <w:sz w:val="21"/>
                      <w:szCs w:val="21"/>
                      <w:highlight w:val="none"/>
                      <w:lang w:val="en-US" w:eastAsia="zh-CN" w:bidi="ar"/>
                    </w:rPr>
                    <w:t>路洒水等措施降低扬尘污染；</w:t>
                  </w:r>
                  <w:r>
                    <w:rPr>
                      <w:rFonts w:hint="default" w:ascii="Times New Roman" w:hAnsi="Times New Roman" w:eastAsia="宋体" w:cs="宋体"/>
                      <w:color w:val="auto"/>
                      <w:kern w:val="0"/>
                      <w:sz w:val="21"/>
                      <w:szCs w:val="21"/>
                      <w:highlight w:val="none"/>
                      <w:lang w:val="en-US" w:eastAsia="zh-CN" w:bidi="ar"/>
                    </w:rPr>
                    <w:t>加强施工机械、车辆</w:t>
                  </w:r>
                  <w:r>
                    <w:rPr>
                      <w:rFonts w:hint="eastAsia" w:ascii="Times New Roman" w:hAnsi="Times New Roman" w:eastAsia="宋体" w:cs="宋体"/>
                      <w:color w:val="auto"/>
                      <w:kern w:val="0"/>
                      <w:sz w:val="21"/>
                      <w:szCs w:val="21"/>
                      <w:highlight w:val="none"/>
                      <w:lang w:bidi="ar"/>
                    </w:rPr>
                    <w:t>维护保养，使用正品燃油。</w:t>
                  </w:r>
                  <w:r>
                    <w:rPr>
                      <w:rFonts w:hint="default" w:ascii="Times New Roman" w:hAnsi="Times New Roman" w:cs="Times New Roman"/>
                      <w:b w:val="0"/>
                      <w:bCs w:val="0"/>
                      <w:color w:val="auto"/>
                      <w:sz w:val="21"/>
                      <w:szCs w:val="21"/>
                      <w:highlight w:val="none"/>
                      <w:lang w:val="en-US" w:eastAsia="zh-CN"/>
                    </w:rPr>
                    <w:t>通过采取以上措施，项目粉尘排放量较小，对周边大气环境的影响较小。</w:t>
                  </w:r>
                </w:p>
              </w:tc>
              <w:tc>
                <w:tcPr>
                  <w:tcW w:w="865" w:type="dxa"/>
                  <w:tcBorders>
                    <w:tl2br w:val="nil"/>
                    <w:tr2bl w:val="nil"/>
                  </w:tcBorders>
                  <w:noWrap w:val="0"/>
                  <w:vAlign w:val="center"/>
                </w:tcPr>
                <w:p w14:paraId="3D3C7CD3">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default" w:ascii="Times New Roman" w:hAnsi="Times New Roman" w:eastAsia="宋体" w:cs="Times New Roman"/>
                      <w:b w:val="0"/>
                      <w:bCs w:val="0"/>
                      <w:color w:val="auto"/>
                      <w:sz w:val="21"/>
                      <w:szCs w:val="21"/>
                      <w:highlight w:val="yellow"/>
                      <w:vertAlign w:val="baseline"/>
                      <w:lang w:val="en-US" w:eastAsia="zh-CN"/>
                    </w:rPr>
                  </w:pPr>
                </w:p>
              </w:tc>
            </w:tr>
            <w:tr w14:paraId="534CE9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l2br w:val="nil"/>
                    <w:tr2bl w:val="nil"/>
                  </w:tcBorders>
                  <w:noWrap w:val="0"/>
                  <w:vAlign w:val="center"/>
                </w:tcPr>
                <w:p w14:paraId="16212415">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kern w:val="0"/>
                      <w:sz w:val="21"/>
                      <w:szCs w:val="21"/>
                      <w:highlight w:val="none"/>
                    </w:rPr>
                    <w:t>环境风险防控</w:t>
                  </w:r>
                </w:p>
              </w:tc>
              <w:tc>
                <w:tcPr>
                  <w:tcW w:w="3313" w:type="dxa"/>
                  <w:tcBorders>
                    <w:tl2br w:val="nil"/>
                    <w:tr2bl w:val="nil"/>
                  </w:tcBorders>
                  <w:noWrap w:val="0"/>
                  <w:vAlign w:val="center"/>
                </w:tcPr>
                <w:p w14:paraId="65D35255">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1、坚持分级负责、属地为主、部门协同的环境应急责任原则，健全防范化解突发生态环境事件风险和应急准备责任体系，严格落实企业主体责任。 </w:t>
                  </w:r>
                </w:p>
                <w:p w14:paraId="383D5F08">
                  <w:pPr>
                    <w:keepNext w:val="0"/>
                    <w:keepLines w:val="0"/>
                    <w:pageBreakBefore w:val="0"/>
                    <w:suppressLineNumbers w:val="0"/>
                    <w:kinsoku/>
                    <w:wordWrap/>
                    <w:bidi w:val="0"/>
                    <w:adjustRightInd/>
                    <w:snapToGrid/>
                    <w:spacing w:before="0" w:beforeAutospacing="0" w:after="0" w:afterAutospacing="0"/>
                    <w:ind w:left="0" w:right="0"/>
                    <w:jc w:val="both"/>
                    <w:rPr>
                      <w:rFonts w:hint="default" w:ascii="Times New Roman" w:hAnsi="Times New Roman" w:eastAsia="宋体" w:cs="Times New Roman"/>
                      <w:b w:val="0"/>
                      <w:bCs w:val="0"/>
                      <w:caps w:val="0"/>
                      <w:color w:val="auto"/>
                      <w:sz w:val="21"/>
                      <w:szCs w:val="21"/>
                      <w:highlight w:val="none"/>
                      <w:lang w:val="en-US" w:eastAsia="zh-CN"/>
                    </w:rPr>
                  </w:pPr>
                  <w:r>
                    <w:rPr>
                      <w:rFonts w:hint="eastAsia" w:ascii="Times New Roman" w:hAnsi="Times New Roman" w:eastAsia="宋体" w:cs="Times New Roman"/>
                      <w:b w:val="0"/>
                      <w:bCs w:val="0"/>
                      <w:caps w:val="0"/>
                      <w:color w:val="auto"/>
                      <w:sz w:val="21"/>
                      <w:szCs w:val="21"/>
                      <w:highlight w:val="none"/>
                      <w:lang w:val="en-US" w:eastAsia="zh-CN"/>
                    </w:rPr>
                    <w:t>2、对矿山开采区及周边区域，逐步开展地下水环境状况调查 评估，加强风险管控。</w:t>
                  </w:r>
                </w:p>
              </w:tc>
              <w:tc>
                <w:tcPr>
                  <w:tcW w:w="2665" w:type="dxa"/>
                  <w:tcBorders>
                    <w:tl2br w:val="nil"/>
                    <w:tr2bl w:val="nil"/>
                  </w:tcBorders>
                  <w:noWrap w:val="0"/>
                  <w:vAlign w:val="center"/>
                </w:tcPr>
                <w:p w14:paraId="22D27387">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本项目</w:t>
                  </w:r>
                  <w:r>
                    <w:rPr>
                      <w:rFonts w:hint="eastAsia" w:cs="Times New Roman"/>
                      <w:b w:val="0"/>
                      <w:bCs w:val="0"/>
                      <w:color w:val="auto"/>
                      <w:sz w:val="21"/>
                      <w:szCs w:val="21"/>
                      <w:highlight w:val="none"/>
                      <w:lang w:val="en-US" w:eastAsia="zh-CN"/>
                    </w:rPr>
                    <w:t>建立严格的环境管理制度及操作规程，</w:t>
                  </w:r>
                  <w:r>
                    <w:rPr>
                      <w:rFonts w:hint="eastAsia" w:ascii="Times New Roman" w:hAnsi="Times New Roman" w:eastAsia="宋体" w:cs="Times New Roman"/>
                      <w:color w:val="auto"/>
                      <w:sz w:val="21"/>
                      <w:szCs w:val="21"/>
                      <w:highlight w:val="none"/>
                      <w:lang w:val="en-US" w:eastAsia="zh-CN"/>
                    </w:rPr>
                    <w:t>加强钻孔、注水、注浆等施工风险防范，建立应急处置制度</w:t>
                  </w:r>
                  <w:r>
                    <w:rPr>
                      <w:rFonts w:hint="eastAsia" w:cs="Times New Roman"/>
                      <w:b w:val="0"/>
                      <w:bCs w:val="0"/>
                      <w:color w:val="auto"/>
                      <w:sz w:val="21"/>
                      <w:szCs w:val="21"/>
                      <w:highlight w:val="none"/>
                      <w:lang w:val="en-US" w:eastAsia="zh-CN"/>
                    </w:rPr>
                    <w:t>。</w:t>
                  </w:r>
                </w:p>
              </w:tc>
              <w:tc>
                <w:tcPr>
                  <w:tcW w:w="865" w:type="dxa"/>
                  <w:tcBorders>
                    <w:tl2br w:val="nil"/>
                    <w:tr2bl w:val="nil"/>
                  </w:tcBorders>
                  <w:noWrap w:val="0"/>
                  <w:vAlign w:val="center"/>
                </w:tcPr>
                <w:p w14:paraId="5E3BCFDD">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default" w:ascii="Times New Roman" w:hAnsi="Times New Roman" w:eastAsia="宋体" w:cs="Times New Roman"/>
                      <w:b w:val="0"/>
                      <w:bCs w:val="0"/>
                      <w:color w:val="auto"/>
                      <w:sz w:val="21"/>
                      <w:szCs w:val="21"/>
                      <w:highlight w:val="yellow"/>
                      <w:vertAlign w:val="baseline"/>
                      <w:lang w:val="en-US" w:eastAsia="zh-CN"/>
                    </w:rPr>
                  </w:pPr>
                </w:p>
              </w:tc>
            </w:tr>
            <w:tr w14:paraId="708E533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l2br w:val="nil"/>
                    <w:tr2bl w:val="nil"/>
                  </w:tcBorders>
                  <w:noWrap w:val="0"/>
                  <w:vAlign w:val="center"/>
                </w:tcPr>
                <w:p w14:paraId="3A97AFE4">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kern w:val="0"/>
                      <w:sz w:val="21"/>
                      <w:szCs w:val="21"/>
                      <w:highlight w:val="none"/>
                    </w:rPr>
                    <w:t>资源利用效率</w:t>
                  </w:r>
                </w:p>
              </w:tc>
              <w:tc>
                <w:tcPr>
                  <w:tcW w:w="3313" w:type="dxa"/>
                  <w:tcBorders>
                    <w:tl2br w:val="nil"/>
                    <w:tr2bl w:val="nil"/>
                  </w:tcBorders>
                  <w:noWrap w:val="0"/>
                  <w:vAlign w:val="center"/>
                </w:tcPr>
                <w:p w14:paraId="28B6E298">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1、优化采煤、洗选技术和工艺，加强综合利用，减少煤矸石、煤泥等固体废弃物的排放。 </w:t>
                  </w:r>
                </w:p>
                <w:p w14:paraId="025AE4E5">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2、加大对煤矸石、矿井水等开采废弃物的治理力度，推广应用矿井水净化处理和综合循环利用技术，逐步实现废弃物零排放、零污染。 </w:t>
                  </w:r>
                </w:p>
                <w:p w14:paraId="1CC8639B">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3、煤矿生产、生活用水应优先使用矿井水，条件具备的地区应主要采用矿井水作为第一水源。积极探索矿井水排放量较大的矿区矿井水产业化发展模式，推动矿井水产业化进程。 </w:t>
                  </w:r>
                </w:p>
                <w:p w14:paraId="48666AD2">
                  <w:pPr>
                    <w:keepNext w:val="0"/>
                    <w:keepLines w:val="0"/>
                    <w:pageBreakBefore w:val="0"/>
                    <w:suppressLineNumbers w:val="0"/>
                    <w:kinsoku/>
                    <w:wordWrap/>
                    <w:bidi w:val="0"/>
                    <w:adjustRightInd/>
                    <w:snapToGrid/>
                    <w:spacing w:before="0" w:beforeAutospacing="0" w:after="0" w:afterAutospacing="0"/>
                    <w:ind w:left="0" w:right="0"/>
                    <w:jc w:val="both"/>
                    <w:rPr>
                      <w:rFonts w:hint="eastAsia" w:ascii="Times New Roman" w:hAnsi="Times New Roman" w:eastAsia="宋体" w:cs="Times New Roman"/>
                      <w:b w:val="0"/>
                      <w:bCs w:val="0"/>
                      <w:caps w:val="0"/>
                      <w:color w:val="auto"/>
                      <w:sz w:val="21"/>
                      <w:szCs w:val="21"/>
                      <w:highlight w:val="none"/>
                    </w:rPr>
                  </w:pPr>
                  <w:r>
                    <w:rPr>
                      <w:rFonts w:hint="eastAsia" w:ascii="Times New Roman" w:hAnsi="Times New Roman" w:eastAsia="宋体" w:cs="Times New Roman"/>
                      <w:b w:val="0"/>
                      <w:bCs w:val="0"/>
                      <w:caps w:val="0"/>
                      <w:color w:val="auto"/>
                      <w:sz w:val="21"/>
                      <w:szCs w:val="21"/>
                      <w:highlight w:val="none"/>
                      <w:lang w:val="en-US" w:eastAsia="zh-CN"/>
                    </w:rPr>
                    <w:t xml:space="preserve">4、矿（坑）井涌水在矿区充分自用前提下，余水可作为生态等用水，其水质应达到相应标准要求。 </w:t>
                  </w:r>
                </w:p>
                <w:p w14:paraId="0AE8FA70">
                  <w:pPr>
                    <w:keepNext w:val="0"/>
                    <w:keepLines w:val="0"/>
                    <w:pageBreakBefore w:val="0"/>
                    <w:suppressLineNumbers w:val="0"/>
                    <w:kinsoku/>
                    <w:wordWrap/>
                    <w:bidi w:val="0"/>
                    <w:adjustRightInd/>
                    <w:snapToGrid/>
                    <w:spacing w:before="0" w:beforeAutospacing="0" w:after="0" w:afterAutospacing="0"/>
                    <w:ind w:left="0" w:right="0"/>
                    <w:jc w:val="both"/>
                    <w:rPr>
                      <w:rFonts w:hint="default" w:ascii="Times New Roman" w:hAnsi="Times New Roman" w:eastAsia="宋体" w:cs="Times New Roman"/>
                      <w:b w:val="0"/>
                      <w:bCs w:val="0"/>
                      <w:caps w:val="0"/>
                      <w:color w:val="auto"/>
                      <w:sz w:val="21"/>
                      <w:szCs w:val="21"/>
                      <w:highlight w:val="none"/>
                      <w:lang w:val="en-US" w:eastAsia="zh-CN"/>
                    </w:rPr>
                  </w:pPr>
                  <w:r>
                    <w:rPr>
                      <w:rFonts w:hint="eastAsia" w:ascii="Times New Roman" w:hAnsi="Times New Roman" w:eastAsia="宋体" w:cs="Times New Roman"/>
                      <w:b w:val="0"/>
                      <w:bCs w:val="0"/>
                      <w:caps w:val="0"/>
                      <w:color w:val="auto"/>
                      <w:sz w:val="21"/>
                      <w:szCs w:val="21"/>
                      <w:highlight w:val="none"/>
                      <w:lang w:val="en-US" w:eastAsia="zh-CN"/>
                    </w:rPr>
                    <w:t>5、加强煤矿瓦斯抽采利用，减少温室气体排放。矿井抽排的高浓度瓦斯（甲烷体积分数≥ 30%）应进行综合利用；鼓励利用低浓度瓦斯发电。</w:t>
                  </w:r>
                </w:p>
              </w:tc>
              <w:tc>
                <w:tcPr>
                  <w:tcW w:w="2665" w:type="dxa"/>
                  <w:tcBorders>
                    <w:tl2br w:val="nil"/>
                    <w:tr2bl w:val="nil"/>
                  </w:tcBorders>
                  <w:noWrap w:val="0"/>
                  <w:vAlign w:val="center"/>
                </w:tcPr>
                <w:p w14:paraId="59AAEE68">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rPr>
                    <w:t>本项目</w:t>
                  </w:r>
                  <w:r>
                    <w:rPr>
                      <w:rFonts w:hint="eastAsia" w:cs="Times New Roman"/>
                      <w:b w:val="0"/>
                      <w:bCs w:val="0"/>
                      <w:color w:val="auto"/>
                      <w:sz w:val="21"/>
                      <w:szCs w:val="21"/>
                      <w:highlight w:val="none"/>
                      <w:lang w:val="en-US" w:eastAsia="zh-CN"/>
                    </w:rPr>
                    <w:t>为煤田火区灭火治理工程，灭火工程用水水源为康龙煤矿矿界外水坑；生活用水依托康龙煤矿</w:t>
                  </w:r>
                  <w:r>
                    <w:rPr>
                      <w:rFonts w:hint="eastAsia" w:cs="Times New Roman"/>
                      <w:color w:val="auto"/>
                      <w:spacing w:val="-1"/>
                      <w:kern w:val="2"/>
                      <w:sz w:val="21"/>
                      <w:szCs w:val="21"/>
                      <w:highlight w:val="none"/>
                      <w:lang w:val="en-US" w:eastAsia="zh-CN" w:bidi="ar-SA"/>
                    </w:rPr>
                    <w:t>行政福利生活场地</w:t>
                  </w:r>
                  <w:r>
                    <w:rPr>
                      <w:rFonts w:hint="eastAsia" w:cs="Times New Roman"/>
                      <w:color w:val="auto"/>
                      <w:kern w:val="0"/>
                      <w:sz w:val="21"/>
                      <w:szCs w:val="21"/>
                      <w:highlight w:val="none"/>
                      <w:lang w:val="en-US" w:eastAsia="zh-CN"/>
                    </w:rPr>
                    <w:t>已建生活供水系统，</w:t>
                  </w:r>
                  <w:r>
                    <w:rPr>
                      <w:rFonts w:hint="default" w:ascii="Times New Roman" w:hAnsi="Times New Roman" w:eastAsia="宋体" w:cs="Times New Roman"/>
                      <w:b w:val="0"/>
                      <w:bCs w:val="0"/>
                      <w:color w:val="auto"/>
                      <w:sz w:val="21"/>
                      <w:szCs w:val="21"/>
                      <w:highlight w:val="none"/>
                      <w:vertAlign w:val="baseline"/>
                      <w:lang w:val="en-US" w:eastAsia="zh-CN"/>
                    </w:rPr>
                    <w:t>本项目严格</w:t>
                  </w:r>
                  <w:r>
                    <w:rPr>
                      <w:rFonts w:hint="eastAsia" w:ascii="Times New Roman" w:hAnsi="Times New Roman" w:cs="Times New Roman"/>
                      <w:b w:val="0"/>
                      <w:bCs w:val="0"/>
                      <w:color w:val="auto"/>
                      <w:sz w:val="21"/>
                      <w:szCs w:val="21"/>
                      <w:highlight w:val="none"/>
                      <w:vertAlign w:val="baseline"/>
                      <w:lang w:val="en-US" w:eastAsia="zh-CN"/>
                    </w:rPr>
                    <w:t>落实用水总量和强度控制要求。</w:t>
                  </w:r>
                  <w:r>
                    <w:rPr>
                      <w:rFonts w:hint="eastAsia" w:cs="Times New Roman"/>
                      <w:color w:val="auto"/>
                      <w:sz w:val="21"/>
                      <w:szCs w:val="21"/>
                      <w:highlight w:val="none"/>
                      <w:lang w:val="en-US" w:eastAsia="zh-CN"/>
                    </w:rPr>
                    <w:t>施工废水排入施工沉淀池收集后循环使用</w:t>
                  </w:r>
                  <w:r>
                    <w:rPr>
                      <w:rFonts w:hint="eastAsia" w:ascii="Times New Roman" w:hAnsi="Times New Roman" w:eastAsia="宋体" w:cs="Times New Roman"/>
                      <w:color w:val="auto"/>
                      <w:sz w:val="21"/>
                      <w:szCs w:val="21"/>
                      <w:highlight w:val="none"/>
                      <w:lang w:val="en-US" w:eastAsia="zh-CN"/>
                    </w:rPr>
                    <w:t>，不外排</w:t>
                  </w:r>
                  <w:r>
                    <w:rPr>
                      <w:rFonts w:hint="eastAsia" w:cs="Times New Roman"/>
                      <w:color w:val="auto"/>
                      <w:sz w:val="21"/>
                      <w:szCs w:val="21"/>
                      <w:highlight w:val="none"/>
                      <w:lang w:val="en-US" w:eastAsia="zh-CN"/>
                    </w:rPr>
                    <w:t>；不设施工营地，施工人员生活污水</w:t>
                  </w:r>
                  <w:r>
                    <w:rPr>
                      <w:rFonts w:hint="eastAsia" w:ascii="Times New Roman" w:hAnsi="Times New Roman" w:eastAsia="宋体" w:cs="Times New Roman"/>
                      <w:color w:val="auto"/>
                      <w:sz w:val="21"/>
                      <w:szCs w:val="21"/>
                      <w:highlight w:val="none"/>
                      <w:lang w:val="en-US" w:eastAsia="zh-CN"/>
                    </w:rPr>
                    <w:t>依托</w:t>
                  </w:r>
                  <w:r>
                    <w:rPr>
                      <w:rFonts w:hint="eastAsia" w:cs="Times New Roman"/>
                      <w:color w:val="auto"/>
                      <w:kern w:val="0"/>
                      <w:sz w:val="21"/>
                      <w:szCs w:val="21"/>
                      <w:highlight w:val="none"/>
                      <w:lang w:val="en-US" w:eastAsia="zh-CN"/>
                    </w:rPr>
                    <w:t>康龙煤矿</w:t>
                  </w:r>
                  <w:r>
                    <w:rPr>
                      <w:rFonts w:hint="eastAsia" w:cs="Times New Roman"/>
                      <w:color w:val="auto"/>
                      <w:spacing w:val="-1"/>
                      <w:kern w:val="2"/>
                      <w:sz w:val="21"/>
                      <w:szCs w:val="21"/>
                      <w:highlight w:val="none"/>
                      <w:lang w:val="en-US" w:eastAsia="zh-CN" w:bidi="ar-SA"/>
                    </w:rPr>
                    <w:t>行政福利生活场地</w:t>
                  </w:r>
                  <w:r>
                    <w:rPr>
                      <w:rFonts w:hint="eastAsia" w:cs="Times New Roman"/>
                      <w:color w:val="auto"/>
                      <w:kern w:val="0"/>
                      <w:sz w:val="21"/>
                      <w:szCs w:val="21"/>
                      <w:highlight w:val="none"/>
                      <w:lang w:val="en-US" w:eastAsia="zh-CN"/>
                    </w:rPr>
                    <w:t>已建地埋式污水处理设备处理后用于绿化</w:t>
                  </w: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cs="Times New Roman"/>
                      <w:b w:val="0"/>
                      <w:bCs w:val="0"/>
                      <w:color w:val="auto"/>
                      <w:sz w:val="21"/>
                      <w:szCs w:val="21"/>
                      <w:highlight w:val="none"/>
                      <w:vertAlign w:val="baseline"/>
                      <w:lang w:val="en-US" w:eastAsia="zh-CN"/>
                    </w:rPr>
                    <w:t>项目煤田火区灭火治理工程</w:t>
                  </w:r>
                  <w:r>
                    <w:rPr>
                      <w:rFonts w:hint="eastAsia" w:ascii="Times New Roman" w:hAnsi="Times New Roman" w:eastAsia="宋体" w:cs="Times New Roman"/>
                      <w:b w:val="0"/>
                      <w:bCs w:val="0"/>
                      <w:caps w:val="0"/>
                      <w:color w:val="auto"/>
                      <w:spacing w:val="4"/>
                      <w:kern w:val="2"/>
                      <w:sz w:val="21"/>
                      <w:szCs w:val="21"/>
                      <w:highlight w:val="none"/>
                      <w:lang w:val="en-US" w:eastAsia="zh-CN" w:bidi="ar-SA"/>
                    </w:rPr>
                    <w:t>，</w:t>
                  </w:r>
                  <w:r>
                    <w:rPr>
                      <w:rFonts w:hint="default" w:ascii="Times New Roman" w:hAnsi="Times New Roman" w:eastAsia="宋体"/>
                      <w:b w:val="0"/>
                      <w:bCs w:val="0"/>
                      <w:color w:val="auto"/>
                      <w:sz w:val="21"/>
                      <w:szCs w:val="21"/>
                      <w:highlight w:val="none"/>
                    </w:rPr>
                    <w:t>不涉及</w:t>
                  </w:r>
                  <w:r>
                    <w:rPr>
                      <w:rFonts w:hint="eastAsia" w:ascii="Times New Roman" w:hAnsi="Times New Roman"/>
                      <w:b w:val="0"/>
                      <w:bCs w:val="0"/>
                      <w:color w:val="auto"/>
                      <w:sz w:val="21"/>
                      <w:szCs w:val="21"/>
                      <w:highlight w:val="none"/>
                      <w:lang w:val="en-US" w:eastAsia="zh-CN"/>
                    </w:rPr>
                    <w:t>煤矿瓦斯抽采利用</w:t>
                  </w:r>
                  <w:r>
                    <w:rPr>
                      <w:rFonts w:hint="eastAsia" w:ascii="Times New Roman" w:hAnsi="Times New Roman" w:eastAsia="宋体"/>
                      <w:b w:val="0"/>
                      <w:bCs w:val="0"/>
                      <w:color w:val="auto"/>
                      <w:sz w:val="21"/>
                      <w:szCs w:val="21"/>
                      <w:highlight w:val="none"/>
                      <w:lang w:eastAsia="zh-CN"/>
                    </w:rPr>
                    <w:t>。</w:t>
                  </w:r>
                </w:p>
              </w:tc>
              <w:tc>
                <w:tcPr>
                  <w:tcW w:w="865" w:type="dxa"/>
                  <w:tcBorders>
                    <w:tl2br w:val="nil"/>
                    <w:tr2bl w:val="nil"/>
                  </w:tcBorders>
                  <w:noWrap w:val="0"/>
                  <w:vAlign w:val="center"/>
                </w:tcPr>
                <w:p w14:paraId="5DEA31FC">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default" w:ascii="Times New Roman" w:hAnsi="Times New Roman" w:eastAsia="宋体" w:cs="Times New Roman"/>
                      <w:b w:val="0"/>
                      <w:bCs w:val="0"/>
                      <w:color w:val="auto"/>
                      <w:sz w:val="21"/>
                      <w:szCs w:val="21"/>
                      <w:highlight w:val="yellow"/>
                      <w:vertAlign w:val="baseline"/>
                      <w:lang w:val="en-US" w:eastAsia="zh-CN"/>
                    </w:rPr>
                  </w:pPr>
                </w:p>
              </w:tc>
            </w:tr>
          </w:tbl>
          <w:p w14:paraId="7F56068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auto"/>
              <w:rPr>
                <w:rFonts w:hint="eastAsia" w:ascii="Times New Roman" w:hAnsi="Times New Roman" w:eastAsia="宋体" w:cs="Times New Roman"/>
                <w:b/>
                <w:bCs/>
                <w:caps w:val="0"/>
                <w:color w:val="auto"/>
                <w:sz w:val="24"/>
                <w:szCs w:val="24"/>
                <w:highlight w:val="none"/>
                <w:lang w:val="en-US" w:eastAsia="zh-CN"/>
              </w:rPr>
            </w:pPr>
            <w:r>
              <w:rPr>
                <w:rFonts w:hint="eastAsia" w:cs="Times New Roman"/>
                <w:b/>
                <w:bCs/>
                <w:color w:val="auto"/>
                <w:sz w:val="24"/>
                <w:szCs w:val="24"/>
                <w:lang w:val="en-US" w:eastAsia="zh-CN"/>
              </w:rPr>
              <w:t>4</w:t>
            </w:r>
            <w:r>
              <w:rPr>
                <w:rFonts w:hint="eastAsia" w:ascii="Times New Roman" w:hAnsi="Times New Roman" w:cs="Times New Roman"/>
                <w:b/>
                <w:bCs/>
                <w:color w:val="auto"/>
                <w:sz w:val="24"/>
                <w:szCs w:val="24"/>
                <w:lang w:val="en-US" w:eastAsia="zh-CN"/>
              </w:rPr>
              <w:t>、与</w:t>
            </w:r>
            <w:r>
              <w:rPr>
                <w:rFonts w:hint="default" w:ascii="Times New Roman" w:hAnsi="Times New Roman" w:cs="Times New Roman"/>
                <w:b/>
                <w:bCs/>
                <w:color w:val="auto"/>
                <w:sz w:val="24"/>
                <w:szCs w:val="24"/>
              </w:rPr>
              <w:t>《空气质量持续改善行动计划》</w:t>
            </w:r>
            <w:r>
              <w:rPr>
                <w:rFonts w:hint="eastAsia" w:ascii="Times New Roman" w:hAnsi="Times New Roman" w:eastAsia="宋体"/>
                <w:b/>
                <w:bCs/>
                <w:caps w:val="0"/>
                <w:color w:val="auto"/>
                <w:sz w:val="24"/>
                <w:szCs w:val="24"/>
                <w:highlight w:val="none"/>
              </w:rPr>
              <w:t>符合性</w:t>
            </w:r>
            <w:r>
              <w:rPr>
                <w:rFonts w:hint="default" w:ascii="Times New Roman" w:hAnsi="Times New Roman" w:eastAsia="宋体"/>
                <w:b/>
                <w:bCs/>
                <w:caps w:val="0"/>
                <w:color w:val="auto"/>
                <w:sz w:val="24"/>
                <w:szCs w:val="24"/>
                <w:highlight w:val="none"/>
              </w:rPr>
              <w:t>分析</w:t>
            </w:r>
          </w:p>
          <w:p w14:paraId="182E8A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本项目与《</w:t>
            </w:r>
            <w:r>
              <w:rPr>
                <w:rFonts w:hint="default" w:ascii="Times New Roman" w:hAnsi="Times New Roman" w:eastAsia="宋体" w:cs="Times New Roman"/>
                <w:b w:val="0"/>
                <w:bCs w:val="0"/>
                <w:caps w:val="0"/>
                <w:color w:val="auto"/>
                <w:sz w:val="24"/>
                <w:szCs w:val="24"/>
                <w:highlight w:val="none"/>
                <w:lang w:val="en-US" w:eastAsia="zh-CN"/>
              </w:rPr>
              <w:t>空气质量持续改善行动计划</w:t>
            </w:r>
            <w:r>
              <w:rPr>
                <w:rFonts w:hint="eastAsia" w:ascii="Times New Roman" w:hAnsi="Times New Roman" w:eastAsia="宋体" w:cs="Times New Roman"/>
                <w:b w:val="0"/>
                <w:bCs w:val="0"/>
                <w:caps w:val="0"/>
                <w:color w:val="auto"/>
                <w:sz w:val="24"/>
                <w:szCs w:val="24"/>
                <w:highlight w:val="none"/>
                <w:lang w:val="en-US" w:eastAsia="zh-CN"/>
              </w:rPr>
              <w:t>》（国发〔2023〕24号）</w:t>
            </w:r>
            <w:r>
              <w:rPr>
                <w:rFonts w:hint="eastAsia" w:cs="Times New Roman"/>
                <w:b w:val="0"/>
                <w:bCs w:val="0"/>
                <w:caps w:val="0"/>
                <w:color w:val="auto"/>
                <w:sz w:val="24"/>
                <w:szCs w:val="24"/>
                <w:highlight w:val="none"/>
                <w:lang w:val="en-US" w:eastAsia="zh-CN"/>
              </w:rPr>
              <w:t>提出“</w:t>
            </w:r>
            <w:r>
              <w:rPr>
                <w:rFonts w:hint="eastAsia" w:ascii="Times New Roman" w:hAnsi="Times New Roman" w:eastAsia="宋体" w:cs="Times New Roman"/>
                <w:b w:val="0"/>
                <w:bCs w:val="0"/>
                <w:caps w:val="0"/>
                <w:color w:val="auto"/>
                <w:sz w:val="24"/>
                <w:szCs w:val="24"/>
                <w:highlight w:val="none"/>
                <w:lang w:val="en-US" w:eastAsia="zh-CN"/>
              </w:rPr>
              <w:t>推进矿山生态环境综合整治。新建矿山原则上要同步建设铁路专用线或采用其他清洁运输方式。到2025年，京津冀及周边地区原则上不再新建露天矿山（省级矿产资源规划确定的重点开采区或经安全论证不宜采用地下开采方式的除外）。对限期整改仍不达标的矿山，根据安全生产、水土保持、生态环境等要求依法关闭</w:t>
            </w:r>
            <w:r>
              <w:rPr>
                <w:rFonts w:hint="eastAsia" w:cs="Times New Roman"/>
                <w:b w:val="0"/>
                <w:bCs w:val="0"/>
                <w:caps w:val="0"/>
                <w:color w:val="auto"/>
                <w:sz w:val="24"/>
                <w:szCs w:val="24"/>
                <w:highlight w:val="none"/>
                <w:lang w:val="en-US" w:eastAsia="zh-CN"/>
              </w:rPr>
              <w:t>”</w:t>
            </w:r>
            <w:r>
              <w:rPr>
                <w:rFonts w:hint="eastAsia" w:ascii="Times New Roman" w:hAnsi="Times New Roman" w:eastAsia="宋体" w:cs="Times New Roman"/>
                <w:b w:val="0"/>
                <w:bCs w:val="0"/>
                <w:caps w:val="0"/>
                <w:color w:val="auto"/>
                <w:sz w:val="24"/>
                <w:szCs w:val="24"/>
                <w:highlight w:val="none"/>
                <w:lang w:val="en-US" w:eastAsia="zh-CN"/>
              </w:rPr>
              <w:t>。</w:t>
            </w:r>
          </w:p>
          <w:p w14:paraId="10154B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 w:val="0"/>
                <w:bCs w:val="0"/>
                <w:snapToGrid/>
                <w:color w:val="auto"/>
                <w:kern w:val="2"/>
                <w:sz w:val="24"/>
                <w:szCs w:val="24"/>
                <w:lang w:val="en-US" w:eastAsia="zh-CN"/>
              </w:rPr>
            </w:pPr>
            <w:r>
              <w:rPr>
                <w:rFonts w:hint="eastAsia" w:ascii="Times New Roman" w:hAnsi="Times New Roman" w:eastAsia="宋体" w:cs="Times New Roman"/>
                <w:b w:val="0"/>
                <w:bCs w:val="0"/>
                <w:snapToGrid/>
                <w:color w:val="auto"/>
                <w:kern w:val="2"/>
                <w:sz w:val="24"/>
                <w:szCs w:val="24"/>
                <w:lang w:val="en-US" w:eastAsia="zh-CN"/>
              </w:rPr>
              <w:t>本项目</w:t>
            </w:r>
            <w:r>
              <w:rPr>
                <w:rFonts w:hint="eastAsia" w:cs="Times New Roman"/>
                <w:b w:val="0"/>
                <w:bCs w:val="0"/>
                <w:snapToGrid/>
                <w:color w:val="auto"/>
                <w:kern w:val="2"/>
                <w:sz w:val="24"/>
                <w:szCs w:val="24"/>
                <w:lang w:val="en-US" w:eastAsia="zh-CN"/>
              </w:rPr>
              <w:t>为煤田火区治理工程，</w:t>
            </w:r>
            <w:r>
              <w:rPr>
                <w:rFonts w:hint="eastAsia" w:ascii="宋体" w:hAnsi="宋体" w:eastAsia="宋体" w:cs="宋体"/>
                <w:color w:val="000000"/>
                <w:kern w:val="0"/>
                <w:sz w:val="24"/>
                <w:szCs w:val="24"/>
                <w:lang w:val="en-US" w:eastAsia="zh-CN" w:bidi="ar"/>
              </w:rPr>
              <w:t>通过对已有火区展开治理工作，可改善阜康西沙沟煤田火区和周边的环境，减少对植被、土壤和水体的破坏，进一步保护当地生态环境，</w:t>
            </w:r>
            <w:r>
              <w:rPr>
                <w:rFonts w:hint="eastAsia" w:ascii="Times New Roman" w:hAnsi="Times New Roman" w:eastAsia="宋体" w:cs="Times New Roman"/>
                <w:b w:val="0"/>
                <w:bCs w:val="0"/>
                <w:snapToGrid/>
                <w:color w:val="auto"/>
                <w:kern w:val="2"/>
                <w:sz w:val="24"/>
                <w:szCs w:val="24"/>
                <w:lang w:val="en-US" w:eastAsia="zh-CN"/>
              </w:rPr>
              <w:t>符合</w:t>
            </w:r>
            <w:r>
              <w:rPr>
                <w:rFonts w:hint="eastAsia" w:ascii="Times New Roman" w:hAnsi="Times New Roman" w:eastAsia="宋体" w:cs="Times New Roman"/>
                <w:b w:val="0"/>
                <w:bCs w:val="0"/>
                <w:caps w:val="0"/>
                <w:color w:val="auto"/>
                <w:sz w:val="24"/>
                <w:szCs w:val="24"/>
                <w:highlight w:val="none"/>
                <w:lang w:val="en-US" w:eastAsia="zh-CN"/>
              </w:rPr>
              <w:t>《</w:t>
            </w:r>
            <w:r>
              <w:rPr>
                <w:rFonts w:hint="default" w:ascii="Times New Roman" w:hAnsi="Times New Roman" w:eastAsia="宋体" w:cs="Times New Roman"/>
                <w:b w:val="0"/>
                <w:bCs w:val="0"/>
                <w:caps w:val="0"/>
                <w:color w:val="auto"/>
                <w:sz w:val="24"/>
                <w:szCs w:val="24"/>
                <w:highlight w:val="none"/>
                <w:lang w:val="en-US" w:eastAsia="zh-CN"/>
              </w:rPr>
              <w:t>空气质量持续改善行动计划</w:t>
            </w:r>
            <w:r>
              <w:rPr>
                <w:rFonts w:hint="eastAsia" w:ascii="Times New Roman" w:hAnsi="Times New Roman" w:eastAsia="宋体" w:cs="Times New Roman"/>
                <w:b w:val="0"/>
                <w:bCs w:val="0"/>
                <w:caps w:val="0"/>
                <w:color w:val="auto"/>
                <w:sz w:val="24"/>
                <w:szCs w:val="24"/>
                <w:highlight w:val="none"/>
                <w:lang w:val="en-US" w:eastAsia="zh-CN"/>
              </w:rPr>
              <w:t>》（国发〔2023〕24号）</w:t>
            </w:r>
            <w:r>
              <w:rPr>
                <w:rFonts w:hint="eastAsia" w:ascii="Times New Roman" w:hAnsi="Times New Roman" w:eastAsia="宋体" w:cs="Times New Roman"/>
                <w:b w:val="0"/>
                <w:bCs w:val="0"/>
                <w:snapToGrid/>
                <w:color w:val="auto"/>
                <w:kern w:val="2"/>
                <w:sz w:val="24"/>
                <w:szCs w:val="24"/>
                <w:lang w:val="en-US" w:eastAsia="zh-CN"/>
              </w:rPr>
              <w:t>相关要求。</w:t>
            </w:r>
          </w:p>
          <w:p w14:paraId="112ED3DE">
            <w:pPr>
              <w:pStyle w:val="101"/>
              <w:keepNext w:val="0"/>
              <w:keepLines w:val="0"/>
              <w:pageBreakBefore w:val="0"/>
              <w:widowControl w:val="0"/>
              <w:suppressLineNumbers w:val="0"/>
              <w:tabs>
                <w:tab w:val="left" w:pos="4584"/>
              </w:tabs>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baseline"/>
              <w:rPr>
                <w:rFonts w:hint="eastAsia"/>
                <w:b/>
                <w:bCs/>
                <w:snapToGrid/>
                <w:color w:val="auto"/>
                <w:kern w:val="2"/>
                <w:sz w:val="24"/>
                <w:szCs w:val="24"/>
                <w:lang w:val="en-US" w:eastAsia="zh-CN"/>
              </w:rPr>
            </w:pPr>
          </w:p>
          <w:p w14:paraId="69D86B40">
            <w:pPr>
              <w:pStyle w:val="101"/>
              <w:keepNext w:val="0"/>
              <w:keepLines w:val="0"/>
              <w:pageBreakBefore w:val="0"/>
              <w:widowControl w:val="0"/>
              <w:suppressLineNumbers w:val="0"/>
              <w:tabs>
                <w:tab w:val="left" w:pos="4584"/>
              </w:tabs>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baseline"/>
              <w:rPr>
                <w:rFonts w:hint="eastAsia"/>
                <w:b/>
                <w:bCs/>
                <w:snapToGrid/>
                <w:color w:val="auto"/>
                <w:kern w:val="2"/>
                <w:sz w:val="24"/>
                <w:szCs w:val="24"/>
                <w:lang w:val="en-US" w:eastAsia="zh-CN"/>
              </w:rPr>
            </w:pPr>
          </w:p>
          <w:p w14:paraId="03CA9D07">
            <w:pPr>
              <w:pStyle w:val="101"/>
              <w:keepNext w:val="0"/>
              <w:keepLines w:val="0"/>
              <w:pageBreakBefore w:val="0"/>
              <w:widowControl w:val="0"/>
              <w:suppressLineNumbers w:val="0"/>
              <w:tabs>
                <w:tab w:val="left" w:pos="4584"/>
              </w:tabs>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baseline"/>
              <w:rPr>
                <w:rFonts w:hint="eastAsia"/>
                <w:b/>
                <w:bCs/>
                <w:snapToGrid/>
                <w:color w:val="auto"/>
                <w:kern w:val="2"/>
                <w:sz w:val="24"/>
                <w:szCs w:val="24"/>
                <w:lang w:val="en-US" w:eastAsia="zh-CN"/>
              </w:rPr>
            </w:pPr>
          </w:p>
          <w:p w14:paraId="4BDD875E">
            <w:pPr>
              <w:pStyle w:val="101"/>
              <w:keepNext w:val="0"/>
              <w:keepLines w:val="0"/>
              <w:pageBreakBefore w:val="0"/>
              <w:widowControl w:val="0"/>
              <w:suppressLineNumbers w:val="0"/>
              <w:tabs>
                <w:tab w:val="left" w:pos="4584"/>
              </w:tabs>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baseline"/>
              <w:rPr>
                <w:rFonts w:hint="default"/>
                <w:b/>
                <w:bCs/>
                <w:snapToGrid/>
                <w:color w:val="auto"/>
                <w:kern w:val="2"/>
                <w:sz w:val="24"/>
                <w:szCs w:val="24"/>
              </w:rPr>
            </w:pPr>
            <w:r>
              <w:rPr>
                <w:rFonts w:hint="eastAsia"/>
                <w:b/>
                <w:bCs/>
                <w:snapToGrid/>
                <w:color w:val="auto"/>
                <w:kern w:val="2"/>
                <w:sz w:val="24"/>
                <w:szCs w:val="24"/>
                <w:lang w:val="en-US" w:eastAsia="zh-CN"/>
              </w:rPr>
              <w:t>5、</w:t>
            </w:r>
            <w:r>
              <w:rPr>
                <w:rFonts w:hint="default"/>
                <w:b/>
                <w:bCs/>
                <w:snapToGrid/>
                <w:color w:val="auto"/>
                <w:kern w:val="2"/>
                <w:sz w:val="24"/>
                <w:szCs w:val="24"/>
              </w:rPr>
              <w:t>与《新疆维吾尔自治区</w:t>
            </w:r>
            <w:r>
              <w:rPr>
                <w:rFonts w:hint="eastAsia"/>
                <w:b/>
                <w:bCs/>
                <w:snapToGrid/>
                <w:color w:val="auto"/>
                <w:kern w:val="2"/>
                <w:sz w:val="24"/>
                <w:szCs w:val="24"/>
                <w:lang w:val="en-US" w:eastAsia="zh-CN"/>
              </w:rPr>
              <w:t>环境保护</w:t>
            </w:r>
            <w:r>
              <w:rPr>
                <w:rFonts w:hint="default"/>
                <w:b/>
                <w:bCs/>
                <w:snapToGrid/>
                <w:color w:val="auto"/>
                <w:kern w:val="2"/>
                <w:sz w:val="24"/>
                <w:szCs w:val="24"/>
              </w:rPr>
              <w:t>条例》符合性</w:t>
            </w:r>
          </w:p>
          <w:p w14:paraId="65EE7BB9">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rPr>
                <w:rFonts w:hint="default" w:ascii="Times New Roman" w:hAnsi="Times New Roman" w:eastAsia="宋体" w:cs="Times New Roman"/>
                <w:b w:val="0"/>
                <w:bCs w:val="0"/>
                <w:caps w:val="0"/>
                <w:color w:val="auto"/>
                <w:sz w:val="24"/>
                <w:highlight w:val="none"/>
                <w:lang w:val="en-US" w:eastAsia="zh-CN"/>
              </w:rPr>
            </w:pPr>
            <w:r>
              <w:rPr>
                <w:rFonts w:hint="eastAsia" w:ascii="Times New Roman" w:hAnsi="Times New Roman" w:eastAsia="宋体" w:cs="Times New Roman"/>
                <w:b w:val="0"/>
                <w:bCs w:val="0"/>
                <w:caps w:val="0"/>
                <w:color w:val="auto"/>
                <w:sz w:val="24"/>
                <w:highlight w:val="none"/>
                <w:lang w:val="en-US" w:eastAsia="zh-CN"/>
              </w:rPr>
              <w:t>本项目与《</w:t>
            </w:r>
            <w:r>
              <w:rPr>
                <w:rFonts w:hint="default"/>
                <w:b w:val="0"/>
                <w:bCs w:val="0"/>
                <w:snapToGrid/>
                <w:color w:val="auto"/>
                <w:kern w:val="2"/>
                <w:sz w:val="24"/>
                <w:szCs w:val="24"/>
              </w:rPr>
              <w:t>新疆维吾尔自治区</w:t>
            </w:r>
            <w:r>
              <w:rPr>
                <w:rFonts w:hint="eastAsia"/>
                <w:b w:val="0"/>
                <w:bCs w:val="0"/>
                <w:snapToGrid/>
                <w:color w:val="auto"/>
                <w:kern w:val="2"/>
                <w:sz w:val="24"/>
                <w:szCs w:val="24"/>
                <w:lang w:val="en-US" w:eastAsia="zh-CN"/>
              </w:rPr>
              <w:t>环境保护</w:t>
            </w:r>
            <w:r>
              <w:rPr>
                <w:rFonts w:hint="default"/>
                <w:b w:val="0"/>
                <w:bCs w:val="0"/>
                <w:snapToGrid/>
                <w:color w:val="auto"/>
                <w:kern w:val="2"/>
                <w:sz w:val="24"/>
                <w:szCs w:val="24"/>
              </w:rPr>
              <w:t>条例</w:t>
            </w:r>
            <w:r>
              <w:rPr>
                <w:rFonts w:hint="eastAsia" w:ascii="Times New Roman" w:hAnsi="Times New Roman" w:eastAsia="宋体" w:cs="Times New Roman"/>
                <w:b w:val="0"/>
                <w:bCs w:val="0"/>
                <w:caps w:val="0"/>
                <w:color w:val="auto"/>
                <w:sz w:val="24"/>
                <w:highlight w:val="none"/>
                <w:lang w:val="en-US" w:eastAsia="zh-CN"/>
              </w:rPr>
              <w:t>》</w:t>
            </w:r>
            <w:r>
              <w:rPr>
                <w:rFonts w:hint="eastAsia" w:ascii="Times New Roman" w:hAnsi="Times New Roman" w:cs="Times New Roman"/>
                <w:b w:val="0"/>
                <w:bCs w:val="0"/>
                <w:caps w:val="0"/>
                <w:color w:val="auto"/>
                <w:sz w:val="24"/>
                <w:highlight w:val="none"/>
                <w:lang w:val="en-US" w:eastAsia="zh-CN"/>
              </w:rPr>
              <w:t>相关</w:t>
            </w:r>
            <w:r>
              <w:rPr>
                <w:rFonts w:hint="eastAsia" w:ascii="Times New Roman" w:hAnsi="Times New Roman" w:eastAsia="宋体" w:cs="Times New Roman"/>
                <w:b w:val="0"/>
                <w:bCs w:val="0"/>
                <w:caps w:val="0"/>
                <w:color w:val="auto"/>
                <w:sz w:val="24"/>
                <w:highlight w:val="none"/>
                <w:lang w:val="en-US" w:eastAsia="zh-CN"/>
              </w:rPr>
              <w:t>符合性分析详见表1</w:t>
            </w:r>
            <w:r>
              <w:rPr>
                <w:rFonts w:hint="eastAsia" w:cs="Times New Roman"/>
                <w:b w:val="0"/>
                <w:bCs w:val="0"/>
                <w:caps w:val="0"/>
                <w:color w:val="auto"/>
                <w:sz w:val="24"/>
                <w:highlight w:val="none"/>
                <w:lang w:val="en-US" w:eastAsia="zh-CN"/>
              </w:rPr>
              <w:t>-4</w:t>
            </w:r>
            <w:r>
              <w:rPr>
                <w:rFonts w:hint="eastAsia" w:ascii="Times New Roman" w:hAnsi="Times New Roman" w:eastAsia="宋体" w:cs="Times New Roman"/>
                <w:b w:val="0"/>
                <w:bCs w:val="0"/>
                <w:caps w:val="0"/>
                <w:color w:val="auto"/>
                <w:sz w:val="24"/>
                <w:highlight w:val="none"/>
                <w:lang w:val="en-US" w:eastAsia="zh-CN"/>
              </w:rPr>
              <w:t>。</w:t>
            </w:r>
          </w:p>
          <w:p w14:paraId="7B365D8B">
            <w:pPr>
              <w:keepNext w:val="0"/>
              <w:keepLines w:val="0"/>
              <w:pageBreakBefore w:val="0"/>
              <w:suppressLineNumbers w:val="0"/>
              <w:tabs>
                <w:tab w:val="left" w:pos="2940"/>
                <w:tab w:val="center" w:pos="4630"/>
              </w:tabs>
              <w:kinsoku/>
              <w:wordWrap/>
              <w:autoSpaceDE w:val="0"/>
              <w:autoSpaceDN w:val="0"/>
              <w:bidi w:val="0"/>
              <w:adjustRightInd/>
              <w:snapToGrid/>
              <w:spacing w:before="0" w:beforeAutospacing="0" w:after="0" w:afterAutospacing="0"/>
              <w:ind w:left="0" w:right="0"/>
              <w:jc w:val="center"/>
              <w:rPr>
                <w:rFonts w:hint="default" w:ascii="Times New Roman" w:hAnsi="Times New Roman" w:eastAsia="宋体"/>
                <w:b/>
                <w:bCs/>
                <w:caps w:val="0"/>
                <w:color w:val="auto"/>
                <w:kern w:val="0"/>
                <w:sz w:val="21"/>
                <w:szCs w:val="21"/>
                <w:highlight w:val="none"/>
              </w:rPr>
            </w:pPr>
            <w:r>
              <w:rPr>
                <w:rFonts w:hint="default" w:ascii="Times New Roman" w:hAnsi="Times New Roman" w:eastAsia="宋体"/>
                <w:b/>
                <w:bCs/>
                <w:caps w:val="0"/>
                <w:color w:val="auto"/>
                <w:kern w:val="0"/>
                <w:sz w:val="21"/>
                <w:szCs w:val="21"/>
                <w:highlight w:val="none"/>
              </w:rPr>
              <w:t>表</w:t>
            </w:r>
            <w:r>
              <w:rPr>
                <w:rFonts w:hint="eastAsia" w:ascii="Times New Roman" w:hAnsi="Times New Roman" w:eastAsia="宋体"/>
                <w:b/>
                <w:bCs/>
                <w:caps w:val="0"/>
                <w:color w:val="auto"/>
                <w:kern w:val="0"/>
                <w:sz w:val="21"/>
                <w:szCs w:val="21"/>
                <w:highlight w:val="none"/>
              </w:rPr>
              <w:t>1-</w:t>
            </w:r>
            <w:r>
              <w:rPr>
                <w:rFonts w:hint="eastAsia"/>
                <w:b/>
                <w:bCs/>
                <w:caps w:val="0"/>
                <w:color w:val="auto"/>
                <w:kern w:val="0"/>
                <w:sz w:val="21"/>
                <w:szCs w:val="21"/>
                <w:highlight w:val="none"/>
                <w:lang w:val="en-US" w:eastAsia="zh-CN"/>
              </w:rPr>
              <w:t>4</w:t>
            </w:r>
            <w:r>
              <w:rPr>
                <w:rFonts w:hint="eastAsia" w:ascii="Times New Roman" w:hAnsi="Times New Roman" w:eastAsia="宋体"/>
                <w:b/>
                <w:bCs/>
                <w:caps w:val="0"/>
                <w:color w:val="auto"/>
                <w:kern w:val="0"/>
                <w:sz w:val="21"/>
                <w:szCs w:val="21"/>
                <w:highlight w:val="none"/>
              </w:rPr>
              <w:t xml:space="preserve"> </w:t>
            </w:r>
            <w:r>
              <w:rPr>
                <w:rFonts w:hint="default" w:ascii="Times New Roman" w:hAnsi="Times New Roman" w:eastAsia="宋体"/>
                <w:b/>
                <w:bCs/>
                <w:caps w:val="0"/>
                <w:color w:val="auto"/>
                <w:kern w:val="0"/>
                <w:sz w:val="21"/>
                <w:szCs w:val="21"/>
                <w:highlight w:val="none"/>
              </w:rPr>
              <w:t xml:space="preserve"> </w:t>
            </w:r>
            <w:r>
              <w:rPr>
                <w:rFonts w:hint="eastAsia" w:ascii="Times New Roman" w:hAnsi="Times New Roman" w:eastAsia="宋体"/>
                <w:b/>
                <w:bCs/>
                <w:caps w:val="0"/>
                <w:color w:val="auto"/>
                <w:kern w:val="0"/>
                <w:sz w:val="21"/>
                <w:szCs w:val="21"/>
                <w:highlight w:val="none"/>
              </w:rPr>
              <w:t>与《</w:t>
            </w:r>
            <w:r>
              <w:rPr>
                <w:rFonts w:hint="default" w:ascii="Times New Roman" w:hAnsi="Times New Roman" w:eastAsia="宋体"/>
                <w:b/>
                <w:bCs/>
                <w:caps w:val="0"/>
                <w:color w:val="auto"/>
                <w:kern w:val="0"/>
                <w:sz w:val="21"/>
                <w:szCs w:val="21"/>
                <w:highlight w:val="none"/>
              </w:rPr>
              <w:t>新疆维吾尔自治区</w:t>
            </w:r>
            <w:r>
              <w:rPr>
                <w:rFonts w:hint="eastAsia"/>
                <w:b/>
                <w:bCs/>
                <w:caps w:val="0"/>
                <w:color w:val="auto"/>
                <w:kern w:val="0"/>
                <w:sz w:val="21"/>
                <w:szCs w:val="21"/>
                <w:highlight w:val="none"/>
                <w:lang w:val="en-US" w:eastAsia="zh-CN"/>
              </w:rPr>
              <w:t>环境保护</w:t>
            </w:r>
            <w:r>
              <w:rPr>
                <w:rFonts w:hint="default" w:ascii="Times New Roman" w:hAnsi="Times New Roman" w:eastAsia="宋体"/>
                <w:b/>
                <w:bCs/>
                <w:caps w:val="0"/>
                <w:color w:val="auto"/>
                <w:kern w:val="0"/>
                <w:sz w:val="21"/>
                <w:szCs w:val="21"/>
                <w:highlight w:val="none"/>
              </w:rPr>
              <w:t>条例</w:t>
            </w:r>
            <w:r>
              <w:rPr>
                <w:rFonts w:hint="eastAsia" w:ascii="Times New Roman" w:hAnsi="Times New Roman" w:eastAsia="宋体"/>
                <w:b/>
                <w:bCs/>
                <w:caps w:val="0"/>
                <w:color w:val="auto"/>
                <w:kern w:val="0"/>
                <w:sz w:val="21"/>
                <w:szCs w:val="21"/>
                <w:highlight w:val="none"/>
              </w:rPr>
              <w:t>》</w:t>
            </w:r>
            <w:r>
              <w:rPr>
                <w:rFonts w:hint="default" w:ascii="Times New Roman" w:hAnsi="Times New Roman" w:eastAsia="宋体"/>
                <w:b/>
                <w:bCs/>
                <w:caps w:val="0"/>
                <w:color w:val="auto"/>
                <w:kern w:val="0"/>
                <w:sz w:val="21"/>
                <w:szCs w:val="21"/>
                <w:highlight w:val="none"/>
              </w:rPr>
              <w:t>符合性分析一览表</w:t>
            </w:r>
          </w:p>
          <w:tbl>
            <w:tblPr>
              <w:tblStyle w:val="26"/>
              <w:tblW w:w="7473"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57" w:type="dxa"/>
                <w:left w:w="57" w:type="dxa"/>
                <w:bottom w:w="57" w:type="dxa"/>
                <w:right w:w="57" w:type="dxa"/>
              </w:tblCellMar>
            </w:tblPr>
            <w:tblGrid>
              <w:gridCol w:w="3989"/>
              <w:gridCol w:w="2640"/>
              <w:gridCol w:w="844"/>
            </w:tblGrid>
            <w:tr w14:paraId="2FF7D8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368" w:hRule="atLeast"/>
                <w:jc w:val="center"/>
              </w:trPr>
              <w:tc>
                <w:tcPr>
                  <w:tcW w:w="3989" w:type="dxa"/>
                  <w:tcBorders>
                    <w:tl2br w:val="nil"/>
                    <w:tr2bl w:val="nil"/>
                  </w:tcBorders>
                  <w:noWrap w:val="0"/>
                  <w:vAlign w:val="center"/>
                </w:tcPr>
                <w:p w14:paraId="017536E8">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lang w:val="en-US"/>
                    </w:rPr>
                  </w:pPr>
                  <w:r>
                    <w:rPr>
                      <w:rFonts w:hint="eastAsia" w:cs="Times New Roman"/>
                      <w:b w:val="0"/>
                      <w:bCs w:val="0"/>
                      <w:caps w:val="0"/>
                      <w:color w:val="auto"/>
                      <w:sz w:val="21"/>
                      <w:szCs w:val="21"/>
                      <w:highlight w:val="none"/>
                      <w:lang w:val="en-US" w:eastAsia="zh-CN"/>
                    </w:rPr>
                    <w:t>条例</w:t>
                  </w:r>
                  <w:r>
                    <w:rPr>
                      <w:rFonts w:hint="eastAsia" w:ascii="Times New Roman" w:hAnsi="Times New Roman" w:cs="Times New Roman"/>
                      <w:b w:val="0"/>
                      <w:bCs w:val="0"/>
                      <w:caps w:val="0"/>
                      <w:color w:val="auto"/>
                      <w:sz w:val="21"/>
                      <w:szCs w:val="21"/>
                      <w:highlight w:val="none"/>
                      <w:lang w:val="en-US" w:eastAsia="zh-CN"/>
                    </w:rPr>
                    <w:t>相关要求</w:t>
                  </w:r>
                </w:p>
              </w:tc>
              <w:tc>
                <w:tcPr>
                  <w:tcW w:w="2640" w:type="dxa"/>
                  <w:tcBorders>
                    <w:tl2br w:val="nil"/>
                    <w:tr2bl w:val="nil"/>
                  </w:tcBorders>
                  <w:noWrap w:val="0"/>
                  <w:vAlign w:val="center"/>
                </w:tcPr>
                <w:p w14:paraId="38CB21B2">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rPr>
                    <w:t>项目情况</w:t>
                  </w:r>
                </w:p>
              </w:tc>
              <w:tc>
                <w:tcPr>
                  <w:tcW w:w="844" w:type="dxa"/>
                  <w:tcBorders>
                    <w:tl2br w:val="nil"/>
                    <w:tr2bl w:val="nil"/>
                  </w:tcBorders>
                  <w:noWrap w:val="0"/>
                  <w:vAlign w:val="center"/>
                </w:tcPr>
                <w:p w14:paraId="4E7058CD">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rPr>
                    <w:t>符合性</w:t>
                  </w:r>
                </w:p>
              </w:tc>
            </w:tr>
            <w:tr w14:paraId="55F072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3167E57C">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default" w:ascii="Helvetica" w:hAnsi="Helvetica" w:eastAsia="Helvetica" w:cs="Helvetica"/>
                      <w:b w:val="0"/>
                      <w:bCs w:val="0"/>
                      <w:i w:val="0"/>
                      <w:iCs w:val="0"/>
                      <w:caps w:val="0"/>
                      <w:color w:val="auto"/>
                      <w:spacing w:val="0"/>
                      <w:sz w:val="21"/>
                      <w:szCs w:val="21"/>
                      <w:shd w:val="clear" w:fill="FFFFFF"/>
                    </w:rPr>
                    <w:t>第三十条</w:t>
                  </w:r>
                  <w:r>
                    <w:rPr>
                      <w:rFonts w:hint="eastAsia" w:ascii="Helvetica" w:hAnsi="Helvetica" w:eastAsia="宋体" w:cs="Helvetica"/>
                      <w:b w:val="0"/>
                      <w:bCs w:val="0"/>
                      <w:i w:val="0"/>
                      <w:iCs w:val="0"/>
                      <w:caps w:val="0"/>
                      <w:color w:val="auto"/>
                      <w:spacing w:val="0"/>
                      <w:sz w:val="21"/>
                      <w:szCs w:val="21"/>
                      <w:shd w:val="clear" w:fill="FFFFFF"/>
                      <w:lang w:val="en-US" w:eastAsia="zh-CN"/>
                    </w:rPr>
                    <w:t xml:space="preserve"> </w:t>
                  </w:r>
                  <w:r>
                    <w:rPr>
                      <w:rFonts w:hint="default" w:ascii="Helvetica" w:hAnsi="Helvetica" w:eastAsia="Helvetica" w:cs="Helvetica"/>
                      <w:b w:val="0"/>
                      <w:bCs w:val="0"/>
                      <w:i w:val="0"/>
                      <w:iCs w:val="0"/>
                      <w:caps w:val="0"/>
                      <w:color w:val="auto"/>
                      <w:spacing w:val="0"/>
                      <w:sz w:val="21"/>
                      <w:szCs w:val="21"/>
                      <w:shd w:val="clear" w:fill="FFFFFF"/>
                    </w:rPr>
                    <w:t>任何单位和个人不得在水源涵养区、饮用水水源保护区内和河流、湖泊、水库周围建设重化工、涉重金属等工业污染项目；对已建成的工业污染项目，当地人民政府应当组织限期搬迁。</w:t>
                  </w:r>
                </w:p>
              </w:tc>
              <w:tc>
                <w:tcPr>
                  <w:tcW w:w="2640" w:type="dxa"/>
                  <w:tcBorders>
                    <w:tl2br w:val="nil"/>
                    <w:tr2bl w:val="nil"/>
                  </w:tcBorders>
                  <w:noWrap w:val="0"/>
                  <w:vAlign w:val="center"/>
                </w:tcPr>
                <w:p w14:paraId="2CFA3633">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本项目为煤田火区治理工程，不属于重化工、涉重金属等工业污染项目。</w:t>
                  </w:r>
                </w:p>
              </w:tc>
              <w:tc>
                <w:tcPr>
                  <w:tcW w:w="844" w:type="dxa"/>
                  <w:tcBorders>
                    <w:tl2br w:val="nil"/>
                    <w:tr2bl w:val="nil"/>
                  </w:tcBorders>
                  <w:noWrap w:val="0"/>
                  <w:vAlign w:val="center"/>
                </w:tcPr>
                <w:p w14:paraId="65F3C058">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r w14:paraId="47AEA1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50659DFC">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b w:val="0"/>
                      <w:bCs w:val="0"/>
                      <w:caps w:val="0"/>
                      <w:color w:val="auto"/>
                      <w:sz w:val="21"/>
                      <w:szCs w:val="21"/>
                      <w:highlight w:val="none"/>
                      <w:lang w:val="en-US" w:eastAsia="zh-CN"/>
                    </w:rPr>
                  </w:pPr>
                  <w:r>
                    <w:rPr>
                      <w:rFonts w:hint="default" w:ascii="Helvetica" w:hAnsi="Helvetica" w:eastAsia="Helvetica" w:cs="Helvetica"/>
                      <w:b w:val="0"/>
                      <w:bCs w:val="0"/>
                      <w:i w:val="0"/>
                      <w:iCs w:val="0"/>
                      <w:caps w:val="0"/>
                      <w:color w:val="auto"/>
                      <w:spacing w:val="0"/>
                      <w:sz w:val="21"/>
                      <w:szCs w:val="21"/>
                      <w:shd w:val="clear" w:fill="FFFFFF"/>
                      <w:lang w:val="en-US" w:eastAsia="zh-CN"/>
                    </w:rPr>
                    <w:t>第四十七条 矿产资源勘探、开发单位，应当对矿产资源勘探、开发产生的尾矿、煤矸石、粉煤灰、冶炼渣以及脱硫、脱硝、除尘等产生的固体废物的堆存场所进行整治，完善防扬散、防流失、防渗漏等设施；造成环境污染的，应当采取有效措施进行生态修复。对采矿使用的有毒有害物质，形成的有毒有害废弃物，应当进行无害化处理或者处置；有长期危害的，应当作永久性防护处理。</w:t>
                  </w:r>
                </w:p>
              </w:tc>
              <w:tc>
                <w:tcPr>
                  <w:tcW w:w="2640" w:type="dxa"/>
                  <w:tcBorders>
                    <w:tl2br w:val="nil"/>
                    <w:tr2bl w:val="nil"/>
                  </w:tcBorders>
                  <w:noWrap w:val="0"/>
                  <w:vAlign w:val="center"/>
                </w:tcPr>
                <w:p w14:paraId="2FCF0648">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yellow"/>
                      <w:lang w:val="en-US"/>
                    </w:rPr>
                  </w:pPr>
                  <w:r>
                    <w:rPr>
                      <w:rFonts w:hint="eastAsia" w:cs="Times New Roman"/>
                      <w:b w:val="0"/>
                      <w:bCs w:val="0"/>
                      <w:color w:val="auto"/>
                      <w:sz w:val="21"/>
                      <w:szCs w:val="21"/>
                      <w:highlight w:val="none"/>
                      <w:lang w:val="en-US" w:eastAsia="zh-CN"/>
                    </w:rPr>
                    <w:t>本项目为煤田火区治理工程，剥离产生的土石方用于火区治理区回填工程，施工结束后实施植被恢复；施工期生活垃圾集中收集后定期交由环卫部门统一清运处置。</w:t>
                  </w:r>
                </w:p>
              </w:tc>
              <w:tc>
                <w:tcPr>
                  <w:tcW w:w="844" w:type="dxa"/>
                  <w:tcBorders>
                    <w:tl2br w:val="nil"/>
                    <w:tr2bl w:val="nil"/>
                  </w:tcBorders>
                  <w:noWrap w:val="0"/>
                  <w:vAlign w:val="center"/>
                </w:tcPr>
                <w:p w14:paraId="7083160F">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bl>
          <w:p w14:paraId="588597BA">
            <w:pPr>
              <w:pStyle w:val="101"/>
              <w:keepNext w:val="0"/>
              <w:keepLines w:val="0"/>
              <w:pageBreakBefore w:val="0"/>
              <w:widowControl w:val="0"/>
              <w:suppressLineNumbers w:val="0"/>
              <w:tabs>
                <w:tab w:val="left" w:pos="4584"/>
              </w:tabs>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baseline"/>
              <w:rPr>
                <w:rFonts w:hint="default"/>
                <w:b/>
                <w:bCs/>
                <w:snapToGrid/>
                <w:color w:val="auto"/>
                <w:kern w:val="2"/>
                <w:sz w:val="24"/>
                <w:szCs w:val="24"/>
              </w:rPr>
            </w:pPr>
            <w:r>
              <w:rPr>
                <w:rFonts w:hint="eastAsia"/>
                <w:b/>
                <w:bCs/>
                <w:snapToGrid/>
                <w:color w:val="auto"/>
                <w:kern w:val="2"/>
                <w:sz w:val="24"/>
                <w:szCs w:val="24"/>
                <w:lang w:val="en-US" w:eastAsia="zh-CN"/>
              </w:rPr>
              <w:t>6、</w:t>
            </w:r>
            <w:r>
              <w:rPr>
                <w:rFonts w:hint="default"/>
                <w:b/>
                <w:bCs/>
                <w:snapToGrid/>
                <w:color w:val="auto"/>
                <w:kern w:val="2"/>
                <w:sz w:val="24"/>
                <w:szCs w:val="24"/>
              </w:rPr>
              <w:t>与《新疆维吾尔自治区大气污染防治条例》符合性</w:t>
            </w:r>
          </w:p>
          <w:p w14:paraId="79A42CF7">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rPr>
                <w:rFonts w:hint="default" w:ascii="Times New Roman" w:hAnsi="Times New Roman" w:eastAsia="宋体" w:cs="Times New Roman"/>
                <w:b w:val="0"/>
                <w:bCs w:val="0"/>
                <w:caps w:val="0"/>
                <w:color w:val="auto"/>
                <w:sz w:val="24"/>
                <w:highlight w:val="none"/>
                <w:lang w:val="en-US" w:eastAsia="zh-CN"/>
              </w:rPr>
            </w:pPr>
            <w:r>
              <w:rPr>
                <w:rFonts w:hint="eastAsia" w:ascii="Times New Roman" w:hAnsi="Times New Roman" w:eastAsia="宋体" w:cs="Times New Roman"/>
                <w:b w:val="0"/>
                <w:bCs w:val="0"/>
                <w:caps w:val="0"/>
                <w:color w:val="auto"/>
                <w:sz w:val="24"/>
                <w:highlight w:val="none"/>
                <w:lang w:val="en-US" w:eastAsia="zh-CN"/>
              </w:rPr>
              <w:t>本项目与《</w:t>
            </w:r>
            <w:r>
              <w:rPr>
                <w:rFonts w:hint="default"/>
                <w:b w:val="0"/>
                <w:bCs w:val="0"/>
                <w:snapToGrid/>
                <w:color w:val="auto"/>
                <w:kern w:val="2"/>
                <w:sz w:val="24"/>
                <w:szCs w:val="24"/>
              </w:rPr>
              <w:t>新疆维吾尔自治区大气污染防治条例</w:t>
            </w:r>
            <w:r>
              <w:rPr>
                <w:rFonts w:hint="eastAsia" w:ascii="Times New Roman" w:hAnsi="Times New Roman" w:eastAsia="宋体" w:cs="Times New Roman"/>
                <w:b w:val="0"/>
                <w:bCs w:val="0"/>
                <w:caps w:val="0"/>
                <w:color w:val="auto"/>
                <w:sz w:val="24"/>
                <w:highlight w:val="none"/>
                <w:lang w:val="en-US" w:eastAsia="zh-CN"/>
              </w:rPr>
              <w:t>》</w:t>
            </w:r>
            <w:r>
              <w:rPr>
                <w:rFonts w:hint="eastAsia" w:ascii="Times New Roman" w:hAnsi="Times New Roman" w:cs="Times New Roman"/>
                <w:b w:val="0"/>
                <w:bCs w:val="0"/>
                <w:caps w:val="0"/>
                <w:color w:val="auto"/>
                <w:sz w:val="24"/>
                <w:highlight w:val="none"/>
                <w:lang w:val="en-US" w:eastAsia="zh-CN"/>
              </w:rPr>
              <w:t>相关</w:t>
            </w:r>
            <w:r>
              <w:rPr>
                <w:rFonts w:hint="eastAsia" w:ascii="Times New Roman" w:hAnsi="Times New Roman" w:eastAsia="宋体" w:cs="Times New Roman"/>
                <w:b w:val="0"/>
                <w:bCs w:val="0"/>
                <w:caps w:val="0"/>
                <w:color w:val="auto"/>
                <w:sz w:val="24"/>
                <w:highlight w:val="none"/>
                <w:lang w:val="en-US" w:eastAsia="zh-CN"/>
              </w:rPr>
              <w:t>符合性分析详见表1</w:t>
            </w:r>
            <w:r>
              <w:rPr>
                <w:rFonts w:hint="eastAsia" w:cs="Times New Roman"/>
                <w:b w:val="0"/>
                <w:bCs w:val="0"/>
                <w:caps w:val="0"/>
                <w:color w:val="auto"/>
                <w:sz w:val="24"/>
                <w:highlight w:val="none"/>
                <w:lang w:val="en-US" w:eastAsia="zh-CN"/>
              </w:rPr>
              <w:t>-5</w:t>
            </w:r>
            <w:r>
              <w:rPr>
                <w:rFonts w:hint="eastAsia" w:ascii="Times New Roman" w:hAnsi="Times New Roman" w:eastAsia="宋体" w:cs="Times New Roman"/>
                <w:b w:val="0"/>
                <w:bCs w:val="0"/>
                <w:caps w:val="0"/>
                <w:color w:val="auto"/>
                <w:sz w:val="24"/>
                <w:highlight w:val="none"/>
                <w:lang w:val="en-US" w:eastAsia="zh-CN"/>
              </w:rPr>
              <w:t>。</w:t>
            </w:r>
          </w:p>
          <w:p w14:paraId="54E94C0F">
            <w:pPr>
              <w:keepNext w:val="0"/>
              <w:keepLines w:val="0"/>
              <w:pageBreakBefore w:val="0"/>
              <w:suppressLineNumbers w:val="0"/>
              <w:tabs>
                <w:tab w:val="left" w:pos="2940"/>
                <w:tab w:val="center" w:pos="4630"/>
              </w:tabs>
              <w:kinsoku/>
              <w:wordWrap/>
              <w:autoSpaceDE w:val="0"/>
              <w:autoSpaceDN w:val="0"/>
              <w:bidi w:val="0"/>
              <w:adjustRightInd/>
              <w:snapToGrid/>
              <w:spacing w:before="0" w:beforeAutospacing="0" w:after="0" w:afterAutospacing="0"/>
              <w:ind w:left="0" w:right="0"/>
              <w:jc w:val="center"/>
              <w:rPr>
                <w:rFonts w:hint="default" w:ascii="Times New Roman" w:hAnsi="Times New Roman" w:eastAsia="宋体"/>
                <w:b/>
                <w:bCs/>
                <w:caps w:val="0"/>
                <w:color w:val="auto"/>
                <w:kern w:val="0"/>
                <w:sz w:val="21"/>
                <w:szCs w:val="21"/>
                <w:highlight w:val="none"/>
              </w:rPr>
            </w:pPr>
            <w:r>
              <w:rPr>
                <w:rFonts w:hint="default" w:ascii="Times New Roman" w:hAnsi="Times New Roman" w:eastAsia="宋体"/>
                <w:b/>
                <w:bCs/>
                <w:caps w:val="0"/>
                <w:color w:val="auto"/>
                <w:kern w:val="0"/>
                <w:sz w:val="21"/>
                <w:szCs w:val="21"/>
                <w:highlight w:val="none"/>
              </w:rPr>
              <w:t>表</w:t>
            </w:r>
            <w:r>
              <w:rPr>
                <w:rFonts w:hint="eastAsia" w:ascii="Times New Roman" w:hAnsi="Times New Roman" w:eastAsia="宋体"/>
                <w:b/>
                <w:bCs/>
                <w:caps w:val="0"/>
                <w:color w:val="auto"/>
                <w:kern w:val="0"/>
                <w:sz w:val="21"/>
                <w:szCs w:val="21"/>
                <w:highlight w:val="none"/>
              </w:rPr>
              <w:t>1-</w:t>
            </w:r>
            <w:r>
              <w:rPr>
                <w:rFonts w:hint="eastAsia"/>
                <w:b/>
                <w:bCs/>
                <w:caps w:val="0"/>
                <w:color w:val="auto"/>
                <w:kern w:val="0"/>
                <w:sz w:val="21"/>
                <w:szCs w:val="21"/>
                <w:highlight w:val="none"/>
                <w:lang w:val="en-US" w:eastAsia="zh-CN"/>
              </w:rPr>
              <w:t>5</w:t>
            </w:r>
            <w:r>
              <w:rPr>
                <w:rFonts w:hint="eastAsia" w:ascii="Times New Roman" w:hAnsi="Times New Roman" w:eastAsia="宋体"/>
                <w:b/>
                <w:bCs/>
                <w:caps w:val="0"/>
                <w:color w:val="auto"/>
                <w:kern w:val="0"/>
                <w:sz w:val="21"/>
                <w:szCs w:val="21"/>
                <w:highlight w:val="none"/>
              </w:rPr>
              <w:t xml:space="preserve"> </w:t>
            </w:r>
            <w:r>
              <w:rPr>
                <w:rFonts w:hint="default" w:ascii="Times New Roman" w:hAnsi="Times New Roman" w:eastAsia="宋体"/>
                <w:b/>
                <w:bCs/>
                <w:caps w:val="0"/>
                <w:color w:val="auto"/>
                <w:kern w:val="0"/>
                <w:sz w:val="21"/>
                <w:szCs w:val="21"/>
                <w:highlight w:val="none"/>
              </w:rPr>
              <w:t xml:space="preserve"> </w:t>
            </w:r>
            <w:r>
              <w:rPr>
                <w:rFonts w:hint="eastAsia" w:ascii="Times New Roman" w:hAnsi="Times New Roman" w:eastAsia="宋体"/>
                <w:b/>
                <w:bCs/>
                <w:caps w:val="0"/>
                <w:color w:val="auto"/>
                <w:kern w:val="0"/>
                <w:sz w:val="21"/>
                <w:szCs w:val="21"/>
                <w:highlight w:val="none"/>
              </w:rPr>
              <w:t>与《</w:t>
            </w:r>
            <w:r>
              <w:rPr>
                <w:rFonts w:hint="default" w:ascii="Times New Roman" w:hAnsi="Times New Roman" w:eastAsia="宋体"/>
                <w:b/>
                <w:bCs/>
                <w:caps w:val="0"/>
                <w:color w:val="auto"/>
                <w:kern w:val="0"/>
                <w:sz w:val="21"/>
                <w:szCs w:val="21"/>
                <w:highlight w:val="none"/>
              </w:rPr>
              <w:t>新疆维吾尔自治区大气污染防治条例</w:t>
            </w:r>
            <w:r>
              <w:rPr>
                <w:rFonts w:hint="eastAsia" w:ascii="Times New Roman" w:hAnsi="Times New Roman" w:eastAsia="宋体"/>
                <w:b/>
                <w:bCs/>
                <w:caps w:val="0"/>
                <w:color w:val="auto"/>
                <w:kern w:val="0"/>
                <w:sz w:val="21"/>
                <w:szCs w:val="21"/>
                <w:highlight w:val="none"/>
              </w:rPr>
              <w:t>》</w:t>
            </w:r>
            <w:r>
              <w:rPr>
                <w:rFonts w:hint="default" w:ascii="Times New Roman" w:hAnsi="Times New Roman" w:eastAsia="宋体"/>
                <w:b/>
                <w:bCs/>
                <w:caps w:val="0"/>
                <w:color w:val="auto"/>
                <w:kern w:val="0"/>
                <w:sz w:val="21"/>
                <w:szCs w:val="21"/>
                <w:highlight w:val="none"/>
              </w:rPr>
              <w:t>符合性分析一览表</w:t>
            </w:r>
          </w:p>
          <w:tbl>
            <w:tblPr>
              <w:tblStyle w:val="26"/>
              <w:tblW w:w="7473"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57" w:type="dxa"/>
                <w:left w:w="57" w:type="dxa"/>
                <w:bottom w:w="57" w:type="dxa"/>
                <w:right w:w="57" w:type="dxa"/>
              </w:tblCellMar>
            </w:tblPr>
            <w:tblGrid>
              <w:gridCol w:w="3989"/>
              <w:gridCol w:w="2640"/>
              <w:gridCol w:w="844"/>
            </w:tblGrid>
            <w:tr w14:paraId="714EED4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368" w:hRule="atLeast"/>
                <w:jc w:val="center"/>
              </w:trPr>
              <w:tc>
                <w:tcPr>
                  <w:tcW w:w="3989" w:type="dxa"/>
                  <w:tcBorders>
                    <w:tl2br w:val="nil"/>
                    <w:tr2bl w:val="nil"/>
                  </w:tcBorders>
                  <w:noWrap w:val="0"/>
                  <w:vAlign w:val="center"/>
                </w:tcPr>
                <w:p w14:paraId="60DBF19E">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lang w:val="en-US"/>
                    </w:rPr>
                  </w:pPr>
                  <w:r>
                    <w:rPr>
                      <w:rFonts w:hint="eastAsia" w:cs="Times New Roman"/>
                      <w:b w:val="0"/>
                      <w:bCs w:val="0"/>
                      <w:caps w:val="0"/>
                      <w:color w:val="auto"/>
                      <w:sz w:val="21"/>
                      <w:szCs w:val="21"/>
                      <w:highlight w:val="none"/>
                      <w:lang w:val="en-US" w:eastAsia="zh-CN"/>
                    </w:rPr>
                    <w:t>条例</w:t>
                  </w:r>
                  <w:r>
                    <w:rPr>
                      <w:rFonts w:hint="eastAsia" w:ascii="Times New Roman" w:hAnsi="Times New Roman" w:cs="Times New Roman"/>
                      <w:b w:val="0"/>
                      <w:bCs w:val="0"/>
                      <w:caps w:val="0"/>
                      <w:color w:val="auto"/>
                      <w:sz w:val="21"/>
                      <w:szCs w:val="21"/>
                      <w:highlight w:val="none"/>
                      <w:lang w:val="en-US" w:eastAsia="zh-CN"/>
                    </w:rPr>
                    <w:t>相关要求</w:t>
                  </w:r>
                </w:p>
              </w:tc>
              <w:tc>
                <w:tcPr>
                  <w:tcW w:w="2640" w:type="dxa"/>
                  <w:tcBorders>
                    <w:tl2br w:val="nil"/>
                    <w:tr2bl w:val="nil"/>
                  </w:tcBorders>
                  <w:noWrap w:val="0"/>
                  <w:vAlign w:val="center"/>
                </w:tcPr>
                <w:p w14:paraId="6847CF7C">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rPr>
                    <w:t>项目情况</w:t>
                  </w:r>
                </w:p>
              </w:tc>
              <w:tc>
                <w:tcPr>
                  <w:tcW w:w="844" w:type="dxa"/>
                  <w:tcBorders>
                    <w:tl2br w:val="nil"/>
                    <w:tr2bl w:val="nil"/>
                  </w:tcBorders>
                  <w:noWrap w:val="0"/>
                  <w:vAlign w:val="center"/>
                </w:tcPr>
                <w:p w14:paraId="73503C25">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rPr>
                    <w:t>符合性</w:t>
                  </w:r>
                </w:p>
              </w:tc>
            </w:tr>
            <w:tr w14:paraId="73BDF9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7E0C50A3">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b w:val="0"/>
                      <w:bCs w:val="0"/>
                      <w:caps w:val="0"/>
                      <w:color w:val="auto"/>
                      <w:sz w:val="21"/>
                      <w:szCs w:val="21"/>
                      <w:highlight w:val="none"/>
                      <w:lang w:val="en-US" w:eastAsia="zh-CN"/>
                    </w:rPr>
                  </w:pPr>
                  <w:r>
                    <w:rPr>
                      <w:rFonts w:hint="default" w:ascii="Helvetica" w:hAnsi="Helvetica" w:eastAsia="Helvetica" w:cs="Helvetica"/>
                      <w:b w:val="0"/>
                      <w:bCs w:val="0"/>
                      <w:i w:val="0"/>
                      <w:iCs w:val="0"/>
                      <w:caps w:val="0"/>
                      <w:color w:val="auto"/>
                      <w:spacing w:val="0"/>
                      <w:sz w:val="21"/>
                      <w:szCs w:val="21"/>
                      <w:shd w:val="clear" w:fill="FFFFFF"/>
                    </w:rPr>
                    <w:t>第三十七条 各级人民政府应当加强对建设施工、矿产资源开采、物料运输的扬尘和沙尘污染的治理，保持道路清洁、控制料堆和渣土堆放，科学合理扩大绿地、水面、湿地、地面铺装和防风固沙绿化面积，防治扬尘污染。</w:t>
                  </w:r>
                </w:p>
              </w:tc>
              <w:tc>
                <w:tcPr>
                  <w:tcW w:w="2640" w:type="dxa"/>
                  <w:tcBorders>
                    <w:tl2br w:val="nil"/>
                    <w:tr2bl w:val="nil"/>
                  </w:tcBorders>
                  <w:noWrap w:val="0"/>
                  <w:vAlign w:val="center"/>
                </w:tcPr>
                <w:p w14:paraId="069421A5">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本项目施工材料集中堆放，采取覆盖、洒水措施；施工区域定期洒水降低施工扬尘污染；加强施工机械、车辆维护保养。</w:t>
                  </w:r>
                </w:p>
              </w:tc>
              <w:tc>
                <w:tcPr>
                  <w:tcW w:w="844" w:type="dxa"/>
                  <w:tcBorders>
                    <w:tl2br w:val="nil"/>
                    <w:tr2bl w:val="nil"/>
                  </w:tcBorders>
                  <w:noWrap w:val="0"/>
                  <w:vAlign w:val="center"/>
                </w:tcPr>
                <w:p w14:paraId="4E0409FA">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r w14:paraId="19608F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14B19555">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eastAsia="宋体" w:cs="Times New Roman"/>
                      <w:b w:val="0"/>
                      <w:bCs w:val="0"/>
                      <w:snapToGrid/>
                      <w:color w:val="auto"/>
                      <w:kern w:val="2"/>
                      <w:sz w:val="21"/>
                      <w:szCs w:val="21"/>
                      <w:highlight w:val="none"/>
                      <w:lang w:val="en-US" w:eastAsia="zh-CN" w:bidi="ar-SA"/>
                    </w:rPr>
                    <w:t>第四十</w:t>
                  </w:r>
                  <w:r>
                    <w:rPr>
                      <w:rFonts w:hint="eastAsia" w:ascii="Times New Roman" w:hAnsi="Times New Roman" w:eastAsia="宋体" w:cs="Times New Roman"/>
                      <w:b w:val="0"/>
                      <w:bCs w:val="0"/>
                      <w:snapToGrid/>
                      <w:color w:val="auto"/>
                      <w:kern w:val="2"/>
                      <w:sz w:val="21"/>
                      <w:szCs w:val="21"/>
                      <w:highlight w:val="none"/>
                      <w:lang w:val="en-US" w:eastAsia="zh-CN" w:bidi="ar-SA"/>
                    </w:rPr>
                    <w:t>三</w:t>
                  </w:r>
                  <w:r>
                    <w:rPr>
                      <w:rFonts w:hint="default" w:ascii="Times New Roman" w:hAnsi="Times New Roman" w:eastAsia="宋体" w:cs="Times New Roman"/>
                      <w:b w:val="0"/>
                      <w:bCs w:val="0"/>
                      <w:snapToGrid/>
                      <w:color w:val="auto"/>
                      <w:kern w:val="2"/>
                      <w:sz w:val="21"/>
                      <w:szCs w:val="21"/>
                      <w:highlight w:val="none"/>
                      <w:lang w:val="en-US" w:eastAsia="zh-CN" w:bidi="ar-SA"/>
                    </w:rPr>
                    <w:t>条</w:t>
                  </w:r>
                  <w:r>
                    <w:rPr>
                      <w:rFonts w:hint="eastAsia" w:cs="Times New Roman"/>
                      <w:b w:val="0"/>
                      <w:bCs w:val="0"/>
                      <w:snapToGrid/>
                      <w:color w:val="auto"/>
                      <w:kern w:val="2"/>
                      <w:sz w:val="21"/>
                      <w:szCs w:val="21"/>
                      <w:highlight w:val="none"/>
                      <w:lang w:val="en-US" w:eastAsia="zh-CN" w:bidi="ar-SA"/>
                    </w:rPr>
                    <w:t xml:space="preserve"> </w:t>
                  </w:r>
                  <w:r>
                    <w:rPr>
                      <w:rFonts w:hint="eastAsia" w:ascii="Times New Roman" w:hAnsi="Times New Roman" w:eastAsia="宋体" w:cs="Times New Roman"/>
                      <w:b w:val="0"/>
                      <w:bCs w:val="0"/>
                      <w:snapToGrid/>
                      <w:color w:val="auto"/>
                      <w:kern w:val="2"/>
                      <w:sz w:val="21"/>
                      <w:szCs w:val="21"/>
                      <w:highlight w:val="none"/>
                      <w:lang w:val="en-US" w:eastAsia="zh-CN" w:bidi="ar-SA"/>
                    </w:rPr>
                    <w:t>贮存易产生扬尘的煤炭、煤矸石、煤渣、煤灰、水泥、石灰、石膏、砂土等物料的堆场应当密闭；不能密闭的，贮存单位或者个人应当采取下列防尘措施：（一）堆场的场坪、路面应当进行硬化处理，并保持路面整洁；（二）堆场周边应当配备高于堆存物料的围挡、防风抑尘网等设施；（三）按照物料类别采取相应的覆盖、喷淋和围挡等防风抑尘措施。露天装卸物料应当采取密闭或者喷淋等抑尘措施；输送的物料应当在装料、卸料处配备吸尘、喷淋等防尘设施。</w:t>
                  </w:r>
                </w:p>
              </w:tc>
              <w:tc>
                <w:tcPr>
                  <w:tcW w:w="2640" w:type="dxa"/>
                  <w:tcBorders>
                    <w:tl2br w:val="nil"/>
                    <w:tr2bl w:val="nil"/>
                  </w:tcBorders>
                  <w:noWrap w:val="0"/>
                  <w:vAlign w:val="center"/>
                </w:tcPr>
                <w:p w14:paraId="720C25BF">
                  <w:pPr>
                    <w:keepNext w:val="0"/>
                    <w:keepLines w:val="0"/>
                    <w:pageBreakBefore w:val="0"/>
                    <w:suppressLineNumbers w:val="0"/>
                    <w:kinsoku/>
                    <w:wordWrap/>
                    <w:bidi w:val="0"/>
                    <w:adjustRightInd/>
                    <w:snapToGrid/>
                    <w:spacing w:before="0" w:beforeAutospacing="0" w:after="0" w:afterAutospacing="0"/>
                    <w:ind w:left="0" w:leftChars="0" w:right="0" w:rightChars="0"/>
                    <w:rPr>
                      <w:rFonts w:hint="eastAsia" w:ascii="Times New Roman" w:hAnsi="Times New Roman" w:eastAsia="宋体"/>
                      <w:b w:val="0"/>
                      <w:bCs w:val="0"/>
                      <w:caps w:val="0"/>
                      <w:color w:val="auto"/>
                      <w:sz w:val="21"/>
                      <w:szCs w:val="21"/>
                      <w:highlight w:val="none"/>
                    </w:rPr>
                  </w:pPr>
                  <w:r>
                    <w:rPr>
                      <w:rFonts w:hint="eastAsia" w:cs="Times New Roman"/>
                      <w:b w:val="0"/>
                      <w:bCs w:val="0"/>
                      <w:caps w:val="0"/>
                      <w:color w:val="auto"/>
                      <w:szCs w:val="21"/>
                      <w:highlight w:val="none"/>
                      <w:lang w:val="en-US" w:eastAsia="zh-CN"/>
                    </w:rPr>
                    <w:t>本项目施工期</w:t>
                  </w:r>
                  <w:r>
                    <w:rPr>
                      <w:rFonts w:hint="eastAsia" w:cs="Times New Roman"/>
                      <w:color w:val="auto"/>
                      <w:sz w:val="21"/>
                      <w:szCs w:val="21"/>
                      <w:highlight w:val="none"/>
                      <w:lang w:val="en-US" w:eastAsia="zh-CN"/>
                    </w:rPr>
                    <w:t>合理</w:t>
                  </w:r>
                  <w:r>
                    <w:rPr>
                      <w:rFonts w:hint="default" w:ascii="Times New Roman" w:hAnsi="Times New Roman" w:eastAsia="宋体" w:cs="Times New Roman"/>
                      <w:color w:val="auto"/>
                      <w:sz w:val="21"/>
                      <w:szCs w:val="21"/>
                      <w:highlight w:val="none"/>
                      <w:lang w:val="en-US" w:eastAsia="zh-CN"/>
                    </w:rPr>
                    <w:t>安排施工进度及施工时间，避免雨天和大风天开挖施工作业</w:t>
                  </w:r>
                  <w:r>
                    <w:rPr>
                      <w:rFonts w:hint="eastAsia" w:ascii="Times New Roman" w:hAnsi="Times New Roman" w:eastAsia="宋体" w:cs="Times New Roman"/>
                      <w:color w:val="auto"/>
                      <w:sz w:val="21"/>
                      <w:szCs w:val="21"/>
                      <w:highlight w:val="none"/>
                      <w:lang w:val="en-US" w:eastAsia="zh-CN"/>
                    </w:rPr>
                    <w:t>；</w:t>
                  </w:r>
                  <w:r>
                    <w:rPr>
                      <w:rFonts w:hint="eastAsia" w:cs="宋体"/>
                      <w:color w:val="auto"/>
                      <w:kern w:val="0"/>
                      <w:sz w:val="21"/>
                      <w:szCs w:val="21"/>
                      <w:highlight w:val="none"/>
                      <w:lang w:val="en-US" w:eastAsia="zh-CN" w:bidi="ar"/>
                    </w:rPr>
                    <w:t>剥离工程、钻探工程、取土场</w:t>
                  </w:r>
                  <w:r>
                    <w:rPr>
                      <w:rFonts w:hint="eastAsia" w:ascii="Times New Roman" w:hAnsi="Times New Roman" w:cs="宋体"/>
                      <w:color w:val="auto"/>
                      <w:kern w:val="0"/>
                      <w:sz w:val="21"/>
                      <w:szCs w:val="21"/>
                      <w:highlight w:val="none"/>
                      <w:lang w:bidi="ar"/>
                    </w:rPr>
                    <w:t>等易于产生地面扬尘的工程区域，采用定期洒水方式降低施工扬尘的影响</w:t>
                  </w:r>
                  <w:r>
                    <w:rPr>
                      <w:rFonts w:hint="eastAsia" w:ascii="Times New Roman" w:hAnsi="Times New Roman" w:cs="宋体"/>
                      <w:color w:val="auto"/>
                      <w:kern w:val="0"/>
                      <w:sz w:val="21"/>
                      <w:szCs w:val="21"/>
                      <w:highlight w:val="none"/>
                      <w:lang w:eastAsia="zh-CN" w:bidi="ar"/>
                    </w:rPr>
                    <w:t>；</w:t>
                  </w:r>
                  <w:r>
                    <w:rPr>
                      <w:rFonts w:hint="eastAsia" w:ascii="Times New Roman" w:hAnsi="Times New Roman" w:eastAsia="宋体" w:cs="Times New Roman"/>
                      <w:color w:val="auto"/>
                      <w:sz w:val="21"/>
                      <w:szCs w:val="21"/>
                      <w:lang w:val="en-US" w:eastAsia="zh-CN"/>
                    </w:rPr>
                    <w:t>注浆站上料区域四周设置围挡，上料过程密闭或采用湿法作业；</w:t>
                  </w:r>
                  <w:r>
                    <w:rPr>
                      <w:rFonts w:hint="eastAsia" w:ascii="Times New Roman" w:hAnsi="Times New Roman" w:cs="宋体"/>
                      <w:color w:val="auto"/>
                      <w:kern w:val="0"/>
                      <w:sz w:val="21"/>
                      <w:szCs w:val="21"/>
                      <w:highlight w:val="none"/>
                      <w:lang w:val="en-US" w:eastAsia="zh-CN" w:bidi="ar"/>
                    </w:rPr>
                    <w:t>运输车辆采取篷布覆盖、降低车速、运输道路洒水等措施降低扬尘污染</w:t>
                  </w:r>
                  <w:r>
                    <w:rPr>
                      <w:rFonts w:hint="eastAsia" w:ascii="Times New Roman" w:hAnsi="Times New Roman" w:eastAsia="宋体" w:cs="Times New Roman"/>
                      <w:b w:val="0"/>
                      <w:bCs w:val="0"/>
                      <w:caps w:val="0"/>
                      <w:color w:val="auto"/>
                      <w:szCs w:val="21"/>
                      <w:highlight w:val="none"/>
                      <w:lang w:val="en-US" w:eastAsia="zh-CN"/>
                    </w:rPr>
                    <w:t>，降低无组织粉尘排放。</w:t>
                  </w:r>
                </w:p>
              </w:tc>
              <w:tc>
                <w:tcPr>
                  <w:tcW w:w="844" w:type="dxa"/>
                  <w:tcBorders>
                    <w:tl2br w:val="nil"/>
                    <w:tr2bl w:val="nil"/>
                  </w:tcBorders>
                  <w:noWrap w:val="0"/>
                  <w:vAlign w:val="center"/>
                </w:tcPr>
                <w:p w14:paraId="1B4D2827">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r w14:paraId="5CBCF7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27300486">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rPr>
                      <w:rFonts w:hint="default" w:ascii="Times New Roman" w:hAnsi="Times New Roman" w:eastAsia="宋体" w:cs="Times New Roman"/>
                      <w:b w:val="0"/>
                      <w:bCs w:val="0"/>
                      <w:snapToGrid/>
                      <w:color w:val="auto"/>
                      <w:kern w:val="2"/>
                      <w:sz w:val="21"/>
                      <w:szCs w:val="21"/>
                      <w:highlight w:val="none"/>
                      <w:lang w:val="en-US" w:eastAsia="zh-CN" w:bidi="ar-SA"/>
                    </w:rPr>
                  </w:pPr>
                  <w:r>
                    <w:rPr>
                      <w:rFonts w:hint="eastAsia" w:ascii="Times New Roman" w:hAnsi="Times New Roman" w:eastAsia="宋体" w:cs="Times New Roman"/>
                      <w:b w:val="0"/>
                      <w:bCs w:val="0"/>
                      <w:snapToGrid/>
                      <w:color w:val="auto"/>
                      <w:kern w:val="2"/>
                      <w:sz w:val="21"/>
                      <w:szCs w:val="21"/>
                      <w:highlight w:val="none"/>
                      <w:lang w:val="en-US" w:eastAsia="zh-CN" w:bidi="ar-SA"/>
                    </w:rPr>
                    <w:t>第四十四条</w:t>
                  </w:r>
                  <w:r>
                    <w:rPr>
                      <w:rFonts w:hint="eastAsia" w:ascii="Times New Roman" w:hAnsi="Times New Roman" w:cs="Times New Roman"/>
                      <w:b w:val="0"/>
                      <w:bCs w:val="0"/>
                      <w:snapToGrid/>
                      <w:color w:val="auto"/>
                      <w:kern w:val="2"/>
                      <w:sz w:val="21"/>
                      <w:szCs w:val="21"/>
                      <w:highlight w:val="none"/>
                      <w:lang w:val="en-US" w:eastAsia="zh-CN" w:bidi="ar-SA"/>
                    </w:rPr>
                    <w:t xml:space="preserve"> </w:t>
                  </w:r>
                  <w:r>
                    <w:rPr>
                      <w:rFonts w:hint="eastAsia" w:ascii="Times New Roman" w:hAnsi="Times New Roman" w:eastAsia="宋体" w:cs="Times New Roman"/>
                      <w:b w:val="0"/>
                      <w:bCs w:val="0"/>
                      <w:snapToGrid/>
                      <w:color w:val="auto"/>
                      <w:kern w:val="2"/>
                      <w:sz w:val="21"/>
                      <w:szCs w:val="21"/>
                      <w:highlight w:val="none"/>
                      <w:lang w:val="en-US" w:eastAsia="zh-CN" w:bidi="ar-SA"/>
                    </w:rPr>
                    <w:t>矿山开采产生的废石、废渣、泥土等应当堆放到专门存放地，并采取围挡、设置防尘网或者防尘布等防尘措施；施工便道应当硬化。在采石、采砂和其他矿产资源开采过程中，或者在停办、关闭矿山前，采矿权人应当整修被损坏的道路和露天采矿场的边坡、断面，恢复原有地貌，并按照规定处置矿山开采废弃物，防止扬尘污染。</w:t>
                  </w:r>
                </w:p>
              </w:tc>
              <w:tc>
                <w:tcPr>
                  <w:tcW w:w="2640" w:type="dxa"/>
                  <w:tcBorders>
                    <w:tl2br w:val="nil"/>
                    <w:tr2bl w:val="nil"/>
                  </w:tcBorders>
                  <w:noWrap w:val="0"/>
                  <w:vAlign w:val="center"/>
                </w:tcPr>
                <w:p w14:paraId="1CAC3C74">
                  <w:pPr>
                    <w:keepNext w:val="0"/>
                    <w:keepLines w:val="0"/>
                    <w:pageBreakBefore w:val="0"/>
                    <w:suppressLineNumbers w:val="0"/>
                    <w:kinsoku/>
                    <w:wordWrap/>
                    <w:bidi w:val="0"/>
                    <w:adjustRightInd/>
                    <w:snapToGrid/>
                    <w:spacing w:before="0" w:beforeAutospacing="0" w:after="0" w:afterAutospacing="0"/>
                    <w:ind w:left="0" w:leftChars="0" w:right="0" w:rightChars="0"/>
                    <w:rPr>
                      <w:rFonts w:hint="eastAsia" w:cs="Times New Roman"/>
                      <w:b w:val="0"/>
                      <w:bCs w:val="0"/>
                      <w:caps w:val="0"/>
                      <w:color w:val="auto"/>
                      <w:szCs w:val="21"/>
                      <w:highlight w:val="yellow"/>
                      <w:lang w:val="en-US" w:eastAsia="zh-CN"/>
                    </w:rPr>
                  </w:pPr>
                  <w:r>
                    <w:rPr>
                      <w:rFonts w:hint="eastAsia" w:cs="Times New Roman"/>
                      <w:color w:val="auto"/>
                      <w:kern w:val="0"/>
                      <w:sz w:val="21"/>
                      <w:szCs w:val="21"/>
                      <w:highlight w:val="none"/>
                      <w:lang w:val="en-US" w:eastAsia="zh-CN"/>
                    </w:rPr>
                    <w:t>本项目施工期剥离工程剥离土方不外排，剥离台阶土方直接向低处甩方自然堆弃，不设置排土场；</w:t>
                  </w:r>
                  <w:r>
                    <w:rPr>
                      <w:rFonts w:hint="eastAsia" w:ascii="Times New Roman" w:hAnsi="Times New Roman" w:eastAsia="宋体" w:cs="Times New Roman"/>
                      <w:color w:val="auto"/>
                      <w:sz w:val="21"/>
                      <w:szCs w:val="21"/>
                      <w:highlight w:val="none"/>
                      <w:lang w:val="en-US" w:eastAsia="zh-CN" w:bidi="ar"/>
                    </w:rPr>
                    <w:t>土石方堆放限制在火区治理范围内</w:t>
                  </w:r>
                  <w:r>
                    <w:rPr>
                      <w:rFonts w:hint="eastAsia" w:cs="Times New Roman"/>
                      <w:color w:val="auto"/>
                      <w:sz w:val="21"/>
                      <w:szCs w:val="21"/>
                      <w:highlight w:val="none"/>
                      <w:lang w:val="en-US" w:eastAsia="zh-CN" w:bidi="ar"/>
                    </w:rPr>
                    <w:t>，</w:t>
                  </w:r>
                  <w:r>
                    <w:rPr>
                      <w:rFonts w:hint="default"/>
                      <w:spacing w:val="-1"/>
                      <w:sz w:val="21"/>
                      <w:szCs w:val="21"/>
                      <w:highlight w:val="none"/>
                    </w:rPr>
                    <w:t>治理结束后可进行边坡防护、场地平整，再进行生态恢复</w:t>
                  </w:r>
                  <w:r>
                    <w:rPr>
                      <w:rFonts w:hint="eastAsia"/>
                      <w:spacing w:val="-1"/>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生活垃圾统一定点收集，委托环卫部门拉运至当地生活垃圾填埋场处理。</w:t>
                  </w:r>
                </w:p>
              </w:tc>
              <w:tc>
                <w:tcPr>
                  <w:tcW w:w="844" w:type="dxa"/>
                  <w:tcBorders>
                    <w:tl2br w:val="nil"/>
                    <w:tr2bl w:val="nil"/>
                  </w:tcBorders>
                  <w:noWrap w:val="0"/>
                  <w:vAlign w:val="center"/>
                </w:tcPr>
                <w:p w14:paraId="007CA5AC">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bl>
          <w:p w14:paraId="79884024">
            <w:pPr>
              <w:pStyle w:val="101"/>
              <w:keepNext w:val="0"/>
              <w:keepLines w:val="0"/>
              <w:pageBreakBefore w:val="0"/>
              <w:widowControl w:val="0"/>
              <w:suppressLineNumbers w:val="0"/>
              <w:tabs>
                <w:tab w:val="left" w:pos="4584"/>
              </w:tabs>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baseline"/>
              <w:rPr>
                <w:rFonts w:hint="default"/>
                <w:b/>
                <w:bCs/>
                <w:snapToGrid/>
                <w:color w:val="auto"/>
                <w:kern w:val="2"/>
                <w:sz w:val="24"/>
                <w:szCs w:val="24"/>
              </w:rPr>
            </w:pPr>
            <w:r>
              <w:rPr>
                <w:rFonts w:hint="eastAsia"/>
                <w:b/>
                <w:bCs/>
                <w:snapToGrid/>
                <w:color w:val="auto"/>
                <w:kern w:val="2"/>
                <w:sz w:val="24"/>
                <w:szCs w:val="24"/>
                <w:lang w:val="en-US" w:eastAsia="zh-CN"/>
              </w:rPr>
              <w:t>7、</w:t>
            </w:r>
            <w:r>
              <w:rPr>
                <w:rFonts w:hint="default"/>
                <w:b/>
                <w:bCs/>
                <w:snapToGrid/>
                <w:color w:val="auto"/>
                <w:kern w:val="2"/>
                <w:sz w:val="24"/>
                <w:szCs w:val="24"/>
              </w:rPr>
              <w:t>与《新疆维吾尔自治区</w:t>
            </w:r>
            <w:r>
              <w:rPr>
                <w:rFonts w:hint="eastAsia"/>
                <w:b/>
                <w:bCs/>
                <w:snapToGrid/>
                <w:color w:val="auto"/>
                <w:kern w:val="2"/>
                <w:sz w:val="24"/>
                <w:szCs w:val="24"/>
                <w:lang w:val="en-US" w:eastAsia="zh-CN"/>
              </w:rPr>
              <w:t>煤田灭火工作实施方案</w:t>
            </w:r>
            <w:r>
              <w:rPr>
                <w:rFonts w:hint="default"/>
                <w:b/>
                <w:bCs/>
                <w:snapToGrid/>
                <w:color w:val="auto"/>
                <w:kern w:val="2"/>
                <w:sz w:val="24"/>
                <w:szCs w:val="24"/>
              </w:rPr>
              <w:t>》符合性</w:t>
            </w:r>
          </w:p>
          <w:p w14:paraId="417E43E7">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rPr>
                <w:rFonts w:hint="default" w:ascii="Times New Roman" w:hAnsi="Times New Roman" w:eastAsia="宋体" w:cs="Times New Roman"/>
                <w:b w:val="0"/>
                <w:bCs w:val="0"/>
                <w:caps w:val="0"/>
                <w:color w:val="auto"/>
                <w:sz w:val="24"/>
                <w:highlight w:val="none"/>
                <w:lang w:val="en-US" w:eastAsia="zh-CN"/>
              </w:rPr>
            </w:pPr>
            <w:r>
              <w:rPr>
                <w:rFonts w:hint="eastAsia" w:ascii="Times New Roman" w:hAnsi="Times New Roman" w:eastAsia="宋体" w:cs="Times New Roman"/>
                <w:b w:val="0"/>
                <w:bCs w:val="0"/>
                <w:caps w:val="0"/>
                <w:color w:val="auto"/>
                <w:sz w:val="24"/>
                <w:highlight w:val="none"/>
                <w:lang w:val="en-US" w:eastAsia="zh-CN"/>
              </w:rPr>
              <w:t>本项目与《</w:t>
            </w:r>
            <w:r>
              <w:rPr>
                <w:rFonts w:hint="eastAsia" w:cs="Times New Roman"/>
                <w:b w:val="0"/>
                <w:bCs w:val="0"/>
                <w:caps w:val="0"/>
                <w:color w:val="auto"/>
                <w:sz w:val="24"/>
                <w:highlight w:val="none"/>
                <w:lang w:val="en-US" w:eastAsia="zh-CN"/>
              </w:rPr>
              <w:t>关于印发&lt;</w:t>
            </w:r>
            <w:r>
              <w:rPr>
                <w:rFonts w:hint="default"/>
                <w:b w:val="0"/>
                <w:bCs w:val="0"/>
                <w:snapToGrid/>
                <w:color w:val="auto"/>
                <w:kern w:val="2"/>
                <w:sz w:val="24"/>
                <w:szCs w:val="24"/>
              </w:rPr>
              <w:t>新疆维吾尔自治区</w:t>
            </w:r>
            <w:r>
              <w:rPr>
                <w:rFonts w:hint="eastAsia"/>
                <w:b w:val="0"/>
                <w:bCs w:val="0"/>
                <w:snapToGrid/>
                <w:color w:val="auto"/>
                <w:kern w:val="2"/>
                <w:sz w:val="24"/>
                <w:szCs w:val="24"/>
                <w:lang w:val="en-US" w:eastAsia="zh-CN"/>
              </w:rPr>
              <w:t>煤田灭火工作实施方案</w:t>
            </w:r>
            <w:r>
              <w:rPr>
                <w:rFonts w:hint="eastAsia" w:cs="Times New Roman"/>
                <w:b w:val="0"/>
                <w:bCs w:val="0"/>
                <w:caps w:val="0"/>
                <w:color w:val="auto"/>
                <w:sz w:val="24"/>
                <w:highlight w:val="none"/>
                <w:lang w:val="en-US" w:eastAsia="zh-CN"/>
              </w:rPr>
              <w:t>&gt;的通知</w:t>
            </w:r>
            <w:r>
              <w:rPr>
                <w:rFonts w:hint="eastAsia" w:ascii="Times New Roman" w:hAnsi="Times New Roman" w:eastAsia="宋体" w:cs="Times New Roman"/>
                <w:b w:val="0"/>
                <w:bCs w:val="0"/>
                <w:caps w:val="0"/>
                <w:color w:val="auto"/>
                <w:sz w:val="24"/>
                <w:highlight w:val="none"/>
                <w:lang w:val="en-US" w:eastAsia="zh-CN"/>
              </w:rPr>
              <w:t>》</w:t>
            </w:r>
            <w:r>
              <w:rPr>
                <w:rFonts w:hint="eastAsia" w:ascii="Times New Roman" w:hAnsi="Times New Roman" w:eastAsia="宋体" w:cs="Times New Roman"/>
                <w:b w:val="0"/>
                <w:bCs w:val="0"/>
                <w:caps w:val="0"/>
                <w:color w:val="auto"/>
                <w:sz w:val="24"/>
                <w:szCs w:val="24"/>
                <w:highlight w:val="none"/>
                <w:lang w:val="en-US" w:eastAsia="zh-CN"/>
              </w:rPr>
              <w:t>（</w:t>
            </w:r>
            <w:r>
              <w:rPr>
                <w:rFonts w:hint="eastAsia" w:cs="Times New Roman"/>
                <w:b w:val="0"/>
                <w:bCs w:val="0"/>
                <w:caps w:val="0"/>
                <w:color w:val="auto"/>
                <w:sz w:val="24"/>
                <w:szCs w:val="24"/>
                <w:highlight w:val="none"/>
                <w:lang w:val="en-US" w:eastAsia="zh-CN"/>
              </w:rPr>
              <w:t>新政办发</w:t>
            </w:r>
            <w:r>
              <w:rPr>
                <w:rFonts w:hint="eastAsia" w:ascii="Times New Roman" w:hAnsi="Times New Roman" w:eastAsia="宋体" w:cs="Times New Roman"/>
                <w:b w:val="0"/>
                <w:bCs w:val="0"/>
                <w:caps w:val="0"/>
                <w:color w:val="auto"/>
                <w:sz w:val="24"/>
                <w:szCs w:val="24"/>
                <w:highlight w:val="none"/>
                <w:lang w:val="en-US" w:eastAsia="zh-CN"/>
              </w:rPr>
              <w:t>〔</w:t>
            </w:r>
            <w:r>
              <w:rPr>
                <w:rFonts w:hint="eastAsia" w:cs="Times New Roman"/>
                <w:b w:val="0"/>
                <w:bCs w:val="0"/>
                <w:caps w:val="0"/>
                <w:color w:val="auto"/>
                <w:sz w:val="24"/>
                <w:szCs w:val="24"/>
                <w:highlight w:val="none"/>
                <w:lang w:val="en-US" w:eastAsia="zh-CN"/>
              </w:rPr>
              <w:t>2022</w:t>
            </w:r>
            <w:r>
              <w:rPr>
                <w:rFonts w:hint="eastAsia" w:ascii="Times New Roman" w:hAnsi="Times New Roman" w:eastAsia="宋体" w:cs="Times New Roman"/>
                <w:b w:val="0"/>
                <w:bCs w:val="0"/>
                <w:caps w:val="0"/>
                <w:color w:val="auto"/>
                <w:sz w:val="24"/>
                <w:szCs w:val="24"/>
                <w:highlight w:val="none"/>
                <w:lang w:val="en-US" w:eastAsia="zh-CN"/>
              </w:rPr>
              <w:t>〕</w:t>
            </w:r>
            <w:r>
              <w:rPr>
                <w:rFonts w:hint="eastAsia" w:cs="Times New Roman"/>
                <w:b w:val="0"/>
                <w:bCs w:val="0"/>
                <w:caps w:val="0"/>
                <w:color w:val="auto"/>
                <w:sz w:val="24"/>
                <w:szCs w:val="24"/>
                <w:highlight w:val="none"/>
                <w:lang w:val="en-US" w:eastAsia="zh-CN"/>
              </w:rPr>
              <w:t>54</w:t>
            </w:r>
            <w:r>
              <w:rPr>
                <w:rFonts w:hint="eastAsia" w:ascii="Times New Roman" w:hAnsi="Times New Roman" w:eastAsia="宋体" w:cs="Times New Roman"/>
                <w:b w:val="0"/>
                <w:bCs w:val="0"/>
                <w:caps w:val="0"/>
                <w:color w:val="auto"/>
                <w:sz w:val="24"/>
                <w:szCs w:val="24"/>
                <w:highlight w:val="none"/>
                <w:lang w:val="en-US" w:eastAsia="zh-CN"/>
              </w:rPr>
              <w:t>号）</w:t>
            </w:r>
            <w:r>
              <w:rPr>
                <w:rFonts w:hint="eastAsia" w:cs="Times New Roman"/>
                <w:b w:val="0"/>
                <w:bCs w:val="0"/>
                <w:caps w:val="0"/>
                <w:color w:val="auto"/>
                <w:sz w:val="24"/>
                <w:szCs w:val="24"/>
                <w:highlight w:val="none"/>
                <w:lang w:val="en-US" w:eastAsia="zh-CN"/>
              </w:rPr>
              <w:t>、</w:t>
            </w:r>
            <w:r>
              <w:rPr>
                <w:rFonts w:hint="eastAsia" w:ascii="Times New Roman" w:hAnsi="Times New Roman" w:eastAsia="宋体" w:cs="Times New Roman"/>
                <w:b w:val="0"/>
                <w:bCs w:val="0"/>
                <w:caps w:val="0"/>
                <w:color w:val="auto"/>
                <w:sz w:val="24"/>
                <w:highlight w:val="none"/>
                <w:lang w:val="en-US" w:eastAsia="zh-CN"/>
              </w:rPr>
              <w:t>《</w:t>
            </w:r>
            <w:r>
              <w:rPr>
                <w:rFonts w:hint="eastAsia" w:ascii="Times New Roman" w:hAnsi="Times New Roman" w:eastAsia="宋体" w:cs="Times New Roman"/>
                <w:b w:val="0"/>
                <w:bCs w:val="0"/>
                <w:kern w:val="2"/>
                <w:sz w:val="24"/>
                <w:szCs w:val="24"/>
                <w:lang w:val="en-US" w:eastAsia="zh-CN" w:bidi="ar-SA"/>
              </w:rPr>
              <w:t>新疆维吾尔自治区人民政府办公厅</w:t>
            </w:r>
            <w:r>
              <w:rPr>
                <w:rFonts w:hint="eastAsia" w:cs="Times New Roman"/>
                <w:b w:val="0"/>
                <w:bCs w:val="0"/>
                <w:caps w:val="0"/>
                <w:color w:val="auto"/>
                <w:sz w:val="24"/>
                <w:highlight w:val="none"/>
                <w:lang w:val="en-US" w:eastAsia="zh-CN"/>
              </w:rPr>
              <w:t>关于印发&lt;</w:t>
            </w:r>
            <w:r>
              <w:rPr>
                <w:rFonts w:hint="default"/>
                <w:b w:val="0"/>
                <w:bCs w:val="0"/>
                <w:snapToGrid/>
                <w:color w:val="auto"/>
                <w:kern w:val="2"/>
                <w:sz w:val="24"/>
                <w:szCs w:val="24"/>
              </w:rPr>
              <w:t>新疆维吾尔自治区</w:t>
            </w:r>
            <w:r>
              <w:rPr>
                <w:rFonts w:hint="eastAsia"/>
                <w:b w:val="0"/>
                <w:bCs w:val="0"/>
                <w:snapToGrid/>
                <w:color w:val="auto"/>
                <w:kern w:val="2"/>
                <w:sz w:val="24"/>
                <w:szCs w:val="24"/>
                <w:lang w:val="en-US" w:eastAsia="zh-CN"/>
              </w:rPr>
              <w:t>煤田灭火工作实施方案</w:t>
            </w:r>
            <w:r>
              <w:rPr>
                <w:rFonts w:hint="eastAsia" w:cs="Times New Roman"/>
                <w:b w:val="0"/>
                <w:bCs w:val="0"/>
                <w:caps w:val="0"/>
                <w:color w:val="auto"/>
                <w:sz w:val="24"/>
                <w:highlight w:val="none"/>
                <w:lang w:val="en-US" w:eastAsia="zh-CN"/>
              </w:rPr>
              <w:t>&gt;的补充通知</w:t>
            </w:r>
            <w:r>
              <w:rPr>
                <w:rFonts w:hint="eastAsia" w:ascii="Times New Roman" w:hAnsi="Times New Roman" w:eastAsia="宋体" w:cs="Times New Roman"/>
                <w:b w:val="0"/>
                <w:bCs w:val="0"/>
                <w:caps w:val="0"/>
                <w:color w:val="auto"/>
                <w:sz w:val="24"/>
                <w:highlight w:val="none"/>
                <w:lang w:val="en-US" w:eastAsia="zh-CN"/>
              </w:rPr>
              <w:t>》</w:t>
            </w:r>
            <w:r>
              <w:rPr>
                <w:rFonts w:hint="eastAsia" w:ascii="Times New Roman" w:hAnsi="Times New Roman" w:eastAsia="宋体" w:cs="Times New Roman"/>
                <w:b w:val="0"/>
                <w:bCs w:val="0"/>
                <w:caps w:val="0"/>
                <w:color w:val="auto"/>
                <w:sz w:val="24"/>
                <w:szCs w:val="24"/>
                <w:highlight w:val="none"/>
                <w:lang w:val="en-US" w:eastAsia="zh-CN"/>
              </w:rPr>
              <w:t>（</w:t>
            </w:r>
            <w:r>
              <w:rPr>
                <w:rFonts w:hint="eastAsia"/>
                <w:b w:val="0"/>
                <w:bCs w:val="0"/>
                <w:caps w:val="0"/>
                <w:color w:val="auto"/>
                <w:sz w:val="24"/>
                <w:highlight w:val="none"/>
                <w:lang w:val="en-US" w:eastAsia="zh-CN"/>
              </w:rPr>
              <w:t>新政办发</w:t>
            </w:r>
            <w:r>
              <w:rPr>
                <w:rFonts w:hint="default" w:ascii="Times New Roman" w:hAnsi="Times New Roman" w:cs="Times New Roman"/>
                <w:b w:val="0"/>
                <w:bCs w:val="0"/>
                <w:color w:val="auto"/>
                <w:kern w:val="0"/>
                <w:sz w:val="24"/>
                <w:lang w:eastAsia="zh-CN"/>
              </w:rPr>
              <w:t>〔</w:t>
            </w:r>
            <w:r>
              <w:rPr>
                <w:rFonts w:hint="eastAsia" w:ascii="Times New Roman" w:hAnsi="Times New Roman" w:cs="Times New Roman"/>
                <w:b w:val="0"/>
                <w:bCs w:val="0"/>
                <w:color w:val="auto"/>
                <w:kern w:val="0"/>
                <w:sz w:val="24"/>
                <w:lang w:val="en-US" w:eastAsia="zh-CN"/>
              </w:rPr>
              <w:t>2024</w:t>
            </w:r>
            <w:r>
              <w:rPr>
                <w:rFonts w:hint="default" w:ascii="Times New Roman" w:hAnsi="Times New Roman" w:cs="Times New Roman"/>
                <w:b w:val="0"/>
                <w:bCs w:val="0"/>
                <w:color w:val="auto"/>
                <w:kern w:val="0"/>
                <w:sz w:val="24"/>
                <w:lang w:eastAsia="zh-CN"/>
              </w:rPr>
              <w:t>〕</w:t>
            </w:r>
            <w:r>
              <w:rPr>
                <w:rFonts w:hint="eastAsia" w:cs="Times New Roman"/>
                <w:b w:val="0"/>
                <w:bCs w:val="0"/>
                <w:color w:val="auto"/>
                <w:kern w:val="0"/>
                <w:sz w:val="24"/>
                <w:lang w:val="en-US" w:eastAsia="zh-CN"/>
              </w:rPr>
              <w:t>17</w:t>
            </w:r>
            <w:r>
              <w:rPr>
                <w:rFonts w:hint="default" w:ascii="Times New Roman" w:hAnsi="Times New Roman" w:cs="Times New Roman"/>
                <w:b w:val="0"/>
                <w:bCs w:val="0"/>
                <w:color w:val="auto"/>
                <w:kern w:val="0"/>
                <w:sz w:val="24"/>
              </w:rPr>
              <w:t>号</w:t>
            </w:r>
            <w:r>
              <w:rPr>
                <w:rFonts w:hint="eastAsia" w:ascii="Times New Roman" w:hAnsi="Times New Roman" w:eastAsia="宋体" w:cs="Times New Roman"/>
                <w:b w:val="0"/>
                <w:bCs w:val="0"/>
                <w:caps w:val="0"/>
                <w:color w:val="auto"/>
                <w:sz w:val="24"/>
                <w:szCs w:val="24"/>
                <w:highlight w:val="none"/>
                <w:lang w:val="en-US" w:eastAsia="zh-CN"/>
              </w:rPr>
              <w:t>）</w:t>
            </w:r>
            <w:r>
              <w:rPr>
                <w:rFonts w:hint="eastAsia" w:ascii="Times New Roman" w:hAnsi="Times New Roman" w:cs="Times New Roman"/>
                <w:b w:val="0"/>
                <w:bCs w:val="0"/>
                <w:caps w:val="0"/>
                <w:color w:val="auto"/>
                <w:sz w:val="24"/>
                <w:highlight w:val="none"/>
                <w:lang w:val="en-US" w:eastAsia="zh-CN"/>
              </w:rPr>
              <w:t>相关</w:t>
            </w:r>
            <w:r>
              <w:rPr>
                <w:rFonts w:hint="eastAsia" w:ascii="Times New Roman" w:hAnsi="Times New Roman" w:eastAsia="宋体" w:cs="Times New Roman"/>
                <w:b w:val="0"/>
                <w:bCs w:val="0"/>
                <w:caps w:val="0"/>
                <w:color w:val="auto"/>
                <w:sz w:val="24"/>
                <w:highlight w:val="none"/>
                <w:lang w:val="en-US" w:eastAsia="zh-CN"/>
              </w:rPr>
              <w:t>符合性分析详见表1</w:t>
            </w:r>
            <w:r>
              <w:rPr>
                <w:rFonts w:hint="eastAsia" w:cs="Times New Roman"/>
                <w:b w:val="0"/>
                <w:bCs w:val="0"/>
                <w:caps w:val="0"/>
                <w:color w:val="auto"/>
                <w:sz w:val="24"/>
                <w:highlight w:val="none"/>
                <w:lang w:val="en-US" w:eastAsia="zh-CN"/>
              </w:rPr>
              <w:t>-6</w:t>
            </w:r>
            <w:r>
              <w:rPr>
                <w:rFonts w:hint="eastAsia" w:ascii="Times New Roman" w:hAnsi="Times New Roman" w:eastAsia="宋体" w:cs="Times New Roman"/>
                <w:b w:val="0"/>
                <w:bCs w:val="0"/>
                <w:caps w:val="0"/>
                <w:color w:val="auto"/>
                <w:sz w:val="24"/>
                <w:highlight w:val="none"/>
                <w:lang w:val="en-US" w:eastAsia="zh-CN"/>
              </w:rPr>
              <w:t>。</w:t>
            </w:r>
          </w:p>
          <w:p w14:paraId="27AA8DA7">
            <w:pPr>
              <w:keepNext w:val="0"/>
              <w:keepLines w:val="0"/>
              <w:pageBreakBefore w:val="0"/>
              <w:suppressLineNumbers w:val="0"/>
              <w:tabs>
                <w:tab w:val="left" w:pos="2940"/>
                <w:tab w:val="center" w:pos="4630"/>
              </w:tabs>
              <w:kinsoku/>
              <w:wordWrap/>
              <w:autoSpaceDE w:val="0"/>
              <w:autoSpaceDN w:val="0"/>
              <w:bidi w:val="0"/>
              <w:adjustRightInd/>
              <w:snapToGrid/>
              <w:spacing w:before="0" w:beforeAutospacing="0" w:after="0" w:afterAutospacing="0"/>
              <w:ind w:left="0" w:right="0"/>
              <w:jc w:val="center"/>
              <w:rPr>
                <w:rFonts w:hint="default" w:ascii="Times New Roman" w:hAnsi="Times New Roman" w:eastAsia="宋体"/>
                <w:b/>
                <w:bCs/>
                <w:caps w:val="0"/>
                <w:color w:val="auto"/>
                <w:kern w:val="0"/>
                <w:sz w:val="21"/>
                <w:szCs w:val="21"/>
                <w:highlight w:val="none"/>
              </w:rPr>
            </w:pPr>
            <w:r>
              <w:rPr>
                <w:rFonts w:hint="default" w:ascii="Times New Roman" w:hAnsi="Times New Roman" w:eastAsia="宋体"/>
                <w:b/>
                <w:bCs/>
                <w:caps w:val="0"/>
                <w:color w:val="auto"/>
                <w:kern w:val="0"/>
                <w:sz w:val="21"/>
                <w:szCs w:val="21"/>
                <w:highlight w:val="none"/>
              </w:rPr>
              <w:t>表</w:t>
            </w:r>
            <w:r>
              <w:rPr>
                <w:rFonts w:hint="eastAsia" w:ascii="Times New Roman" w:hAnsi="Times New Roman" w:eastAsia="宋体"/>
                <w:b/>
                <w:bCs/>
                <w:caps w:val="0"/>
                <w:color w:val="auto"/>
                <w:kern w:val="0"/>
                <w:sz w:val="21"/>
                <w:szCs w:val="21"/>
                <w:highlight w:val="none"/>
              </w:rPr>
              <w:t>1-</w:t>
            </w:r>
            <w:r>
              <w:rPr>
                <w:rFonts w:hint="eastAsia"/>
                <w:b/>
                <w:bCs/>
                <w:caps w:val="0"/>
                <w:color w:val="auto"/>
                <w:kern w:val="0"/>
                <w:sz w:val="21"/>
                <w:szCs w:val="21"/>
                <w:highlight w:val="none"/>
                <w:lang w:val="en-US" w:eastAsia="zh-CN"/>
              </w:rPr>
              <w:t>6</w:t>
            </w:r>
            <w:r>
              <w:rPr>
                <w:rFonts w:hint="eastAsia" w:ascii="Times New Roman" w:hAnsi="Times New Roman" w:eastAsia="宋体"/>
                <w:b/>
                <w:bCs/>
                <w:caps w:val="0"/>
                <w:color w:val="auto"/>
                <w:kern w:val="0"/>
                <w:sz w:val="21"/>
                <w:szCs w:val="21"/>
                <w:highlight w:val="none"/>
              </w:rPr>
              <w:t xml:space="preserve"> </w:t>
            </w:r>
            <w:r>
              <w:rPr>
                <w:rFonts w:hint="default" w:ascii="Times New Roman" w:hAnsi="Times New Roman" w:eastAsia="宋体"/>
                <w:b/>
                <w:bCs/>
                <w:caps w:val="0"/>
                <w:color w:val="auto"/>
                <w:kern w:val="0"/>
                <w:sz w:val="21"/>
                <w:szCs w:val="21"/>
                <w:highlight w:val="none"/>
              </w:rPr>
              <w:t xml:space="preserve"> </w:t>
            </w:r>
            <w:r>
              <w:rPr>
                <w:rFonts w:hint="eastAsia" w:ascii="Times New Roman" w:hAnsi="Times New Roman" w:eastAsia="宋体"/>
                <w:b/>
                <w:bCs/>
                <w:caps w:val="0"/>
                <w:color w:val="auto"/>
                <w:kern w:val="0"/>
                <w:sz w:val="21"/>
                <w:szCs w:val="21"/>
                <w:highlight w:val="none"/>
              </w:rPr>
              <w:t>与</w:t>
            </w:r>
            <w:r>
              <w:rPr>
                <w:rFonts w:hint="default"/>
                <w:b/>
                <w:bCs/>
                <w:snapToGrid/>
                <w:color w:val="auto"/>
                <w:kern w:val="2"/>
                <w:sz w:val="21"/>
                <w:szCs w:val="21"/>
              </w:rPr>
              <w:t>《新疆维吾尔自治区</w:t>
            </w:r>
            <w:r>
              <w:rPr>
                <w:rFonts w:hint="eastAsia"/>
                <w:b/>
                <w:bCs/>
                <w:snapToGrid/>
                <w:color w:val="auto"/>
                <w:kern w:val="2"/>
                <w:sz w:val="21"/>
                <w:szCs w:val="21"/>
                <w:lang w:val="en-US" w:eastAsia="zh-CN"/>
              </w:rPr>
              <w:t>煤田灭火工作实施方案</w:t>
            </w:r>
            <w:r>
              <w:rPr>
                <w:rFonts w:hint="default"/>
                <w:b/>
                <w:bCs/>
                <w:snapToGrid/>
                <w:color w:val="auto"/>
                <w:kern w:val="2"/>
                <w:sz w:val="21"/>
                <w:szCs w:val="21"/>
              </w:rPr>
              <w:t>》</w:t>
            </w:r>
            <w:r>
              <w:rPr>
                <w:rFonts w:hint="eastAsia"/>
                <w:b/>
                <w:bCs/>
                <w:snapToGrid/>
                <w:color w:val="auto"/>
                <w:kern w:val="2"/>
                <w:sz w:val="21"/>
                <w:szCs w:val="21"/>
                <w:lang w:val="en-US" w:eastAsia="zh-CN"/>
              </w:rPr>
              <w:t>及补充通知</w:t>
            </w:r>
            <w:r>
              <w:rPr>
                <w:rFonts w:hint="default" w:ascii="Times New Roman" w:hAnsi="Times New Roman" w:eastAsia="宋体"/>
                <w:b/>
                <w:bCs/>
                <w:caps w:val="0"/>
                <w:color w:val="auto"/>
                <w:kern w:val="0"/>
                <w:sz w:val="21"/>
                <w:szCs w:val="21"/>
                <w:highlight w:val="none"/>
              </w:rPr>
              <w:t>符合性分析一览表</w:t>
            </w:r>
          </w:p>
          <w:tbl>
            <w:tblPr>
              <w:tblStyle w:val="26"/>
              <w:tblW w:w="7606"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57" w:type="dxa"/>
                <w:left w:w="57" w:type="dxa"/>
                <w:bottom w:w="57" w:type="dxa"/>
                <w:right w:w="57" w:type="dxa"/>
              </w:tblCellMar>
            </w:tblPr>
            <w:tblGrid>
              <w:gridCol w:w="4268"/>
              <w:gridCol w:w="2505"/>
              <w:gridCol w:w="833"/>
            </w:tblGrid>
            <w:tr w14:paraId="2074F1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368" w:hRule="atLeast"/>
                <w:jc w:val="center"/>
              </w:trPr>
              <w:tc>
                <w:tcPr>
                  <w:tcW w:w="4268" w:type="dxa"/>
                  <w:tcBorders>
                    <w:tl2br w:val="nil"/>
                    <w:tr2bl w:val="nil"/>
                  </w:tcBorders>
                  <w:noWrap w:val="0"/>
                  <w:vAlign w:val="center"/>
                </w:tcPr>
                <w:p w14:paraId="771867FF">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lang w:val="en-US"/>
                    </w:rPr>
                  </w:pPr>
                  <w:r>
                    <w:rPr>
                      <w:rFonts w:hint="eastAsia" w:ascii="Times New Roman" w:hAnsi="Times New Roman" w:cs="Times New Roman"/>
                      <w:b w:val="0"/>
                      <w:bCs w:val="0"/>
                      <w:caps w:val="0"/>
                      <w:color w:val="auto"/>
                      <w:sz w:val="21"/>
                      <w:szCs w:val="21"/>
                      <w:highlight w:val="none"/>
                      <w:lang w:val="en-US" w:eastAsia="zh-CN"/>
                    </w:rPr>
                    <w:t>相关要求</w:t>
                  </w:r>
                </w:p>
              </w:tc>
              <w:tc>
                <w:tcPr>
                  <w:tcW w:w="2505" w:type="dxa"/>
                  <w:tcBorders>
                    <w:tl2br w:val="nil"/>
                    <w:tr2bl w:val="nil"/>
                  </w:tcBorders>
                  <w:noWrap w:val="0"/>
                  <w:vAlign w:val="center"/>
                </w:tcPr>
                <w:p w14:paraId="20A22BE6">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rPr>
                    <w:t>项目情况</w:t>
                  </w:r>
                </w:p>
              </w:tc>
              <w:tc>
                <w:tcPr>
                  <w:tcW w:w="833" w:type="dxa"/>
                  <w:tcBorders>
                    <w:tl2br w:val="nil"/>
                    <w:tr2bl w:val="nil"/>
                  </w:tcBorders>
                  <w:noWrap w:val="0"/>
                  <w:vAlign w:val="center"/>
                </w:tcPr>
                <w:p w14:paraId="0C5C2DE2">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rPr>
                    <w:t>符合性</w:t>
                  </w:r>
                </w:p>
              </w:tc>
            </w:tr>
            <w:tr w14:paraId="0992EE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4268" w:type="dxa"/>
                  <w:tcBorders>
                    <w:tl2br w:val="nil"/>
                    <w:tr2bl w:val="nil"/>
                  </w:tcBorders>
                  <w:noWrap w:val="0"/>
                  <w:vAlign w:val="center"/>
                </w:tcPr>
                <w:p w14:paraId="66B68F4F">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b w:val="0"/>
                      <w:bCs w:val="0"/>
                      <w:snapToGrid/>
                      <w:color w:val="auto"/>
                      <w:kern w:val="2"/>
                      <w:sz w:val="21"/>
                      <w:szCs w:val="21"/>
                      <w:highlight w:val="none"/>
                      <w:lang w:val="en-US" w:eastAsia="zh-CN" w:bidi="ar-SA"/>
                    </w:rPr>
                  </w:pPr>
                  <w:r>
                    <w:rPr>
                      <w:rFonts w:hint="eastAsia" w:cs="Times New Roman"/>
                      <w:b w:val="0"/>
                      <w:bCs w:val="0"/>
                      <w:caps w:val="0"/>
                      <w:color w:val="auto"/>
                      <w:sz w:val="24"/>
                      <w:szCs w:val="24"/>
                      <w:highlight w:val="none"/>
                      <w:lang w:val="en-US" w:eastAsia="zh-CN"/>
                    </w:rPr>
                    <w:t>工作目标：为建立健全煤田火灾监测预警系统，形成早预防、早发现、早治理的良性机制；煤田火灾防治管理更加科学规范，治理责任及时有效落实；到2025年，本方案确定的81处煤田火区全部治理完毕。</w:t>
                  </w:r>
                </w:p>
              </w:tc>
              <w:tc>
                <w:tcPr>
                  <w:tcW w:w="2505" w:type="dxa"/>
                  <w:tcBorders>
                    <w:tl2br w:val="nil"/>
                    <w:tr2bl w:val="nil"/>
                  </w:tcBorders>
                  <w:noWrap w:val="0"/>
                  <w:vAlign w:val="center"/>
                </w:tcPr>
                <w:p w14:paraId="57CE926D">
                  <w:pPr>
                    <w:keepNext w:val="0"/>
                    <w:keepLines w:val="0"/>
                    <w:widowControl/>
                    <w:suppressLineNumbers w:val="0"/>
                    <w:spacing w:before="0" w:beforeAutospacing="0" w:after="0" w:afterAutospacing="0"/>
                    <w:ind w:left="0" w:right="0"/>
                    <w:jc w:val="left"/>
                    <w:rPr>
                      <w:rFonts w:hint="eastAsia" w:cs="Times New Roman"/>
                      <w:b w:val="0"/>
                      <w:bCs w:val="0"/>
                      <w:caps w:val="0"/>
                      <w:color w:val="auto"/>
                      <w:sz w:val="21"/>
                      <w:szCs w:val="21"/>
                      <w:highlight w:val="none"/>
                      <w:lang w:val="en-US" w:eastAsia="zh-CN"/>
                    </w:rPr>
                  </w:pPr>
                  <w:r>
                    <w:rPr>
                      <w:rFonts w:hint="eastAsia" w:cs="Times New Roman"/>
                      <w:b w:val="0"/>
                      <w:bCs w:val="0"/>
                      <w:caps w:val="0"/>
                      <w:color w:val="auto"/>
                      <w:sz w:val="21"/>
                      <w:szCs w:val="21"/>
                      <w:highlight w:val="none"/>
                      <w:lang w:val="en-US" w:eastAsia="zh-CN"/>
                    </w:rPr>
                    <w:t>本项目为《</w:t>
                  </w:r>
                  <w:r>
                    <w:rPr>
                      <w:rFonts w:hint="default" w:cs="Times New Roman"/>
                      <w:b w:val="0"/>
                      <w:bCs w:val="0"/>
                      <w:caps w:val="0"/>
                      <w:color w:val="auto"/>
                      <w:sz w:val="21"/>
                      <w:szCs w:val="21"/>
                      <w:highlight w:val="none"/>
                      <w:lang w:val="en-US" w:eastAsia="zh-CN"/>
                    </w:rPr>
                    <w:t>新疆维吾尔自治区</w:t>
                  </w:r>
                  <w:r>
                    <w:rPr>
                      <w:rFonts w:hint="eastAsia" w:cs="Times New Roman"/>
                      <w:b w:val="0"/>
                      <w:bCs w:val="0"/>
                      <w:caps w:val="0"/>
                      <w:color w:val="auto"/>
                      <w:sz w:val="21"/>
                      <w:szCs w:val="21"/>
                      <w:highlight w:val="none"/>
                      <w:lang w:val="en-US" w:eastAsia="zh-CN"/>
                    </w:rPr>
                    <w:t>煤田灭火工作实施方案》确定的81处煤田火区治理工程之一。</w:t>
                  </w:r>
                </w:p>
                <w:p w14:paraId="76569985">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p>
              </w:tc>
              <w:tc>
                <w:tcPr>
                  <w:tcW w:w="833" w:type="dxa"/>
                  <w:tcBorders>
                    <w:tl2br w:val="nil"/>
                    <w:tr2bl w:val="nil"/>
                  </w:tcBorders>
                  <w:noWrap w:val="0"/>
                  <w:vAlign w:val="center"/>
                </w:tcPr>
                <w:p w14:paraId="5F7B859B">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符号</w:t>
                  </w:r>
                </w:p>
              </w:tc>
            </w:tr>
            <w:tr w14:paraId="3C2340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4268" w:type="dxa"/>
                  <w:tcBorders>
                    <w:tl2br w:val="nil"/>
                    <w:tr2bl w:val="nil"/>
                  </w:tcBorders>
                  <w:noWrap w:val="0"/>
                  <w:vAlign w:val="center"/>
                </w:tcPr>
                <w:p w14:paraId="1836330E">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eastAsia" w:ascii="Times New Roman" w:hAnsi="Times New Roman" w:eastAsia="宋体" w:cs="Times New Roman"/>
                      <w:b w:val="0"/>
                      <w:bCs w:val="0"/>
                      <w:snapToGrid/>
                      <w:color w:val="auto"/>
                      <w:kern w:val="2"/>
                      <w:sz w:val="21"/>
                      <w:szCs w:val="21"/>
                      <w:highlight w:val="none"/>
                      <w:lang w:val="en-US" w:eastAsia="zh-CN" w:bidi="ar-SA"/>
                    </w:rPr>
                    <w:t>落实煤田火区治理责任</w:t>
                  </w:r>
                  <w:r>
                    <w:rPr>
                      <w:rFonts w:hint="eastAsia" w:cs="Times New Roman"/>
                      <w:b w:val="0"/>
                      <w:bCs w:val="0"/>
                      <w:snapToGrid/>
                      <w:color w:val="auto"/>
                      <w:kern w:val="2"/>
                      <w:sz w:val="21"/>
                      <w:szCs w:val="21"/>
                      <w:highlight w:val="none"/>
                      <w:lang w:val="en-US" w:eastAsia="zh-CN" w:bidi="ar-SA"/>
                    </w:rPr>
                    <w:t>。</w:t>
                  </w:r>
                  <w:r>
                    <w:rPr>
                      <w:rFonts w:hint="eastAsia" w:ascii="Times New Roman" w:hAnsi="Times New Roman" w:eastAsia="宋体" w:cs="Times New Roman"/>
                      <w:b w:val="0"/>
                      <w:bCs w:val="0"/>
                      <w:snapToGrid/>
                      <w:color w:val="auto"/>
                      <w:kern w:val="2"/>
                      <w:sz w:val="21"/>
                      <w:szCs w:val="21"/>
                      <w:highlight w:val="none"/>
                      <w:lang w:val="en-US" w:eastAsia="zh-CN" w:bidi="ar-SA"/>
                    </w:rPr>
                    <w:t>1.无采矿权（包括探矿权和空白区，下同</w:t>
                  </w:r>
                  <w:r>
                    <w:rPr>
                      <w:rFonts w:hint="eastAsia" w:cs="Times New Roman"/>
                      <w:b w:val="0"/>
                      <w:bCs w:val="0"/>
                      <w:snapToGrid/>
                      <w:color w:val="auto"/>
                      <w:kern w:val="2"/>
                      <w:sz w:val="21"/>
                      <w:szCs w:val="21"/>
                      <w:highlight w:val="none"/>
                      <w:lang w:val="en-US" w:eastAsia="zh-CN" w:bidi="ar-SA"/>
                    </w:rPr>
                    <w:t>）</w:t>
                  </w:r>
                  <w:r>
                    <w:rPr>
                      <w:rFonts w:hint="eastAsia" w:ascii="Times New Roman" w:hAnsi="Times New Roman" w:eastAsia="宋体" w:cs="Times New Roman"/>
                      <w:b w:val="0"/>
                      <w:bCs w:val="0"/>
                      <w:snapToGrid/>
                      <w:color w:val="auto"/>
                      <w:kern w:val="2"/>
                      <w:sz w:val="21"/>
                      <w:szCs w:val="21"/>
                      <w:highlight w:val="none"/>
                      <w:lang w:val="en-US" w:eastAsia="zh-CN" w:bidi="ar-SA"/>
                    </w:rPr>
                    <w:t>的煤田火区由县（市、区</w:t>
                  </w:r>
                  <w:r>
                    <w:rPr>
                      <w:rFonts w:hint="eastAsia" w:cs="Times New Roman"/>
                      <w:b w:val="0"/>
                      <w:bCs w:val="0"/>
                      <w:snapToGrid/>
                      <w:color w:val="auto"/>
                      <w:kern w:val="2"/>
                      <w:sz w:val="21"/>
                      <w:szCs w:val="21"/>
                      <w:highlight w:val="none"/>
                      <w:lang w:val="en-US" w:eastAsia="zh-CN" w:bidi="ar-SA"/>
                    </w:rPr>
                    <w:t>）</w:t>
                  </w:r>
                  <w:r>
                    <w:rPr>
                      <w:rFonts w:hint="eastAsia" w:ascii="Times New Roman" w:hAnsi="Times New Roman" w:eastAsia="宋体" w:cs="Times New Roman"/>
                      <w:b w:val="0"/>
                      <w:bCs w:val="0"/>
                      <w:snapToGrid/>
                      <w:color w:val="auto"/>
                      <w:kern w:val="2"/>
                      <w:sz w:val="21"/>
                      <w:szCs w:val="21"/>
                      <w:highlight w:val="none"/>
                      <w:lang w:val="en-US" w:eastAsia="zh-CN" w:bidi="ar-SA"/>
                    </w:rPr>
                    <w:t>人民政府承担治理主体责任，治理资金由地（州、市)人民政府（行政公署</w:t>
                  </w:r>
                  <w:r>
                    <w:rPr>
                      <w:rFonts w:hint="eastAsia" w:cs="Times New Roman"/>
                      <w:b w:val="0"/>
                      <w:bCs w:val="0"/>
                      <w:snapToGrid/>
                      <w:color w:val="auto"/>
                      <w:kern w:val="2"/>
                      <w:sz w:val="21"/>
                      <w:szCs w:val="21"/>
                      <w:highlight w:val="none"/>
                      <w:lang w:val="en-US" w:eastAsia="zh-CN" w:bidi="ar-SA"/>
                    </w:rPr>
                    <w:t>）</w:t>
                  </w:r>
                  <w:r>
                    <w:rPr>
                      <w:rFonts w:hint="eastAsia" w:ascii="Times New Roman" w:hAnsi="Times New Roman" w:eastAsia="宋体" w:cs="Times New Roman"/>
                      <w:b w:val="0"/>
                      <w:bCs w:val="0"/>
                      <w:snapToGrid/>
                      <w:color w:val="auto"/>
                      <w:kern w:val="2"/>
                      <w:sz w:val="21"/>
                      <w:szCs w:val="21"/>
                      <w:highlight w:val="none"/>
                      <w:lang w:val="en-US" w:eastAsia="zh-CN" w:bidi="ar-SA"/>
                    </w:rPr>
                    <w:t>、县（市、区）人民政府共同筹措解决。2.有采矿权的煤田火区由采矿权人承担治理主体责任，地（州、市）人民政府（行政公署）督促采矿权人落实治理资金。</w:t>
                  </w:r>
                </w:p>
              </w:tc>
              <w:tc>
                <w:tcPr>
                  <w:tcW w:w="2505" w:type="dxa"/>
                  <w:tcBorders>
                    <w:tl2br w:val="nil"/>
                    <w:tr2bl w:val="nil"/>
                  </w:tcBorders>
                  <w:noWrap w:val="0"/>
                  <w:vAlign w:val="center"/>
                </w:tcPr>
                <w:p w14:paraId="286290CE">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本项目对</w:t>
                  </w:r>
                  <w:r>
                    <w:rPr>
                      <w:rFonts w:hint="eastAsia" w:cs="Times New Roman"/>
                      <w:color w:val="auto"/>
                      <w:sz w:val="21"/>
                      <w:szCs w:val="21"/>
                      <w:lang w:val="en-US" w:eastAsia="zh-CN"/>
                    </w:rPr>
                    <w:t>1号子火区、2地子火区、3号子火区进行灭火治理工程，火区位于</w:t>
                  </w:r>
                  <w:r>
                    <w:rPr>
                      <w:rFonts w:hint="default" w:ascii="Times New Roman" w:hAnsi="Times New Roman" w:eastAsia="宋体" w:cs="Times New Roman"/>
                      <w:color w:val="auto"/>
                      <w:spacing w:val="-1"/>
                      <w:kern w:val="2"/>
                      <w:sz w:val="21"/>
                      <w:szCs w:val="21"/>
                      <w:lang w:val="en-US" w:eastAsia="zh-CN" w:bidi="ar-SA"/>
                    </w:rPr>
                    <w:t>新疆富城矿业投资有限公司阜康市康龙煤矿</w:t>
                  </w:r>
                  <w:r>
                    <w:rPr>
                      <w:rFonts w:hint="eastAsia" w:ascii="Times New Roman" w:hAnsi="Times New Roman" w:eastAsia="宋体" w:cs="Times New Roman"/>
                      <w:color w:val="auto"/>
                      <w:spacing w:val="-1"/>
                      <w:kern w:val="2"/>
                      <w:sz w:val="21"/>
                      <w:szCs w:val="21"/>
                      <w:lang w:val="en-US" w:eastAsia="zh-CN" w:bidi="ar-SA"/>
                    </w:rPr>
                    <w:t>采矿权范围内，治理主体为</w:t>
                  </w:r>
                  <w:r>
                    <w:rPr>
                      <w:rFonts w:hint="default" w:ascii="Times New Roman" w:hAnsi="Times New Roman" w:eastAsia="宋体" w:cs="Times New Roman"/>
                      <w:color w:val="auto"/>
                      <w:spacing w:val="-1"/>
                      <w:kern w:val="2"/>
                      <w:sz w:val="21"/>
                      <w:szCs w:val="21"/>
                      <w:lang w:val="en-US" w:eastAsia="zh-CN" w:bidi="ar-SA"/>
                    </w:rPr>
                    <w:t>新疆富城矿业投资有限公司</w:t>
                  </w:r>
                  <w:r>
                    <w:rPr>
                      <w:rFonts w:hint="eastAsia" w:ascii="Times New Roman" w:hAnsi="Times New Roman" w:eastAsia="宋体" w:cs="Times New Roman"/>
                      <w:color w:val="auto"/>
                      <w:spacing w:val="-1"/>
                      <w:kern w:val="2"/>
                      <w:sz w:val="21"/>
                      <w:szCs w:val="21"/>
                      <w:lang w:val="en-US" w:eastAsia="zh-CN" w:bidi="ar-SA"/>
                    </w:rPr>
                    <w:t>。</w:t>
                  </w:r>
                </w:p>
              </w:tc>
              <w:tc>
                <w:tcPr>
                  <w:tcW w:w="833" w:type="dxa"/>
                  <w:tcBorders>
                    <w:tl2br w:val="nil"/>
                    <w:tr2bl w:val="nil"/>
                  </w:tcBorders>
                  <w:noWrap w:val="0"/>
                  <w:vAlign w:val="center"/>
                </w:tcPr>
                <w:p w14:paraId="6E892F05">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eastAsia"/>
                      <w:b w:val="0"/>
                      <w:bCs w:val="0"/>
                      <w:caps w:val="0"/>
                      <w:color w:val="auto"/>
                      <w:sz w:val="21"/>
                      <w:szCs w:val="21"/>
                      <w:highlight w:val="none"/>
                      <w:lang w:val="en-US" w:eastAsia="zh-CN"/>
                    </w:rPr>
                    <w:t>符号</w:t>
                  </w:r>
                </w:p>
              </w:tc>
            </w:tr>
            <w:tr w14:paraId="7E8A9B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4268" w:type="dxa"/>
                  <w:tcBorders>
                    <w:tl2br w:val="nil"/>
                    <w:tr2bl w:val="nil"/>
                  </w:tcBorders>
                  <w:noWrap w:val="0"/>
                  <w:vAlign w:val="center"/>
                </w:tcPr>
                <w:p w14:paraId="2E0A741F">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eastAsia" w:ascii="Times New Roman" w:hAnsi="Times New Roman" w:eastAsia="宋体" w:cs="Times New Roman"/>
                      <w:b w:val="0"/>
                      <w:bCs w:val="0"/>
                      <w:snapToGrid/>
                      <w:color w:val="auto"/>
                      <w:kern w:val="2"/>
                      <w:sz w:val="21"/>
                      <w:szCs w:val="21"/>
                      <w:highlight w:val="none"/>
                      <w:lang w:val="en-US" w:eastAsia="zh-CN" w:bidi="ar-SA"/>
                    </w:rPr>
                    <w:t>加快煤田火区治理进度。2022年底前，完成米泉羊毛工等8处煤田火区治理工作</w:t>
                  </w:r>
                  <w:r>
                    <w:rPr>
                      <w:rFonts w:hint="eastAsia" w:cs="Times New Roman"/>
                      <w:b w:val="0"/>
                      <w:bCs w:val="0"/>
                      <w:snapToGrid/>
                      <w:color w:val="auto"/>
                      <w:kern w:val="2"/>
                      <w:sz w:val="21"/>
                      <w:szCs w:val="21"/>
                      <w:highlight w:val="none"/>
                      <w:lang w:val="en-US" w:eastAsia="zh-CN" w:bidi="ar-SA"/>
                    </w:rPr>
                    <w:t>；</w:t>
                  </w:r>
                  <w:r>
                    <w:rPr>
                      <w:rFonts w:hint="eastAsia" w:ascii="Times New Roman" w:hAnsi="Times New Roman" w:eastAsia="宋体" w:cs="Times New Roman"/>
                      <w:b w:val="0"/>
                      <w:bCs w:val="0"/>
                      <w:snapToGrid/>
                      <w:color w:val="auto"/>
                      <w:kern w:val="2"/>
                      <w:sz w:val="21"/>
                      <w:szCs w:val="21"/>
                      <w:highlight w:val="none"/>
                      <w:lang w:val="en-US" w:eastAsia="zh-CN" w:bidi="ar-SA"/>
                    </w:rPr>
                    <w:t>2023年底前，完成乌鲁木齐苏拉布拉克等28处煤田火区治理工作</w:t>
                  </w:r>
                  <w:r>
                    <w:rPr>
                      <w:rFonts w:hint="eastAsia" w:cs="Times New Roman"/>
                      <w:b w:val="0"/>
                      <w:bCs w:val="0"/>
                      <w:snapToGrid/>
                      <w:color w:val="auto"/>
                      <w:kern w:val="2"/>
                      <w:sz w:val="21"/>
                      <w:szCs w:val="21"/>
                      <w:highlight w:val="none"/>
                      <w:lang w:val="en-US" w:eastAsia="zh-CN" w:bidi="ar-SA"/>
                    </w:rPr>
                    <w:t>；</w:t>
                  </w:r>
                  <w:r>
                    <w:rPr>
                      <w:rFonts w:hint="eastAsia" w:ascii="Times New Roman" w:hAnsi="Times New Roman" w:eastAsia="宋体" w:cs="Times New Roman"/>
                      <w:b w:val="0"/>
                      <w:bCs w:val="0"/>
                      <w:snapToGrid/>
                      <w:color w:val="auto"/>
                      <w:kern w:val="2"/>
                      <w:sz w:val="21"/>
                      <w:szCs w:val="21"/>
                      <w:highlight w:val="none"/>
                      <w:lang w:val="en-US" w:eastAsia="zh-CN" w:bidi="ar-SA"/>
                    </w:rPr>
                    <w:t>2024年底前，完成达坂城方家沟等35处煤田火区治理工作；2025年底前，完成昌吉庙尔沟等10处煤田火区治理工作。</w:t>
                  </w:r>
                </w:p>
              </w:tc>
              <w:tc>
                <w:tcPr>
                  <w:tcW w:w="2505" w:type="dxa"/>
                  <w:tcBorders>
                    <w:tl2br w:val="nil"/>
                    <w:tr2bl w:val="nil"/>
                  </w:tcBorders>
                  <w:noWrap w:val="0"/>
                  <w:vAlign w:val="center"/>
                </w:tcPr>
                <w:p w14:paraId="6092C42A">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本项目为</w:t>
                  </w:r>
                  <w:r>
                    <w:rPr>
                      <w:rFonts w:hint="eastAsia" w:cs="Times New Roman"/>
                      <w:b w:val="0"/>
                      <w:bCs w:val="0"/>
                      <w:caps w:val="0"/>
                      <w:color w:val="auto"/>
                      <w:sz w:val="21"/>
                      <w:szCs w:val="21"/>
                      <w:highlight w:val="none"/>
                      <w:lang w:val="en-US" w:eastAsia="zh-CN"/>
                    </w:rPr>
                    <w:t>《</w:t>
                  </w:r>
                  <w:r>
                    <w:rPr>
                      <w:rFonts w:hint="default" w:cs="Times New Roman"/>
                      <w:b w:val="0"/>
                      <w:bCs w:val="0"/>
                      <w:caps w:val="0"/>
                      <w:color w:val="auto"/>
                      <w:sz w:val="21"/>
                      <w:szCs w:val="21"/>
                      <w:highlight w:val="none"/>
                      <w:lang w:val="en-US" w:eastAsia="zh-CN"/>
                    </w:rPr>
                    <w:t>新疆维吾尔自治区</w:t>
                  </w:r>
                  <w:r>
                    <w:rPr>
                      <w:rFonts w:hint="eastAsia" w:cs="Times New Roman"/>
                      <w:b w:val="0"/>
                      <w:bCs w:val="0"/>
                      <w:caps w:val="0"/>
                      <w:color w:val="auto"/>
                      <w:sz w:val="21"/>
                      <w:szCs w:val="21"/>
                      <w:highlight w:val="none"/>
                      <w:lang w:val="en-US" w:eastAsia="zh-CN"/>
                    </w:rPr>
                    <w:t>煤田灭火工作实施方案》中要求2025年底前采矿权人负责治理的煤田火区，应加快开展治理。</w:t>
                  </w:r>
                </w:p>
              </w:tc>
              <w:tc>
                <w:tcPr>
                  <w:tcW w:w="833" w:type="dxa"/>
                  <w:tcBorders>
                    <w:tl2br w:val="nil"/>
                    <w:tr2bl w:val="nil"/>
                  </w:tcBorders>
                  <w:noWrap w:val="0"/>
                  <w:vAlign w:val="center"/>
                </w:tcPr>
                <w:p w14:paraId="38361E4E">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r w14:paraId="6C98E1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4268" w:type="dxa"/>
                  <w:tcBorders>
                    <w:tl2br w:val="nil"/>
                    <w:tr2bl w:val="nil"/>
                  </w:tcBorders>
                  <w:noWrap w:val="0"/>
                  <w:vAlign w:val="center"/>
                </w:tcPr>
                <w:p w14:paraId="519492EF">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b w:val="0"/>
                      <w:bCs w:val="0"/>
                      <w:snapToGrid/>
                      <w:color w:val="auto"/>
                      <w:kern w:val="2"/>
                      <w:sz w:val="21"/>
                      <w:szCs w:val="21"/>
                      <w:highlight w:val="none"/>
                      <w:lang w:val="en-US" w:eastAsia="zh-CN" w:bidi="ar-SA"/>
                    </w:rPr>
                  </w:pPr>
                  <w:r>
                    <w:rPr>
                      <w:rFonts w:hint="eastAsia" w:ascii="Times New Roman" w:hAnsi="Times New Roman" w:eastAsia="宋体" w:cs="Times New Roman"/>
                      <w:b w:val="0"/>
                      <w:bCs w:val="0"/>
                      <w:snapToGrid/>
                      <w:color w:val="auto"/>
                      <w:kern w:val="2"/>
                      <w:sz w:val="21"/>
                      <w:szCs w:val="21"/>
                      <w:highlight w:val="none"/>
                      <w:lang w:val="en-US" w:eastAsia="zh-CN" w:bidi="ar-SA"/>
                    </w:rPr>
                    <w:t>煤田火区治理是有效防治大气污染、保护资源和生态环境，且具有应急救灾性质的公益性事业。各州、市（地）人民政府（行政公署）对辖区内的煤田火区承担治理主体责任并统一组织实施；有采矿权的火区，督促采矿权人落实治理资金，限期完成治理；无采矿权的火区，安排并落实治理资金，委托国有企业作为火区治理主体企业限期完成治理。</w:t>
                  </w:r>
                </w:p>
              </w:tc>
              <w:tc>
                <w:tcPr>
                  <w:tcW w:w="2505" w:type="dxa"/>
                  <w:tcBorders>
                    <w:tl2br w:val="nil"/>
                    <w:tr2bl w:val="nil"/>
                  </w:tcBorders>
                  <w:noWrap w:val="0"/>
                  <w:vAlign w:val="center"/>
                </w:tcPr>
                <w:p w14:paraId="4947D370">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本项目对</w:t>
                  </w:r>
                  <w:r>
                    <w:rPr>
                      <w:rFonts w:hint="eastAsia" w:cs="Times New Roman"/>
                      <w:color w:val="auto"/>
                      <w:sz w:val="21"/>
                      <w:szCs w:val="21"/>
                      <w:lang w:val="en-US" w:eastAsia="zh-CN"/>
                    </w:rPr>
                    <w:t>1号子火区、2地子火区、3号子火区进行灭火治理工程，火区位于</w:t>
                  </w:r>
                  <w:r>
                    <w:rPr>
                      <w:rFonts w:hint="default" w:ascii="Times New Roman" w:hAnsi="Times New Roman" w:eastAsia="宋体" w:cs="Times New Roman"/>
                      <w:color w:val="auto"/>
                      <w:spacing w:val="-1"/>
                      <w:kern w:val="2"/>
                      <w:sz w:val="21"/>
                      <w:szCs w:val="21"/>
                      <w:lang w:val="en-US" w:eastAsia="zh-CN" w:bidi="ar-SA"/>
                    </w:rPr>
                    <w:t>新疆富城矿业投资有限公司阜康市康龙煤矿</w:t>
                  </w:r>
                  <w:r>
                    <w:rPr>
                      <w:rFonts w:hint="eastAsia" w:ascii="Times New Roman" w:hAnsi="Times New Roman" w:eastAsia="宋体" w:cs="Times New Roman"/>
                      <w:color w:val="auto"/>
                      <w:spacing w:val="-1"/>
                      <w:kern w:val="2"/>
                      <w:sz w:val="21"/>
                      <w:szCs w:val="21"/>
                      <w:lang w:val="en-US" w:eastAsia="zh-CN" w:bidi="ar-SA"/>
                    </w:rPr>
                    <w:t>采矿权范围内，治理主体为</w:t>
                  </w:r>
                  <w:r>
                    <w:rPr>
                      <w:rFonts w:hint="default" w:ascii="Times New Roman" w:hAnsi="Times New Roman" w:eastAsia="宋体" w:cs="Times New Roman"/>
                      <w:color w:val="auto"/>
                      <w:spacing w:val="-1"/>
                      <w:kern w:val="2"/>
                      <w:sz w:val="21"/>
                      <w:szCs w:val="21"/>
                      <w:lang w:val="en-US" w:eastAsia="zh-CN" w:bidi="ar-SA"/>
                    </w:rPr>
                    <w:t>新疆富城矿业投资有限公司</w:t>
                  </w:r>
                  <w:r>
                    <w:rPr>
                      <w:rFonts w:hint="eastAsia" w:ascii="Times New Roman" w:hAnsi="Times New Roman" w:eastAsia="宋体" w:cs="Times New Roman"/>
                      <w:color w:val="auto"/>
                      <w:spacing w:val="-1"/>
                      <w:kern w:val="2"/>
                      <w:sz w:val="21"/>
                      <w:szCs w:val="21"/>
                      <w:lang w:val="en-US" w:eastAsia="zh-CN" w:bidi="ar-SA"/>
                    </w:rPr>
                    <w:t>。</w:t>
                  </w:r>
                </w:p>
              </w:tc>
              <w:tc>
                <w:tcPr>
                  <w:tcW w:w="833" w:type="dxa"/>
                  <w:tcBorders>
                    <w:tl2br w:val="nil"/>
                    <w:tr2bl w:val="nil"/>
                  </w:tcBorders>
                  <w:noWrap w:val="0"/>
                  <w:vAlign w:val="center"/>
                </w:tcPr>
                <w:p w14:paraId="110C03CD">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r w14:paraId="019D02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4268" w:type="dxa"/>
                  <w:tcBorders>
                    <w:tl2br w:val="nil"/>
                    <w:tr2bl w:val="nil"/>
                  </w:tcBorders>
                  <w:noWrap w:val="0"/>
                  <w:vAlign w:val="center"/>
                </w:tcPr>
                <w:p w14:paraId="6E7C8EE0">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b w:val="0"/>
                      <w:bCs w:val="0"/>
                      <w:snapToGrid/>
                      <w:color w:val="auto"/>
                      <w:kern w:val="2"/>
                      <w:sz w:val="21"/>
                      <w:szCs w:val="21"/>
                      <w:highlight w:val="none"/>
                      <w:lang w:val="en-US" w:eastAsia="zh-CN" w:bidi="ar-SA"/>
                    </w:rPr>
                  </w:pPr>
                  <w:r>
                    <w:rPr>
                      <w:rFonts w:hint="eastAsia" w:ascii="Times New Roman" w:hAnsi="Times New Roman" w:eastAsia="宋体" w:cs="Times New Roman"/>
                      <w:b w:val="0"/>
                      <w:bCs w:val="0"/>
                      <w:snapToGrid/>
                      <w:color w:val="auto"/>
                      <w:kern w:val="2"/>
                      <w:sz w:val="21"/>
                      <w:szCs w:val="21"/>
                      <w:highlight w:val="none"/>
                      <w:lang w:val="en-US" w:eastAsia="zh-CN" w:bidi="ar-SA"/>
                    </w:rPr>
                    <w:t>规范开展火区详勘</w:t>
                  </w:r>
                  <w:r>
                    <w:rPr>
                      <w:rFonts w:hint="eastAsia" w:cs="Times New Roman"/>
                      <w:b w:val="0"/>
                      <w:bCs w:val="0"/>
                      <w:snapToGrid/>
                      <w:color w:val="auto"/>
                      <w:kern w:val="2"/>
                      <w:sz w:val="21"/>
                      <w:szCs w:val="21"/>
                      <w:highlight w:val="none"/>
                      <w:lang w:val="en-US" w:eastAsia="zh-CN" w:bidi="ar-SA"/>
                    </w:rPr>
                    <w:t>。</w:t>
                  </w:r>
                  <w:r>
                    <w:rPr>
                      <w:rFonts w:hint="eastAsia" w:ascii="Times New Roman" w:hAnsi="Times New Roman" w:eastAsia="宋体" w:cs="Times New Roman"/>
                      <w:b w:val="0"/>
                      <w:bCs w:val="0"/>
                      <w:snapToGrid/>
                      <w:color w:val="auto"/>
                      <w:kern w:val="2"/>
                      <w:sz w:val="21"/>
                      <w:szCs w:val="21"/>
                      <w:highlight w:val="none"/>
                      <w:lang w:val="en-US" w:eastAsia="zh-CN" w:bidi="ar-SA"/>
                    </w:rPr>
                    <w:t>煤田火区详勘单位应具备煤田地质勘查所需的人员、技术和</w:t>
                  </w:r>
                </w:p>
                <w:p w14:paraId="25B9F340">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b w:val="0"/>
                      <w:bCs w:val="0"/>
                      <w:snapToGrid/>
                      <w:color w:val="auto"/>
                      <w:kern w:val="2"/>
                      <w:sz w:val="21"/>
                      <w:szCs w:val="21"/>
                      <w:highlight w:val="none"/>
                      <w:lang w:val="en-US" w:eastAsia="zh-CN" w:bidi="ar-SA"/>
                    </w:rPr>
                  </w:pPr>
                  <w:r>
                    <w:rPr>
                      <w:rFonts w:hint="eastAsia" w:ascii="Times New Roman" w:hAnsi="Times New Roman" w:eastAsia="宋体" w:cs="Times New Roman"/>
                      <w:b w:val="0"/>
                      <w:bCs w:val="0"/>
                      <w:snapToGrid/>
                      <w:color w:val="auto"/>
                      <w:kern w:val="2"/>
                      <w:sz w:val="21"/>
                      <w:szCs w:val="21"/>
                      <w:highlight w:val="none"/>
                      <w:lang w:val="en-US" w:eastAsia="zh-CN" w:bidi="ar-SA"/>
                    </w:rPr>
                    <w:t>装备条件，以《方案》中明确的火区中心点坐标为中心，严格按照《煤田火灾灭火规范》和现行煤田地质勘查规范规程，采取物探、钻探、测温、矿井调查等方法勘查，物探成果须采取钻探进行验证。火区详勘报告审批部门应对勘查方法、工程量、勘查结果，尤其是火区面积、发火原因、燃烧煤层、燃烧范围和深度以及火区范围内的废弃老窑、采空区和烧变岩破碎区的查明情况进行审核。</w:t>
                  </w:r>
                </w:p>
              </w:tc>
              <w:tc>
                <w:tcPr>
                  <w:tcW w:w="2505" w:type="dxa"/>
                  <w:tcBorders>
                    <w:tl2br w:val="nil"/>
                    <w:tr2bl w:val="nil"/>
                  </w:tcBorders>
                  <w:noWrap w:val="0"/>
                  <w:vAlign w:val="center"/>
                </w:tcPr>
                <w:p w14:paraId="768013A2">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本项目已完成火区详勘，已取得昌吉回族自治州应急管理局出具的《关于对&lt;阜康西沙沟煤田火区详细勘察的报告&gt;的批复》</w:t>
                  </w:r>
                  <w:r>
                    <w:rPr>
                      <w:rFonts w:hint="default" w:ascii="Times New Roman" w:hAnsi="Times New Roman" w:eastAsia="宋体" w:cs="Times New Roman"/>
                      <w:color w:val="auto"/>
                      <w:spacing w:val="-1"/>
                      <w:kern w:val="2"/>
                      <w:sz w:val="21"/>
                      <w:szCs w:val="21"/>
                      <w:lang w:val="en-US" w:eastAsia="zh-CN" w:bidi="ar-SA"/>
                    </w:rPr>
                    <w:t>（昌州</w:t>
                  </w:r>
                  <w:r>
                    <w:rPr>
                      <w:rFonts w:hint="eastAsia" w:ascii="Times New Roman" w:hAnsi="Times New Roman" w:eastAsia="宋体" w:cs="Times New Roman"/>
                      <w:color w:val="auto"/>
                      <w:spacing w:val="-1"/>
                      <w:kern w:val="2"/>
                      <w:sz w:val="21"/>
                      <w:szCs w:val="21"/>
                      <w:lang w:val="en-US" w:eastAsia="zh-CN" w:bidi="ar-SA"/>
                    </w:rPr>
                    <w:t>应急</w:t>
                  </w:r>
                  <w:r>
                    <w:rPr>
                      <w:rFonts w:hint="default" w:ascii="Times New Roman" w:hAnsi="Times New Roman" w:eastAsia="宋体" w:cs="Times New Roman"/>
                      <w:color w:val="auto"/>
                      <w:spacing w:val="-1"/>
                      <w:kern w:val="2"/>
                      <w:sz w:val="21"/>
                      <w:szCs w:val="21"/>
                      <w:lang w:val="en-US" w:eastAsia="zh-CN" w:bidi="ar-SA"/>
                    </w:rPr>
                    <w:t>〔202</w:t>
                  </w:r>
                  <w:r>
                    <w:rPr>
                      <w:rFonts w:hint="eastAsia" w:ascii="Times New Roman" w:hAnsi="Times New Roman" w:eastAsia="宋体" w:cs="Times New Roman"/>
                      <w:color w:val="auto"/>
                      <w:spacing w:val="-1"/>
                      <w:kern w:val="2"/>
                      <w:sz w:val="21"/>
                      <w:szCs w:val="21"/>
                      <w:lang w:val="en-US" w:eastAsia="zh-CN" w:bidi="ar-SA"/>
                    </w:rPr>
                    <w:t>5</w:t>
                  </w:r>
                  <w:r>
                    <w:rPr>
                      <w:rFonts w:hint="default" w:ascii="Times New Roman" w:hAnsi="Times New Roman" w:eastAsia="宋体" w:cs="Times New Roman"/>
                      <w:color w:val="auto"/>
                      <w:spacing w:val="-1"/>
                      <w:kern w:val="2"/>
                      <w:sz w:val="21"/>
                      <w:szCs w:val="21"/>
                      <w:lang w:val="en-US" w:eastAsia="zh-CN" w:bidi="ar-SA"/>
                    </w:rPr>
                    <w:t>〕</w:t>
                  </w:r>
                  <w:r>
                    <w:rPr>
                      <w:rFonts w:hint="eastAsia" w:ascii="Times New Roman" w:hAnsi="Times New Roman" w:eastAsia="宋体" w:cs="Times New Roman"/>
                      <w:color w:val="auto"/>
                      <w:spacing w:val="-1"/>
                      <w:kern w:val="2"/>
                      <w:sz w:val="21"/>
                      <w:szCs w:val="21"/>
                      <w:lang w:val="en-US" w:eastAsia="zh-CN" w:bidi="ar-SA"/>
                    </w:rPr>
                    <w:t>4</w:t>
                  </w:r>
                  <w:r>
                    <w:rPr>
                      <w:rFonts w:hint="default" w:ascii="Times New Roman" w:hAnsi="Times New Roman" w:eastAsia="宋体" w:cs="Times New Roman"/>
                      <w:color w:val="auto"/>
                      <w:spacing w:val="-1"/>
                      <w:kern w:val="2"/>
                      <w:sz w:val="21"/>
                      <w:szCs w:val="21"/>
                      <w:lang w:val="en-US" w:eastAsia="zh-CN" w:bidi="ar-SA"/>
                    </w:rPr>
                    <w:t xml:space="preserve"> 号）</w:t>
                  </w:r>
                  <w:r>
                    <w:rPr>
                      <w:rFonts w:hint="eastAsia" w:ascii="Times New Roman" w:hAnsi="Times New Roman" w:eastAsia="宋体" w:cs="Times New Roman"/>
                      <w:color w:val="auto"/>
                      <w:spacing w:val="-1"/>
                      <w:kern w:val="2"/>
                      <w:sz w:val="21"/>
                      <w:szCs w:val="21"/>
                      <w:lang w:val="en-US" w:eastAsia="zh-CN" w:bidi="ar-SA"/>
                    </w:rPr>
                    <w:t>。</w:t>
                  </w:r>
                </w:p>
              </w:tc>
              <w:tc>
                <w:tcPr>
                  <w:tcW w:w="833" w:type="dxa"/>
                  <w:tcBorders>
                    <w:tl2br w:val="nil"/>
                    <w:tr2bl w:val="nil"/>
                  </w:tcBorders>
                  <w:noWrap w:val="0"/>
                  <w:vAlign w:val="center"/>
                </w:tcPr>
                <w:p w14:paraId="072FCE1F">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r w14:paraId="515835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4268" w:type="dxa"/>
                  <w:tcBorders>
                    <w:tl2br w:val="nil"/>
                    <w:tr2bl w:val="nil"/>
                  </w:tcBorders>
                  <w:noWrap w:val="0"/>
                  <w:vAlign w:val="center"/>
                </w:tcPr>
                <w:p w14:paraId="6C6E6901">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b w:val="0"/>
                      <w:bCs w:val="0"/>
                      <w:snapToGrid/>
                      <w:color w:val="auto"/>
                      <w:kern w:val="2"/>
                      <w:sz w:val="21"/>
                      <w:szCs w:val="21"/>
                      <w:highlight w:val="none"/>
                      <w:lang w:val="en-US" w:eastAsia="zh-CN" w:bidi="ar-SA"/>
                    </w:rPr>
                  </w:pPr>
                  <w:r>
                    <w:rPr>
                      <w:rFonts w:hint="eastAsia" w:ascii="Times New Roman" w:hAnsi="Times New Roman" w:eastAsia="宋体" w:cs="Times New Roman"/>
                      <w:b w:val="0"/>
                      <w:bCs w:val="0"/>
                      <w:snapToGrid/>
                      <w:color w:val="auto"/>
                      <w:kern w:val="2"/>
                      <w:sz w:val="21"/>
                      <w:szCs w:val="21"/>
                      <w:highlight w:val="none"/>
                      <w:lang w:val="en-US" w:eastAsia="zh-CN" w:bidi="ar-SA"/>
                    </w:rPr>
                    <w:t>严格审批初步设计</w:t>
                  </w:r>
                  <w:r>
                    <w:rPr>
                      <w:rFonts w:hint="eastAsia" w:cs="Times New Roman"/>
                      <w:b w:val="0"/>
                      <w:bCs w:val="0"/>
                      <w:snapToGrid/>
                      <w:color w:val="auto"/>
                      <w:kern w:val="2"/>
                      <w:sz w:val="21"/>
                      <w:szCs w:val="21"/>
                      <w:highlight w:val="none"/>
                      <w:lang w:val="en-US" w:eastAsia="zh-CN" w:bidi="ar-SA"/>
                    </w:rPr>
                    <w:t>。</w:t>
                  </w:r>
                  <w:r>
                    <w:rPr>
                      <w:rFonts w:hint="eastAsia" w:ascii="Times New Roman" w:hAnsi="Times New Roman" w:eastAsia="宋体" w:cs="Times New Roman"/>
                      <w:b w:val="0"/>
                      <w:bCs w:val="0"/>
                      <w:snapToGrid/>
                      <w:color w:val="auto"/>
                      <w:kern w:val="2"/>
                      <w:sz w:val="21"/>
                      <w:szCs w:val="21"/>
                      <w:highlight w:val="none"/>
                      <w:lang w:val="en-US" w:eastAsia="zh-CN" w:bidi="ar-SA"/>
                    </w:rPr>
                    <w:t>煤田火区治理工程初步设计单位应具备煤炭行业工程设计资质。初步设计要严格按照批准的《火区详勘报告》，因地制宜、科学确定火区治理范围，明确灭火取用水量和水源、排渣用地和林草地占用面积等相关内容，提出火区治理生态环境修复等具体要求。根据方案比选和论证分析，科学合理确定采用钻孔、注水、注浆和覆盖等综合灭火方法（以下简称综合灭火方法）或以地面开挖剥除火源体为主的灭火方法（以下简称地面开挖灭火方法）。设计论证采用综合灭火方法的，严格按照《煤田火灾灭火规范》的灭火工艺和灭火工程施工要求编制初步设计，明确作业面坡度、台阶高度、台阶坡面角、钻孔间（排）距、注水间隔时间、泥浆水土比、注浆充填率、覆盖厚度及压实度等具体参数，根据火区燃烧状况，明确注浆封堵材料类型及注浆压力和燃烧煤层露头区的处理方法；明确高温爆喷及采空塌陷的安全防范技术措施。</w:t>
                  </w:r>
                </w:p>
              </w:tc>
              <w:tc>
                <w:tcPr>
                  <w:tcW w:w="2505" w:type="dxa"/>
                  <w:tcBorders>
                    <w:tl2br w:val="nil"/>
                    <w:tr2bl w:val="nil"/>
                  </w:tcBorders>
                  <w:noWrap w:val="0"/>
                  <w:vAlign w:val="center"/>
                </w:tcPr>
                <w:p w14:paraId="52738DAE">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本项目已完成火区初步设计，已取得昌吉回族自治州人民政府出具的《昌吉回族自治州人民政府关于阜康西沙沟煤田火区灭火工程初步设计（代可研2026</w:t>
                  </w:r>
                  <w:r>
                    <w:rPr>
                      <w:rFonts w:hint="default" w:ascii="Times New Roman" w:hAnsi="Times New Roman" w:eastAsia="宋体" w:cs="Times New Roman"/>
                      <w:color w:val="auto"/>
                      <w:spacing w:val="-1"/>
                      <w:kern w:val="2"/>
                      <w:sz w:val="21"/>
                      <w:szCs w:val="21"/>
                      <w:lang w:val="en-US" w:eastAsia="zh-CN" w:bidi="ar-SA"/>
                    </w:rPr>
                    <w:t>〕</w:t>
                  </w:r>
                  <w:r>
                    <w:rPr>
                      <w:rFonts w:hint="eastAsia" w:ascii="Times New Roman" w:hAnsi="Times New Roman" w:eastAsia="宋体" w:cs="Times New Roman"/>
                      <w:color w:val="auto"/>
                      <w:spacing w:val="-1"/>
                      <w:kern w:val="2"/>
                      <w:sz w:val="21"/>
                      <w:szCs w:val="21"/>
                      <w:lang w:val="en-US" w:eastAsia="zh-CN" w:bidi="ar-SA"/>
                    </w:rPr>
                    <w:t>142</w:t>
                  </w:r>
                  <w:r>
                    <w:rPr>
                      <w:rFonts w:hint="default" w:ascii="Times New Roman" w:hAnsi="Times New Roman" w:eastAsia="宋体" w:cs="Times New Roman"/>
                      <w:color w:val="auto"/>
                      <w:spacing w:val="-1"/>
                      <w:kern w:val="2"/>
                      <w:sz w:val="21"/>
                      <w:szCs w:val="21"/>
                      <w:lang w:val="en-US" w:eastAsia="zh-CN" w:bidi="ar-SA"/>
                    </w:rPr>
                    <w:t>号）</w:t>
                  </w:r>
                  <w:r>
                    <w:rPr>
                      <w:rFonts w:hint="eastAsia" w:ascii="Times New Roman" w:hAnsi="Times New Roman" w:eastAsia="宋体" w:cs="Times New Roman"/>
                      <w:color w:val="auto"/>
                      <w:spacing w:val="-1"/>
                      <w:kern w:val="2"/>
                      <w:sz w:val="21"/>
                      <w:szCs w:val="21"/>
                      <w:lang w:val="en-US" w:eastAsia="zh-CN" w:bidi="ar-SA"/>
                    </w:rPr>
                    <w:t>。</w:t>
                  </w:r>
                </w:p>
              </w:tc>
              <w:tc>
                <w:tcPr>
                  <w:tcW w:w="833" w:type="dxa"/>
                  <w:tcBorders>
                    <w:tl2br w:val="nil"/>
                    <w:tr2bl w:val="nil"/>
                  </w:tcBorders>
                  <w:noWrap w:val="0"/>
                  <w:vAlign w:val="center"/>
                </w:tcPr>
                <w:p w14:paraId="2A16CE28">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r w14:paraId="33CF8F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4268" w:type="dxa"/>
                  <w:tcBorders>
                    <w:tl2br w:val="nil"/>
                    <w:tr2bl w:val="nil"/>
                  </w:tcBorders>
                  <w:noWrap w:val="0"/>
                  <w:vAlign w:val="center"/>
                </w:tcPr>
                <w:p w14:paraId="377F068B">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b w:val="0"/>
                      <w:bCs w:val="0"/>
                      <w:snapToGrid/>
                      <w:color w:val="auto"/>
                      <w:kern w:val="2"/>
                      <w:sz w:val="21"/>
                      <w:szCs w:val="21"/>
                      <w:highlight w:val="none"/>
                      <w:lang w:val="en-US" w:eastAsia="zh-CN" w:bidi="ar-SA"/>
                    </w:rPr>
                  </w:pPr>
                  <w:r>
                    <w:rPr>
                      <w:rFonts w:hint="eastAsia" w:ascii="Times New Roman" w:hAnsi="Times New Roman" w:eastAsia="宋体" w:cs="Times New Roman"/>
                      <w:b w:val="0"/>
                      <w:bCs w:val="0"/>
                      <w:snapToGrid/>
                      <w:color w:val="auto"/>
                      <w:kern w:val="2"/>
                      <w:sz w:val="21"/>
                      <w:szCs w:val="21"/>
                      <w:highlight w:val="none"/>
                      <w:lang w:val="en-US" w:eastAsia="zh-CN" w:bidi="ar-SA"/>
                    </w:rPr>
                    <w:t>进一步规范残留煤炭资源处置</w:t>
                  </w:r>
                  <w:r>
                    <w:rPr>
                      <w:rFonts w:hint="eastAsia" w:cs="Times New Roman"/>
                      <w:b w:val="0"/>
                      <w:bCs w:val="0"/>
                      <w:snapToGrid/>
                      <w:color w:val="auto"/>
                      <w:kern w:val="2"/>
                      <w:sz w:val="21"/>
                      <w:szCs w:val="21"/>
                      <w:highlight w:val="none"/>
                      <w:lang w:val="en-US" w:eastAsia="zh-CN" w:bidi="ar-SA"/>
                    </w:rPr>
                    <w:t>。</w:t>
                  </w:r>
                  <w:r>
                    <w:rPr>
                      <w:rFonts w:hint="eastAsia" w:ascii="Times New Roman" w:hAnsi="Times New Roman" w:eastAsia="宋体" w:cs="Times New Roman"/>
                      <w:b w:val="0"/>
                      <w:bCs w:val="0"/>
                      <w:snapToGrid/>
                      <w:color w:val="auto"/>
                      <w:kern w:val="2"/>
                      <w:sz w:val="21"/>
                      <w:szCs w:val="21"/>
                      <w:highlight w:val="none"/>
                      <w:lang w:val="en-US" w:eastAsia="zh-CN" w:bidi="ar-SA"/>
                    </w:rPr>
                    <w:t>有采矿权的煤田火区，采矿权人在其矿区范围内治理产生的残留煤炭资源，在州、市（地）人民政府（行政公署）监管下自行处置，依法足额缴纳采矿权出让收益和依法纳税，处置收入优先用于保障煤田火区治理和生态环境修复资金。</w:t>
                  </w:r>
                </w:p>
              </w:tc>
              <w:tc>
                <w:tcPr>
                  <w:tcW w:w="2505" w:type="dxa"/>
                  <w:tcBorders>
                    <w:tl2br w:val="nil"/>
                    <w:tr2bl w:val="nil"/>
                  </w:tcBorders>
                  <w:noWrap w:val="0"/>
                  <w:vAlign w:val="center"/>
                </w:tcPr>
                <w:p w14:paraId="6A1DDBB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根据初步设计，</w:t>
                  </w:r>
                  <w:r>
                    <w:rPr>
                      <w:rFonts w:hint="eastAsia" w:ascii="Times New Roman" w:hAnsi="Times New Roman" w:eastAsia="宋体" w:cs="Times New Roman"/>
                      <w:color w:val="auto"/>
                      <w:sz w:val="21"/>
                      <w:szCs w:val="21"/>
                      <w:lang w:val="en-US" w:eastAsia="zh-CN"/>
                    </w:rPr>
                    <w:t>本次设计火区治理采用注水注浆为主的综合治理方法，根据详勘报告提供的煤炭资源储量分布并结合火烧区情况，火区无工程残煤，但可能存在少量煤层露头或地表风化煤，严格按照《新疆维吾尔自治区煤田火区灭火工作实施方案》的补充通知（新政办发〔2024〕17号）进行处置。</w:t>
                  </w:r>
                </w:p>
              </w:tc>
              <w:tc>
                <w:tcPr>
                  <w:tcW w:w="833" w:type="dxa"/>
                  <w:tcBorders>
                    <w:tl2br w:val="nil"/>
                    <w:tr2bl w:val="nil"/>
                  </w:tcBorders>
                  <w:noWrap w:val="0"/>
                  <w:vAlign w:val="center"/>
                </w:tcPr>
                <w:p w14:paraId="4113A387">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bl>
          <w:p w14:paraId="7FC3136C">
            <w:pPr>
              <w:pStyle w:val="101"/>
              <w:keepNext w:val="0"/>
              <w:keepLines w:val="0"/>
              <w:pageBreakBefore w:val="0"/>
              <w:widowControl w:val="0"/>
              <w:suppressLineNumbers w:val="0"/>
              <w:tabs>
                <w:tab w:val="left" w:pos="4584"/>
              </w:tabs>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baseline"/>
              <w:rPr>
                <w:rFonts w:hint="default"/>
                <w:b/>
                <w:bCs/>
                <w:snapToGrid/>
                <w:color w:val="auto"/>
                <w:kern w:val="2"/>
                <w:sz w:val="24"/>
                <w:szCs w:val="24"/>
              </w:rPr>
            </w:pPr>
            <w:r>
              <w:rPr>
                <w:rFonts w:hint="eastAsia"/>
                <w:b/>
                <w:bCs/>
                <w:snapToGrid/>
                <w:color w:val="auto"/>
                <w:kern w:val="2"/>
                <w:sz w:val="24"/>
                <w:szCs w:val="24"/>
                <w:lang w:val="en-US" w:eastAsia="zh-CN"/>
              </w:rPr>
              <w:t>8、</w:t>
            </w:r>
            <w:r>
              <w:rPr>
                <w:rFonts w:hint="default"/>
                <w:b/>
                <w:bCs/>
                <w:snapToGrid/>
                <w:color w:val="auto"/>
                <w:kern w:val="2"/>
                <w:sz w:val="24"/>
                <w:szCs w:val="24"/>
              </w:rPr>
              <w:t>与《</w:t>
            </w:r>
            <w:r>
              <w:rPr>
                <w:rFonts w:hint="eastAsia"/>
                <w:b/>
                <w:bCs/>
                <w:snapToGrid/>
                <w:color w:val="auto"/>
                <w:kern w:val="2"/>
                <w:sz w:val="24"/>
                <w:szCs w:val="24"/>
                <w:lang w:val="en-US" w:eastAsia="zh-CN"/>
              </w:rPr>
              <w:t>昌吉州煤田灭火工作实施方案</w:t>
            </w:r>
            <w:r>
              <w:rPr>
                <w:rFonts w:hint="default"/>
                <w:b/>
                <w:bCs/>
                <w:snapToGrid/>
                <w:color w:val="auto"/>
                <w:kern w:val="2"/>
                <w:sz w:val="24"/>
                <w:szCs w:val="24"/>
              </w:rPr>
              <w:t>》符合性</w:t>
            </w:r>
          </w:p>
          <w:p w14:paraId="36639A78">
            <w:pPr>
              <w:keepNext w:val="0"/>
              <w:keepLines w:val="0"/>
              <w:suppressLineNumbers w:val="0"/>
              <w:spacing w:before="0" w:beforeAutospacing="0" w:after="0" w:afterAutospacing="0" w:line="360" w:lineRule="auto"/>
              <w:ind w:left="0" w:right="0" w:firstLine="480" w:firstLineChars="200"/>
              <w:jc w:val="both"/>
              <w:outlineLvl w:val="0"/>
              <w:rPr>
                <w:rFonts w:hint="default" w:ascii="Times New Roman" w:hAnsi="Times New Roman" w:eastAsia="宋体" w:cs="Times New Roman"/>
                <w:b w:val="0"/>
                <w:bCs w:val="0"/>
                <w:caps w:val="0"/>
                <w:color w:val="auto"/>
                <w:sz w:val="24"/>
                <w:highlight w:val="none"/>
                <w:lang w:val="en-US" w:eastAsia="zh-CN"/>
              </w:rPr>
            </w:pPr>
            <w:r>
              <w:rPr>
                <w:rFonts w:hint="eastAsia" w:ascii="Times New Roman" w:hAnsi="Times New Roman" w:eastAsia="宋体" w:cs="Times New Roman"/>
                <w:b w:val="0"/>
                <w:bCs w:val="0"/>
                <w:caps w:val="0"/>
                <w:color w:val="auto"/>
                <w:sz w:val="24"/>
                <w:highlight w:val="none"/>
                <w:lang w:val="en-US" w:eastAsia="zh-CN"/>
              </w:rPr>
              <w:t>本项目与</w:t>
            </w:r>
            <w:r>
              <w:rPr>
                <w:rFonts w:hint="eastAsia" w:ascii="Times New Roman" w:hAnsi="Times New Roman" w:eastAsia="宋体" w:cs="Times New Roman"/>
                <w:b w:val="0"/>
                <w:bCs w:val="0"/>
                <w:kern w:val="2"/>
                <w:sz w:val="24"/>
                <w:szCs w:val="24"/>
                <w:lang w:val="en-US" w:eastAsia="zh-CN" w:bidi="ar-SA"/>
              </w:rPr>
              <w:t xml:space="preserve"> 《昌吉回族自治州人民政府办公室关于印发&lt;昌吉州煤田灭火工作实施方案&gt;的通知》</w:t>
            </w:r>
            <w:r>
              <w:rPr>
                <w:rFonts w:hint="eastAsia"/>
                <w:b w:val="0"/>
                <w:bCs w:val="0"/>
                <w:caps w:val="0"/>
                <w:color w:val="auto"/>
                <w:sz w:val="24"/>
                <w:highlight w:val="none"/>
                <w:lang w:val="en-US" w:eastAsia="zh-CN"/>
              </w:rPr>
              <w:t>（昌州政办发</w:t>
            </w:r>
            <w:r>
              <w:rPr>
                <w:rFonts w:hint="default" w:ascii="Times New Roman" w:hAnsi="Times New Roman" w:cs="Times New Roman"/>
                <w:b w:val="0"/>
                <w:bCs w:val="0"/>
                <w:color w:val="auto"/>
                <w:kern w:val="0"/>
                <w:sz w:val="24"/>
                <w:lang w:eastAsia="zh-CN"/>
              </w:rPr>
              <w:t>〔</w:t>
            </w:r>
            <w:r>
              <w:rPr>
                <w:rFonts w:hint="eastAsia" w:ascii="Times New Roman" w:hAnsi="Times New Roman" w:cs="Times New Roman"/>
                <w:b w:val="0"/>
                <w:bCs w:val="0"/>
                <w:color w:val="auto"/>
                <w:kern w:val="0"/>
                <w:sz w:val="24"/>
                <w:lang w:val="en-US" w:eastAsia="zh-CN"/>
              </w:rPr>
              <w:t>2024</w:t>
            </w:r>
            <w:r>
              <w:rPr>
                <w:rFonts w:hint="default" w:ascii="Times New Roman" w:hAnsi="Times New Roman" w:cs="Times New Roman"/>
                <w:b w:val="0"/>
                <w:bCs w:val="0"/>
                <w:color w:val="auto"/>
                <w:kern w:val="0"/>
                <w:sz w:val="24"/>
                <w:lang w:eastAsia="zh-CN"/>
              </w:rPr>
              <w:t>〕</w:t>
            </w:r>
            <w:r>
              <w:rPr>
                <w:rFonts w:hint="eastAsia" w:cs="Times New Roman"/>
                <w:b w:val="0"/>
                <w:bCs w:val="0"/>
                <w:color w:val="auto"/>
                <w:kern w:val="0"/>
                <w:sz w:val="24"/>
                <w:lang w:val="en-US" w:eastAsia="zh-CN"/>
              </w:rPr>
              <w:t>15</w:t>
            </w:r>
            <w:r>
              <w:rPr>
                <w:rFonts w:hint="default" w:ascii="Times New Roman" w:hAnsi="Times New Roman" w:cs="Times New Roman"/>
                <w:b w:val="0"/>
                <w:bCs w:val="0"/>
                <w:color w:val="auto"/>
                <w:kern w:val="0"/>
                <w:sz w:val="24"/>
              </w:rPr>
              <w:t>号</w:t>
            </w:r>
            <w:r>
              <w:rPr>
                <w:rFonts w:hint="eastAsia"/>
                <w:b w:val="0"/>
                <w:bCs w:val="0"/>
                <w:caps w:val="0"/>
                <w:color w:val="auto"/>
                <w:sz w:val="24"/>
                <w:highlight w:val="none"/>
                <w:lang w:val="en-US" w:eastAsia="zh-CN"/>
              </w:rPr>
              <w:t>）</w:t>
            </w:r>
            <w:r>
              <w:rPr>
                <w:rFonts w:hint="eastAsia" w:ascii="Times New Roman" w:hAnsi="Times New Roman" w:cs="Times New Roman"/>
                <w:b w:val="0"/>
                <w:bCs w:val="0"/>
                <w:caps w:val="0"/>
                <w:color w:val="auto"/>
                <w:sz w:val="24"/>
                <w:highlight w:val="none"/>
                <w:lang w:val="en-US" w:eastAsia="zh-CN"/>
              </w:rPr>
              <w:t>相关</w:t>
            </w:r>
            <w:r>
              <w:rPr>
                <w:rFonts w:hint="eastAsia" w:ascii="Times New Roman" w:hAnsi="Times New Roman" w:eastAsia="宋体" w:cs="Times New Roman"/>
                <w:b w:val="0"/>
                <w:bCs w:val="0"/>
                <w:caps w:val="0"/>
                <w:color w:val="auto"/>
                <w:sz w:val="24"/>
                <w:highlight w:val="none"/>
                <w:lang w:val="en-US" w:eastAsia="zh-CN"/>
              </w:rPr>
              <w:t>符合性分析详见表1</w:t>
            </w:r>
            <w:r>
              <w:rPr>
                <w:rFonts w:hint="eastAsia" w:cs="Times New Roman"/>
                <w:b w:val="0"/>
                <w:bCs w:val="0"/>
                <w:caps w:val="0"/>
                <w:color w:val="auto"/>
                <w:sz w:val="24"/>
                <w:highlight w:val="none"/>
                <w:lang w:val="en-US" w:eastAsia="zh-CN"/>
              </w:rPr>
              <w:t>-7</w:t>
            </w:r>
            <w:r>
              <w:rPr>
                <w:rFonts w:hint="eastAsia" w:ascii="Times New Roman" w:hAnsi="Times New Roman" w:eastAsia="宋体" w:cs="Times New Roman"/>
                <w:b w:val="0"/>
                <w:bCs w:val="0"/>
                <w:caps w:val="0"/>
                <w:color w:val="auto"/>
                <w:sz w:val="24"/>
                <w:highlight w:val="none"/>
                <w:lang w:val="en-US" w:eastAsia="zh-CN"/>
              </w:rPr>
              <w:t>。</w:t>
            </w:r>
          </w:p>
          <w:p w14:paraId="28ABC0AF">
            <w:pPr>
              <w:keepNext w:val="0"/>
              <w:keepLines w:val="0"/>
              <w:pageBreakBefore w:val="0"/>
              <w:suppressLineNumbers w:val="0"/>
              <w:tabs>
                <w:tab w:val="left" w:pos="2940"/>
                <w:tab w:val="center" w:pos="4630"/>
              </w:tabs>
              <w:kinsoku/>
              <w:wordWrap/>
              <w:autoSpaceDE w:val="0"/>
              <w:autoSpaceDN w:val="0"/>
              <w:bidi w:val="0"/>
              <w:adjustRightInd/>
              <w:snapToGrid/>
              <w:spacing w:before="0" w:beforeAutospacing="0" w:after="0" w:afterAutospacing="0"/>
              <w:ind w:left="0" w:right="0"/>
              <w:jc w:val="center"/>
              <w:rPr>
                <w:rFonts w:hint="default" w:ascii="Times New Roman" w:hAnsi="Times New Roman" w:eastAsia="宋体"/>
                <w:b/>
                <w:bCs/>
                <w:caps w:val="0"/>
                <w:color w:val="auto"/>
                <w:kern w:val="0"/>
                <w:sz w:val="21"/>
                <w:szCs w:val="21"/>
                <w:highlight w:val="none"/>
              </w:rPr>
            </w:pPr>
            <w:r>
              <w:rPr>
                <w:rFonts w:hint="default" w:ascii="Times New Roman" w:hAnsi="Times New Roman" w:eastAsia="宋体"/>
                <w:b/>
                <w:bCs/>
                <w:caps w:val="0"/>
                <w:color w:val="auto"/>
                <w:kern w:val="0"/>
                <w:sz w:val="21"/>
                <w:szCs w:val="21"/>
                <w:highlight w:val="none"/>
              </w:rPr>
              <w:t>表</w:t>
            </w:r>
            <w:r>
              <w:rPr>
                <w:rFonts w:hint="eastAsia" w:ascii="Times New Roman" w:hAnsi="Times New Roman" w:eastAsia="宋体"/>
                <w:b/>
                <w:bCs/>
                <w:caps w:val="0"/>
                <w:color w:val="auto"/>
                <w:kern w:val="0"/>
                <w:sz w:val="21"/>
                <w:szCs w:val="21"/>
                <w:highlight w:val="none"/>
              </w:rPr>
              <w:t>1-</w:t>
            </w:r>
            <w:r>
              <w:rPr>
                <w:rFonts w:hint="eastAsia"/>
                <w:b/>
                <w:bCs/>
                <w:caps w:val="0"/>
                <w:color w:val="auto"/>
                <w:kern w:val="0"/>
                <w:sz w:val="21"/>
                <w:szCs w:val="21"/>
                <w:highlight w:val="none"/>
                <w:lang w:val="en-US" w:eastAsia="zh-CN"/>
              </w:rPr>
              <w:t>7</w:t>
            </w:r>
            <w:r>
              <w:rPr>
                <w:rFonts w:hint="eastAsia" w:ascii="Times New Roman" w:hAnsi="Times New Roman" w:eastAsia="宋体"/>
                <w:b/>
                <w:bCs/>
                <w:caps w:val="0"/>
                <w:color w:val="auto"/>
                <w:kern w:val="0"/>
                <w:sz w:val="21"/>
                <w:szCs w:val="21"/>
                <w:highlight w:val="none"/>
              </w:rPr>
              <w:t xml:space="preserve"> </w:t>
            </w:r>
            <w:r>
              <w:rPr>
                <w:rFonts w:hint="default" w:ascii="Times New Roman" w:hAnsi="Times New Roman" w:eastAsia="宋体"/>
                <w:b/>
                <w:bCs/>
                <w:caps w:val="0"/>
                <w:color w:val="auto"/>
                <w:kern w:val="0"/>
                <w:sz w:val="21"/>
                <w:szCs w:val="21"/>
                <w:highlight w:val="none"/>
              </w:rPr>
              <w:t xml:space="preserve"> </w:t>
            </w:r>
            <w:r>
              <w:rPr>
                <w:rFonts w:hint="eastAsia" w:ascii="Times New Roman" w:hAnsi="Times New Roman" w:eastAsia="宋体"/>
                <w:b/>
                <w:bCs/>
                <w:caps w:val="0"/>
                <w:color w:val="auto"/>
                <w:kern w:val="0"/>
                <w:sz w:val="21"/>
                <w:szCs w:val="21"/>
                <w:highlight w:val="none"/>
              </w:rPr>
              <w:t>与</w:t>
            </w:r>
            <w:r>
              <w:rPr>
                <w:rFonts w:hint="eastAsia"/>
                <w:b/>
                <w:bCs/>
                <w:caps w:val="0"/>
                <w:color w:val="auto"/>
                <w:kern w:val="0"/>
                <w:sz w:val="21"/>
                <w:szCs w:val="21"/>
                <w:highlight w:val="none"/>
                <w:lang w:eastAsia="zh-CN"/>
              </w:rPr>
              <w:t>《</w:t>
            </w:r>
            <w:r>
              <w:rPr>
                <w:rFonts w:hint="eastAsia"/>
                <w:b/>
                <w:bCs/>
                <w:caps w:val="0"/>
                <w:color w:val="auto"/>
                <w:kern w:val="0"/>
                <w:sz w:val="21"/>
                <w:szCs w:val="21"/>
                <w:highlight w:val="none"/>
                <w:lang w:val="en-US" w:eastAsia="zh-CN"/>
              </w:rPr>
              <w:t>昌吉州</w:t>
            </w:r>
            <w:r>
              <w:rPr>
                <w:rFonts w:hint="eastAsia"/>
                <w:b/>
                <w:bCs/>
                <w:snapToGrid/>
                <w:color w:val="auto"/>
                <w:kern w:val="2"/>
                <w:sz w:val="21"/>
                <w:szCs w:val="21"/>
                <w:lang w:val="en-US" w:eastAsia="zh-CN"/>
              </w:rPr>
              <w:t>煤田灭火工作实施方案</w:t>
            </w:r>
            <w:r>
              <w:rPr>
                <w:rFonts w:hint="default"/>
                <w:b/>
                <w:bCs/>
                <w:snapToGrid/>
                <w:color w:val="auto"/>
                <w:kern w:val="2"/>
                <w:sz w:val="21"/>
                <w:szCs w:val="21"/>
              </w:rPr>
              <w:t>》</w:t>
            </w:r>
            <w:r>
              <w:rPr>
                <w:rFonts w:hint="default" w:ascii="Times New Roman" w:hAnsi="Times New Roman" w:eastAsia="宋体"/>
                <w:b/>
                <w:bCs/>
                <w:caps w:val="0"/>
                <w:color w:val="auto"/>
                <w:kern w:val="0"/>
                <w:sz w:val="21"/>
                <w:szCs w:val="21"/>
                <w:highlight w:val="none"/>
              </w:rPr>
              <w:t>符合性分析一览表</w:t>
            </w:r>
          </w:p>
          <w:tbl>
            <w:tblPr>
              <w:tblStyle w:val="26"/>
              <w:tblW w:w="7473"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57" w:type="dxa"/>
                <w:left w:w="57" w:type="dxa"/>
                <w:bottom w:w="57" w:type="dxa"/>
                <w:right w:w="57" w:type="dxa"/>
              </w:tblCellMar>
            </w:tblPr>
            <w:tblGrid>
              <w:gridCol w:w="3989"/>
              <w:gridCol w:w="2640"/>
              <w:gridCol w:w="844"/>
            </w:tblGrid>
            <w:tr w14:paraId="1F0783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368" w:hRule="atLeast"/>
                <w:jc w:val="center"/>
              </w:trPr>
              <w:tc>
                <w:tcPr>
                  <w:tcW w:w="3989" w:type="dxa"/>
                  <w:tcBorders>
                    <w:tl2br w:val="nil"/>
                    <w:tr2bl w:val="nil"/>
                  </w:tcBorders>
                  <w:noWrap w:val="0"/>
                  <w:vAlign w:val="center"/>
                </w:tcPr>
                <w:p w14:paraId="51BE5455">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lang w:val="en-US"/>
                    </w:rPr>
                  </w:pPr>
                  <w:r>
                    <w:rPr>
                      <w:rFonts w:hint="eastAsia" w:ascii="Times New Roman" w:hAnsi="Times New Roman" w:cs="Times New Roman"/>
                      <w:b w:val="0"/>
                      <w:bCs w:val="0"/>
                      <w:caps w:val="0"/>
                      <w:color w:val="auto"/>
                      <w:sz w:val="21"/>
                      <w:szCs w:val="21"/>
                      <w:highlight w:val="none"/>
                      <w:lang w:val="en-US" w:eastAsia="zh-CN"/>
                    </w:rPr>
                    <w:t>相关要求</w:t>
                  </w:r>
                </w:p>
              </w:tc>
              <w:tc>
                <w:tcPr>
                  <w:tcW w:w="2640" w:type="dxa"/>
                  <w:tcBorders>
                    <w:tl2br w:val="nil"/>
                    <w:tr2bl w:val="nil"/>
                  </w:tcBorders>
                  <w:noWrap w:val="0"/>
                  <w:vAlign w:val="center"/>
                </w:tcPr>
                <w:p w14:paraId="478890D4">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rPr>
                    <w:t>项目情况</w:t>
                  </w:r>
                </w:p>
              </w:tc>
              <w:tc>
                <w:tcPr>
                  <w:tcW w:w="844" w:type="dxa"/>
                  <w:tcBorders>
                    <w:tl2br w:val="nil"/>
                    <w:tr2bl w:val="nil"/>
                  </w:tcBorders>
                  <w:noWrap w:val="0"/>
                  <w:vAlign w:val="center"/>
                </w:tcPr>
                <w:p w14:paraId="75E2BF33">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rPr>
                    <w:t>符合性</w:t>
                  </w:r>
                </w:p>
              </w:tc>
            </w:tr>
            <w:tr w14:paraId="7214414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0B63B276">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b w:val="0"/>
                      <w:bCs w:val="0"/>
                      <w:snapToGrid/>
                      <w:color w:val="auto"/>
                      <w:kern w:val="2"/>
                      <w:sz w:val="21"/>
                      <w:szCs w:val="21"/>
                      <w:highlight w:val="none"/>
                      <w:lang w:val="en-US" w:eastAsia="zh-CN" w:bidi="ar-SA"/>
                    </w:rPr>
                  </w:pPr>
                  <w:r>
                    <w:rPr>
                      <w:rFonts w:hint="eastAsia" w:cs="Times New Roman"/>
                      <w:b w:val="0"/>
                      <w:bCs w:val="0"/>
                      <w:caps w:val="0"/>
                      <w:color w:val="auto"/>
                      <w:sz w:val="24"/>
                      <w:szCs w:val="24"/>
                      <w:highlight w:val="none"/>
                      <w:lang w:val="en-US" w:eastAsia="zh-CN"/>
                    </w:rPr>
                    <w:t>工作目标：建立健全煤田火灾监测预警系统，形成早预防、早发现、早治理的良性机制；煤田火灾防治管理更加科学规范，治理责任及时有效落实；力争到2025年年底，本方案确定的28处煤田火区完成治理。</w:t>
                  </w:r>
                </w:p>
              </w:tc>
              <w:tc>
                <w:tcPr>
                  <w:tcW w:w="2640" w:type="dxa"/>
                  <w:tcBorders>
                    <w:tl2br w:val="nil"/>
                    <w:tr2bl w:val="nil"/>
                  </w:tcBorders>
                  <w:noWrap w:val="0"/>
                  <w:vAlign w:val="center"/>
                </w:tcPr>
                <w:p w14:paraId="6E519518">
                  <w:pPr>
                    <w:keepNext w:val="0"/>
                    <w:keepLines w:val="0"/>
                    <w:widowControl/>
                    <w:suppressLineNumbers w:val="0"/>
                    <w:spacing w:before="0" w:beforeAutospacing="0" w:after="0" w:afterAutospacing="0"/>
                    <w:ind w:left="0" w:right="0"/>
                    <w:jc w:val="left"/>
                    <w:rPr>
                      <w:rFonts w:hint="eastAsia" w:cs="Times New Roman"/>
                      <w:b w:val="0"/>
                      <w:bCs w:val="0"/>
                      <w:caps w:val="0"/>
                      <w:color w:val="auto"/>
                      <w:sz w:val="21"/>
                      <w:szCs w:val="21"/>
                      <w:highlight w:val="none"/>
                      <w:lang w:val="en-US" w:eastAsia="zh-CN"/>
                    </w:rPr>
                  </w:pPr>
                  <w:r>
                    <w:rPr>
                      <w:rFonts w:hint="eastAsia" w:cs="Times New Roman"/>
                      <w:b w:val="0"/>
                      <w:bCs w:val="0"/>
                      <w:caps w:val="0"/>
                      <w:color w:val="auto"/>
                      <w:sz w:val="21"/>
                      <w:szCs w:val="21"/>
                      <w:highlight w:val="none"/>
                      <w:lang w:val="en-US" w:eastAsia="zh-CN"/>
                    </w:rPr>
                    <w:t>本项目为《昌吉州煤田灭火工作实施方案》确定的28处煤田火区治理工程之一。</w:t>
                  </w:r>
                </w:p>
                <w:p w14:paraId="0138CFD0">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p>
              </w:tc>
              <w:tc>
                <w:tcPr>
                  <w:tcW w:w="844" w:type="dxa"/>
                  <w:tcBorders>
                    <w:tl2br w:val="nil"/>
                    <w:tr2bl w:val="nil"/>
                  </w:tcBorders>
                  <w:noWrap w:val="0"/>
                  <w:vAlign w:val="center"/>
                </w:tcPr>
                <w:p w14:paraId="625B8FC2">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lang w:val="en-US" w:eastAsia="zh-CN"/>
                    </w:rPr>
                  </w:pPr>
                  <w:r>
                    <w:rPr>
                      <w:rFonts w:hint="eastAsia" w:ascii="Times New Roman" w:hAnsi="Times New Roman" w:eastAsia="宋体"/>
                      <w:b w:val="0"/>
                      <w:bCs w:val="0"/>
                      <w:caps w:val="0"/>
                      <w:color w:val="auto"/>
                      <w:sz w:val="21"/>
                      <w:szCs w:val="21"/>
                      <w:highlight w:val="none"/>
                      <w:lang w:val="en-US" w:eastAsia="zh-CN"/>
                    </w:rPr>
                    <w:t>符合</w:t>
                  </w:r>
                </w:p>
              </w:tc>
            </w:tr>
            <w:tr w14:paraId="40CDA5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5D7116DB">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eastAsia" w:ascii="Helvetica" w:hAnsi="Helvetica" w:eastAsia="Helvetica" w:cs="Helvetica"/>
                      <w:b w:val="0"/>
                      <w:bCs w:val="0"/>
                      <w:i w:val="0"/>
                      <w:iCs w:val="0"/>
                      <w:caps w:val="0"/>
                      <w:color w:val="auto"/>
                      <w:spacing w:val="0"/>
                      <w:sz w:val="21"/>
                      <w:szCs w:val="21"/>
                      <w:shd w:val="clear" w:fill="FFFFFF"/>
                      <w:lang w:val="en-US" w:eastAsia="zh-CN"/>
                    </w:rPr>
                    <w:t>治理主体：有采矿权的火区：采矿权人承担治理责任，由州、县市（园区）督促采矿权人落实治理资金，限期治理，严格按照《煤田火灾灭火规范》和批复的初步设计组织施工，向州、县市（园区）人民政府（管委会）出具治理承诺书，明确治理时限，按时完成治理工作。逾期未完成或采矿权人拒不治理的，已取得项目核准等相关手续的，由县市（园区）人民政府（管委会）逐级报自治区相关部门申请撤销其项目核准等批复手续。火区治理工作由所在县市（园区）人民政府（管委会）组织实施。</w:t>
                  </w:r>
                </w:p>
              </w:tc>
              <w:tc>
                <w:tcPr>
                  <w:tcW w:w="2640" w:type="dxa"/>
                  <w:tcBorders>
                    <w:tl2br w:val="nil"/>
                    <w:tr2bl w:val="nil"/>
                  </w:tcBorders>
                  <w:noWrap w:val="0"/>
                  <w:vAlign w:val="center"/>
                </w:tcPr>
                <w:p w14:paraId="4D013DB7">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本项目对</w:t>
                  </w:r>
                  <w:r>
                    <w:rPr>
                      <w:rFonts w:hint="eastAsia" w:cs="Times New Roman"/>
                      <w:color w:val="auto"/>
                      <w:sz w:val="21"/>
                      <w:szCs w:val="21"/>
                      <w:lang w:val="en-US" w:eastAsia="zh-CN"/>
                    </w:rPr>
                    <w:t>1号子火区、2地子火区、3号子火区进行灭火治理工程，火区位于</w:t>
                  </w:r>
                  <w:r>
                    <w:rPr>
                      <w:rFonts w:hint="default" w:ascii="Times New Roman" w:hAnsi="Times New Roman" w:eastAsia="宋体" w:cs="Times New Roman"/>
                      <w:color w:val="auto"/>
                      <w:spacing w:val="-1"/>
                      <w:kern w:val="2"/>
                      <w:sz w:val="21"/>
                      <w:szCs w:val="21"/>
                      <w:lang w:val="en-US" w:eastAsia="zh-CN" w:bidi="ar-SA"/>
                    </w:rPr>
                    <w:t>新疆富城矿业投资有限公司阜康市康龙煤矿</w:t>
                  </w:r>
                  <w:r>
                    <w:rPr>
                      <w:rFonts w:hint="eastAsia" w:ascii="Times New Roman" w:hAnsi="Times New Roman" w:eastAsia="宋体" w:cs="Times New Roman"/>
                      <w:color w:val="auto"/>
                      <w:spacing w:val="-1"/>
                      <w:kern w:val="2"/>
                      <w:sz w:val="21"/>
                      <w:szCs w:val="21"/>
                      <w:lang w:val="en-US" w:eastAsia="zh-CN" w:bidi="ar-SA"/>
                    </w:rPr>
                    <w:t>采矿权范围内，治理主体为</w:t>
                  </w:r>
                  <w:r>
                    <w:rPr>
                      <w:rFonts w:hint="default" w:ascii="Times New Roman" w:hAnsi="Times New Roman" w:eastAsia="宋体" w:cs="Times New Roman"/>
                      <w:color w:val="auto"/>
                      <w:spacing w:val="-1"/>
                      <w:kern w:val="2"/>
                      <w:sz w:val="21"/>
                      <w:szCs w:val="21"/>
                      <w:lang w:val="en-US" w:eastAsia="zh-CN" w:bidi="ar-SA"/>
                    </w:rPr>
                    <w:t>新疆富城矿业投资有限公司</w:t>
                  </w:r>
                  <w:r>
                    <w:rPr>
                      <w:rFonts w:hint="eastAsia" w:ascii="Times New Roman" w:hAnsi="Times New Roman" w:eastAsia="宋体" w:cs="Times New Roman"/>
                      <w:color w:val="auto"/>
                      <w:spacing w:val="-1"/>
                      <w:kern w:val="2"/>
                      <w:sz w:val="21"/>
                      <w:szCs w:val="21"/>
                      <w:lang w:val="en-US" w:eastAsia="zh-CN" w:bidi="ar-SA"/>
                    </w:rPr>
                    <w:t>。</w:t>
                  </w:r>
                </w:p>
              </w:tc>
              <w:tc>
                <w:tcPr>
                  <w:tcW w:w="844" w:type="dxa"/>
                  <w:tcBorders>
                    <w:tl2br w:val="nil"/>
                    <w:tr2bl w:val="nil"/>
                  </w:tcBorders>
                  <w:noWrap w:val="0"/>
                  <w:vAlign w:val="center"/>
                </w:tcPr>
                <w:p w14:paraId="603DF018">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lang w:val="en-US" w:eastAsia="zh-CN"/>
                    </w:rPr>
                  </w:pPr>
                  <w:r>
                    <w:rPr>
                      <w:rFonts w:hint="eastAsia" w:ascii="Times New Roman" w:hAnsi="Times New Roman" w:eastAsia="宋体"/>
                      <w:b w:val="0"/>
                      <w:bCs w:val="0"/>
                      <w:caps w:val="0"/>
                      <w:color w:val="auto"/>
                      <w:sz w:val="21"/>
                      <w:szCs w:val="21"/>
                      <w:highlight w:val="none"/>
                      <w:lang w:val="en-US" w:eastAsia="zh-CN"/>
                    </w:rPr>
                    <w:t>符合</w:t>
                  </w:r>
                </w:p>
              </w:tc>
            </w:tr>
            <w:tr w14:paraId="6A3DA2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6A2BF7A5">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eastAsia" w:ascii="Helvetica" w:hAnsi="Helvetica" w:eastAsia="Helvetica" w:cs="Helvetica"/>
                      <w:b w:val="0"/>
                      <w:bCs w:val="0"/>
                      <w:i w:val="0"/>
                      <w:iCs w:val="0"/>
                      <w:caps w:val="0"/>
                      <w:color w:val="auto"/>
                      <w:spacing w:val="0"/>
                      <w:sz w:val="21"/>
                      <w:szCs w:val="21"/>
                      <w:shd w:val="clear" w:fill="FFFFFF"/>
                      <w:lang w:val="en-US" w:eastAsia="zh-CN"/>
                    </w:rPr>
                    <w:t>规范火区详细勘查。火区详细勘查单位必须具有相应勘查资质，具备煤田地质勘查所需的人员、技术和装备条件，以《方案》中明确的火区中心点坐标为中心，严格按照《煤田火灾灭火规范》和现行煤田地质勘查规范规程，采取物探、钻探、测温、矿井调查等方法勘查，物探成果须采取钻探进行验证。技术审查组应组织对勘查方法、工程量、勘查结果，尤其是火区面积、发火原因、燃烧煤层、燃烧范围和深度以及火区范围内的废弃老窑、采空区和烧变岩破碎区的查明情况进行审核。对火区范围内存在废弃老窑、采空区和烧变岩破碎区的，必须编制提交隐蔽致灾因素普查报告。</w:t>
                  </w:r>
                </w:p>
              </w:tc>
              <w:tc>
                <w:tcPr>
                  <w:tcW w:w="2640" w:type="dxa"/>
                  <w:tcBorders>
                    <w:tl2br w:val="nil"/>
                    <w:tr2bl w:val="nil"/>
                  </w:tcBorders>
                  <w:noWrap w:val="0"/>
                  <w:vAlign w:val="center"/>
                </w:tcPr>
                <w:p w14:paraId="536C1C83">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本项目已完成火区详勘，已取得昌吉回族自治州应急管理局出具的《关于对&lt;阜康西沙沟煤田火区详细勘察的报告&gt;的批复》</w:t>
                  </w:r>
                  <w:r>
                    <w:rPr>
                      <w:rFonts w:hint="default" w:ascii="Times New Roman" w:hAnsi="Times New Roman" w:eastAsia="宋体" w:cs="Times New Roman"/>
                      <w:color w:val="auto"/>
                      <w:spacing w:val="-1"/>
                      <w:kern w:val="2"/>
                      <w:sz w:val="21"/>
                      <w:szCs w:val="21"/>
                      <w:lang w:val="en-US" w:eastAsia="zh-CN" w:bidi="ar-SA"/>
                    </w:rPr>
                    <w:t>（昌州</w:t>
                  </w:r>
                  <w:r>
                    <w:rPr>
                      <w:rFonts w:hint="eastAsia" w:ascii="Times New Roman" w:hAnsi="Times New Roman" w:eastAsia="宋体" w:cs="Times New Roman"/>
                      <w:color w:val="auto"/>
                      <w:spacing w:val="-1"/>
                      <w:kern w:val="2"/>
                      <w:sz w:val="21"/>
                      <w:szCs w:val="21"/>
                      <w:lang w:val="en-US" w:eastAsia="zh-CN" w:bidi="ar-SA"/>
                    </w:rPr>
                    <w:t>应急</w:t>
                  </w:r>
                  <w:r>
                    <w:rPr>
                      <w:rFonts w:hint="default" w:ascii="Times New Roman" w:hAnsi="Times New Roman" w:eastAsia="宋体" w:cs="Times New Roman"/>
                      <w:color w:val="auto"/>
                      <w:spacing w:val="-1"/>
                      <w:kern w:val="2"/>
                      <w:sz w:val="21"/>
                      <w:szCs w:val="21"/>
                      <w:lang w:val="en-US" w:eastAsia="zh-CN" w:bidi="ar-SA"/>
                    </w:rPr>
                    <w:t>〔202</w:t>
                  </w:r>
                  <w:r>
                    <w:rPr>
                      <w:rFonts w:hint="eastAsia" w:ascii="Times New Roman" w:hAnsi="Times New Roman" w:eastAsia="宋体" w:cs="Times New Roman"/>
                      <w:color w:val="auto"/>
                      <w:spacing w:val="-1"/>
                      <w:kern w:val="2"/>
                      <w:sz w:val="21"/>
                      <w:szCs w:val="21"/>
                      <w:lang w:val="en-US" w:eastAsia="zh-CN" w:bidi="ar-SA"/>
                    </w:rPr>
                    <w:t>5</w:t>
                  </w:r>
                  <w:r>
                    <w:rPr>
                      <w:rFonts w:hint="default" w:ascii="Times New Roman" w:hAnsi="Times New Roman" w:eastAsia="宋体" w:cs="Times New Roman"/>
                      <w:color w:val="auto"/>
                      <w:spacing w:val="-1"/>
                      <w:kern w:val="2"/>
                      <w:sz w:val="21"/>
                      <w:szCs w:val="21"/>
                      <w:lang w:val="en-US" w:eastAsia="zh-CN" w:bidi="ar-SA"/>
                    </w:rPr>
                    <w:t>〕</w:t>
                  </w:r>
                  <w:r>
                    <w:rPr>
                      <w:rFonts w:hint="eastAsia" w:ascii="Times New Roman" w:hAnsi="Times New Roman" w:eastAsia="宋体" w:cs="Times New Roman"/>
                      <w:color w:val="auto"/>
                      <w:spacing w:val="-1"/>
                      <w:kern w:val="2"/>
                      <w:sz w:val="21"/>
                      <w:szCs w:val="21"/>
                      <w:lang w:val="en-US" w:eastAsia="zh-CN" w:bidi="ar-SA"/>
                    </w:rPr>
                    <w:t>4</w:t>
                  </w:r>
                  <w:r>
                    <w:rPr>
                      <w:rFonts w:hint="default" w:ascii="Times New Roman" w:hAnsi="Times New Roman" w:eastAsia="宋体" w:cs="Times New Roman"/>
                      <w:color w:val="auto"/>
                      <w:spacing w:val="-1"/>
                      <w:kern w:val="2"/>
                      <w:sz w:val="21"/>
                      <w:szCs w:val="21"/>
                      <w:lang w:val="en-US" w:eastAsia="zh-CN" w:bidi="ar-SA"/>
                    </w:rPr>
                    <w:t xml:space="preserve"> 号）</w:t>
                  </w:r>
                  <w:r>
                    <w:rPr>
                      <w:rFonts w:hint="eastAsia" w:ascii="Times New Roman" w:hAnsi="Times New Roman" w:eastAsia="宋体" w:cs="Times New Roman"/>
                      <w:color w:val="auto"/>
                      <w:spacing w:val="-1"/>
                      <w:kern w:val="2"/>
                      <w:sz w:val="21"/>
                      <w:szCs w:val="21"/>
                      <w:lang w:val="en-US" w:eastAsia="zh-CN" w:bidi="ar-SA"/>
                    </w:rPr>
                    <w:t>。</w:t>
                  </w:r>
                </w:p>
              </w:tc>
              <w:tc>
                <w:tcPr>
                  <w:tcW w:w="844" w:type="dxa"/>
                  <w:tcBorders>
                    <w:tl2br w:val="nil"/>
                    <w:tr2bl w:val="nil"/>
                  </w:tcBorders>
                  <w:noWrap w:val="0"/>
                  <w:vAlign w:val="center"/>
                </w:tcPr>
                <w:p w14:paraId="68808FC0">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default" w:ascii="Times New Roman" w:hAnsi="Times New Roman" w:eastAsia="宋体"/>
                      <w:b w:val="0"/>
                      <w:bCs w:val="0"/>
                      <w:caps w:val="0"/>
                      <w:color w:val="auto"/>
                      <w:sz w:val="21"/>
                      <w:szCs w:val="21"/>
                      <w:highlight w:val="none"/>
                    </w:rPr>
                    <w:t>符合</w:t>
                  </w:r>
                </w:p>
              </w:tc>
            </w:tr>
            <w:tr w14:paraId="6B64E3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729FC816">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eastAsia" w:ascii="Helvetica" w:hAnsi="Helvetica" w:eastAsia="Helvetica" w:cs="Helvetica"/>
                      <w:b w:val="0"/>
                      <w:bCs w:val="0"/>
                      <w:i w:val="0"/>
                      <w:iCs w:val="0"/>
                      <w:caps w:val="0"/>
                      <w:color w:val="auto"/>
                      <w:spacing w:val="0"/>
                      <w:sz w:val="21"/>
                      <w:szCs w:val="21"/>
                      <w:shd w:val="clear" w:fill="FFFFFF"/>
                      <w:lang w:val="en-US" w:eastAsia="zh-CN"/>
                    </w:rPr>
                    <w:t>严格审批初步设计。火区治理工程初步设计单位必须具有煤炭行业工程设计资质，火区采取地面开挖形成边坡的，开展初步设计前必须委托有资质的单位编制提交边坡稳定性预评价报告。初步设计要严格按照批准的《火区详细勘查报告》，因地制宜、科学确定火区治理范围，明确灭火取用水量和水源、排渣用地和林草地占用面积等相关情况，提出火区治理生态环境修复等具体要求。安全设施专章、视频在线监控方案纳入初步设计单元，视频在线监控接入州、县市（园区）安全监管平台。火区施工条件发生变化，需变更设计内容的，应参照《自治区煤矿建设项目初步设计管理工作指南》中露天煤矿设计变</w:t>
                  </w:r>
                </w:p>
                <w:p w14:paraId="603D30DF">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eastAsia" w:ascii="Helvetica" w:hAnsi="Helvetica" w:eastAsia="Helvetica" w:cs="Helvetica"/>
                      <w:b w:val="0"/>
                      <w:bCs w:val="0"/>
                      <w:i w:val="0"/>
                      <w:iCs w:val="0"/>
                      <w:caps w:val="0"/>
                      <w:color w:val="auto"/>
                      <w:spacing w:val="0"/>
                      <w:sz w:val="21"/>
                      <w:szCs w:val="21"/>
                      <w:shd w:val="clear" w:fill="FFFFFF"/>
                      <w:lang w:val="en-US" w:eastAsia="zh-CN"/>
                    </w:rPr>
                    <w:t>更标准，属于一般变更内容由原设计单位修改并出具变更设计意见，报煤田灭火领导小组办公室备案，属于重大变更内容应</w:t>
                  </w:r>
                </w:p>
                <w:p w14:paraId="07BD9E84">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eastAsia" w:ascii="Helvetica" w:hAnsi="Helvetica" w:eastAsia="Helvetica" w:cs="Helvetica"/>
                      <w:b w:val="0"/>
                      <w:bCs w:val="0"/>
                      <w:i w:val="0"/>
                      <w:iCs w:val="0"/>
                      <w:caps w:val="0"/>
                      <w:color w:val="auto"/>
                      <w:spacing w:val="0"/>
                      <w:sz w:val="21"/>
                      <w:szCs w:val="21"/>
                      <w:shd w:val="clear" w:fill="FFFFFF"/>
                      <w:lang w:val="en-US" w:eastAsia="zh-CN"/>
                    </w:rPr>
                    <w:t>当报技术审查组组织审查、论证，并报州人民政府批复。</w:t>
                  </w:r>
                </w:p>
                <w:p w14:paraId="5108685C">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eastAsia" w:ascii="Helvetica" w:hAnsi="Helvetica" w:eastAsia="Helvetica" w:cs="Helvetica"/>
                      <w:b w:val="0"/>
                      <w:bCs w:val="0"/>
                      <w:i w:val="0"/>
                      <w:iCs w:val="0"/>
                      <w:caps w:val="0"/>
                      <w:color w:val="auto"/>
                      <w:spacing w:val="0"/>
                      <w:sz w:val="21"/>
                      <w:szCs w:val="21"/>
                      <w:shd w:val="clear" w:fill="FFFFFF"/>
                      <w:lang w:val="en-US" w:eastAsia="zh-CN"/>
                    </w:rPr>
                    <w:t>根据方案比选和论证分析，科学合理确定采用钻孔、注水、注浆和覆盖等综合灭火方法（以下简称“综合灭火方法”）或以地面开挖剥除火源体为主的灭火方法（以下简称“地面开挖灭火方法”）。设计论证采用综合灭火方法的，严格按照《煤田火灾灭火规范》的灭火工艺和灭火工程施工要求编制初步设计，明确作业面坡度、台阶高度、台阶坡面角、钻孔间距、钻孔排距、注水间隔时间、泥浆水土比、注浆充填率、覆盖厚度及压实度等具体参数，根据火区燃烧状况，明确注浆封堵材料类型及注浆压力，燃烧的煤层露头区的处理方法；明确高温爆喷及采空塌陷的安全防范技术措施。设计论证采用地面开挖灭火方法的，应参照《煤炭工业露天煤矿设计规范》要求编制初步设计，明确地面开挖境界、剥挖区和排渣场的台阶高度、平台宽度、台阶坡面角、边坡角、残煤量、治理工期、经济分析等具体参数；明确边坡稳定性评价等安全技术和管理措施、剥挖区和排渣场边坡在线监测系统方案，并接入州、县市（园区）安全监管平台，有效防范安全风险、遏制事故发生。</w:t>
                  </w:r>
                </w:p>
              </w:tc>
              <w:tc>
                <w:tcPr>
                  <w:tcW w:w="2640" w:type="dxa"/>
                  <w:tcBorders>
                    <w:tl2br w:val="nil"/>
                    <w:tr2bl w:val="nil"/>
                  </w:tcBorders>
                  <w:noWrap w:val="0"/>
                  <w:vAlign w:val="center"/>
                </w:tcPr>
                <w:p w14:paraId="0CCFDAD1">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本项目已完成火区初步设计，已取得昌吉回族自治州人民政府出具的《昌吉回族自治州人民政府关于阜康西沙沟煤田火区灭火工程初步设计（代可研2026</w:t>
                  </w:r>
                  <w:r>
                    <w:rPr>
                      <w:rFonts w:hint="default" w:ascii="Times New Roman" w:hAnsi="Times New Roman" w:eastAsia="宋体" w:cs="Times New Roman"/>
                      <w:color w:val="auto"/>
                      <w:spacing w:val="-1"/>
                      <w:kern w:val="2"/>
                      <w:sz w:val="21"/>
                      <w:szCs w:val="21"/>
                      <w:lang w:val="en-US" w:eastAsia="zh-CN" w:bidi="ar-SA"/>
                    </w:rPr>
                    <w:t>〕</w:t>
                  </w:r>
                  <w:r>
                    <w:rPr>
                      <w:rFonts w:hint="eastAsia" w:ascii="Times New Roman" w:hAnsi="Times New Roman" w:eastAsia="宋体" w:cs="Times New Roman"/>
                      <w:color w:val="auto"/>
                      <w:spacing w:val="-1"/>
                      <w:kern w:val="2"/>
                      <w:sz w:val="21"/>
                      <w:szCs w:val="21"/>
                      <w:lang w:val="en-US" w:eastAsia="zh-CN" w:bidi="ar-SA"/>
                    </w:rPr>
                    <w:t>142</w:t>
                  </w:r>
                  <w:r>
                    <w:rPr>
                      <w:rFonts w:hint="default" w:ascii="Times New Roman" w:hAnsi="Times New Roman" w:eastAsia="宋体" w:cs="Times New Roman"/>
                      <w:color w:val="auto"/>
                      <w:spacing w:val="-1"/>
                      <w:kern w:val="2"/>
                      <w:sz w:val="21"/>
                      <w:szCs w:val="21"/>
                      <w:lang w:val="en-US" w:eastAsia="zh-CN" w:bidi="ar-SA"/>
                    </w:rPr>
                    <w:t>号）</w:t>
                  </w:r>
                  <w:r>
                    <w:rPr>
                      <w:rFonts w:hint="eastAsia" w:ascii="Times New Roman" w:hAnsi="Times New Roman" w:eastAsia="宋体" w:cs="Times New Roman"/>
                      <w:color w:val="auto"/>
                      <w:spacing w:val="-1"/>
                      <w:kern w:val="2"/>
                      <w:sz w:val="21"/>
                      <w:szCs w:val="21"/>
                      <w:lang w:val="en-US" w:eastAsia="zh-CN" w:bidi="ar-SA"/>
                    </w:rPr>
                    <w:t>。</w:t>
                  </w:r>
                </w:p>
              </w:tc>
              <w:tc>
                <w:tcPr>
                  <w:tcW w:w="844" w:type="dxa"/>
                  <w:tcBorders>
                    <w:tl2br w:val="nil"/>
                    <w:tr2bl w:val="nil"/>
                  </w:tcBorders>
                  <w:noWrap w:val="0"/>
                  <w:vAlign w:val="center"/>
                </w:tcPr>
                <w:p w14:paraId="667FE218">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val="0"/>
                      <w:bCs w:val="0"/>
                      <w:caps w:val="0"/>
                      <w:color w:val="auto"/>
                      <w:sz w:val="21"/>
                      <w:szCs w:val="21"/>
                      <w:highlight w:val="none"/>
                    </w:rPr>
                  </w:pPr>
                  <w:r>
                    <w:rPr>
                      <w:rFonts w:hint="eastAsia" w:ascii="Times New Roman" w:hAnsi="Times New Roman" w:eastAsia="宋体"/>
                      <w:b w:val="0"/>
                      <w:bCs w:val="0"/>
                      <w:caps w:val="0"/>
                      <w:color w:val="auto"/>
                      <w:sz w:val="21"/>
                      <w:szCs w:val="21"/>
                      <w:highlight w:val="none"/>
                      <w:lang w:val="en-US" w:eastAsia="zh-CN"/>
                    </w:rPr>
                    <w:t>符合</w:t>
                  </w:r>
                </w:p>
              </w:tc>
            </w:tr>
            <w:tr w14:paraId="723806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7EED5D64">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eastAsia" w:ascii="Helvetica" w:hAnsi="Helvetica" w:eastAsia="Helvetica" w:cs="Helvetica"/>
                      <w:b w:val="0"/>
                      <w:bCs w:val="0"/>
                      <w:i w:val="0"/>
                      <w:iCs w:val="0"/>
                      <w:caps w:val="0"/>
                      <w:color w:val="auto"/>
                      <w:spacing w:val="0"/>
                      <w:sz w:val="21"/>
                      <w:szCs w:val="21"/>
                      <w:shd w:val="clear" w:fill="FFFFFF"/>
                      <w:lang w:val="en-US" w:eastAsia="zh-CN"/>
                    </w:rPr>
                    <w:t>明确残留煤炭资源处置。有采矿权火区，矿区范围内治理产生的残留煤炭资源，在州、县市（园区）人民政府（管委会）监管下，依法足额缴纳采矿权出让收益和依法纳税后自行处置，处置收入优先用于保障火区治理和生态环境修复资金需要。无采矿权火区，治理过程中产生的残留煤炭资源，在州、县市（园区）人民政府（管委会）监管下，治理主体企业依托</w:t>
                  </w:r>
                </w:p>
                <w:p w14:paraId="06B4DC98">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eastAsia" w:ascii="Helvetica" w:hAnsi="Helvetica" w:eastAsia="Helvetica" w:cs="Helvetica"/>
                      <w:b w:val="0"/>
                      <w:bCs w:val="0"/>
                      <w:i w:val="0"/>
                      <w:iCs w:val="0"/>
                      <w:caps w:val="0"/>
                      <w:color w:val="auto"/>
                      <w:spacing w:val="0"/>
                      <w:sz w:val="21"/>
                      <w:szCs w:val="21"/>
                      <w:shd w:val="clear" w:fill="FFFFFF"/>
                      <w:lang w:val="en-US" w:eastAsia="zh-CN"/>
                    </w:rPr>
                    <w:t>公共资源交易平台处置。处置收入依法纳税后，作为国有资产处置收入，全额上缴州国库，由州财政通过转移支付的方式，分阶段向各县市（园区）安排项目前期费用和火区治理资金。严格“收支两条线”管理。各县市（园区）上缴州财政国库的残</w:t>
                  </w:r>
                </w:p>
                <w:p w14:paraId="09BD6017">
                  <w:pPr>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aps w:val="0"/>
                      <w:color w:val="auto"/>
                      <w:spacing w:val="0"/>
                      <w:sz w:val="21"/>
                      <w:szCs w:val="21"/>
                      <w:shd w:val="clear" w:fill="FFFFFF"/>
                      <w:lang w:val="en-US" w:eastAsia="zh-CN"/>
                    </w:rPr>
                  </w:pPr>
                  <w:r>
                    <w:rPr>
                      <w:rFonts w:hint="eastAsia" w:ascii="Helvetica" w:hAnsi="Helvetica" w:eastAsia="Helvetica" w:cs="Helvetica"/>
                      <w:b w:val="0"/>
                      <w:bCs w:val="0"/>
                      <w:i w:val="0"/>
                      <w:iCs w:val="0"/>
                      <w:caps w:val="0"/>
                      <w:color w:val="auto"/>
                      <w:spacing w:val="0"/>
                      <w:sz w:val="21"/>
                      <w:szCs w:val="21"/>
                      <w:shd w:val="clear" w:fill="FFFFFF"/>
                      <w:lang w:val="en-US" w:eastAsia="zh-CN"/>
                    </w:rPr>
                    <w:t>煤处置收入，计入各县市（园区）一般公共预算收入基数。州自然资源局要牵头组织制定残留煤炭资源处置监管的具体方案，报州人民政府审核后下发执行。</w:t>
                  </w:r>
                </w:p>
              </w:tc>
              <w:tc>
                <w:tcPr>
                  <w:tcW w:w="2640" w:type="dxa"/>
                  <w:tcBorders>
                    <w:tl2br w:val="nil"/>
                    <w:tr2bl w:val="nil"/>
                  </w:tcBorders>
                  <w:noWrap w:val="0"/>
                  <w:vAlign w:val="center"/>
                </w:tcPr>
                <w:p w14:paraId="044DFFDE">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根据初步设计，</w:t>
                  </w:r>
                  <w:r>
                    <w:rPr>
                      <w:rFonts w:hint="eastAsia" w:ascii="Times New Roman" w:hAnsi="Times New Roman" w:eastAsia="宋体" w:cs="Times New Roman"/>
                      <w:color w:val="auto"/>
                      <w:sz w:val="21"/>
                      <w:szCs w:val="21"/>
                      <w:lang w:val="en-US" w:eastAsia="zh-CN"/>
                    </w:rPr>
                    <w:t>本次设计火区治理采用注水注浆为主的综合治理方法，根据详勘报告提供的煤炭资源储量分布并结合火烧区情况，火区无工程残煤，但可能存在少量煤层露头或地表风化煤，严格按照《新疆维吾尔自治区煤田火区灭火工作实施方案》的补充通知（新政办发〔2024〕17号）进行处置。</w:t>
                  </w:r>
                </w:p>
              </w:tc>
              <w:tc>
                <w:tcPr>
                  <w:tcW w:w="844" w:type="dxa"/>
                  <w:tcBorders>
                    <w:tl2br w:val="nil"/>
                    <w:tr2bl w:val="nil"/>
                  </w:tcBorders>
                  <w:noWrap w:val="0"/>
                  <w:vAlign w:val="center"/>
                </w:tcPr>
                <w:p w14:paraId="3127A6D7">
                  <w:pPr>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b w:val="0"/>
                      <w:bCs w:val="0"/>
                      <w:caps w:val="0"/>
                      <w:color w:val="auto"/>
                      <w:sz w:val="21"/>
                      <w:szCs w:val="21"/>
                      <w:highlight w:val="none"/>
                      <w:lang w:val="en-US" w:eastAsia="zh-CN"/>
                    </w:rPr>
                  </w:pPr>
                  <w:r>
                    <w:rPr>
                      <w:rFonts w:hint="eastAsia" w:ascii="Times New Roman" w:hAnsi="Times New Roman" w:eastAsia="宋体"/>
                      <w:b w:val="0"/>
                      <w:bCs w:val="0"/>
                      <w:caps w:val="0"/>
                      <w:color w:val="auto"/>
                      <w:sz w:val="21"/>
                      <w:szCs w:val="21"/>
                      <w:highlight w:val="none"/>
                      <w:lang w:val="en-US" w:eastAsia="zh-CN"/>
                    </w:rPr>
                    <w:t>符合</w:t>
                  </w:r>
                </w:p>
              </w:tc>
            </w:tr>
          </w:tbl>
          <w:p w14:paraId="1CB9288C">
            <w:pPr>
              <w:pStyle w:val="101"/>
              <w:keepNext w:val="0"/>
              <w:keepLines w:val="0"/>
              <w:pageBreakBefore w:val="0"/>
              <w:widowControl w:val="0"/>
              <w:suppressLineNumbers w:val="0"/>
              <w:tabs>
                <w:tab w:val="left" w:pos="4584"/>
              </w:tabs>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baseline"/>
              <w:rPr>
                <w:rFonts w:hint="default"/>
                <w:b/>
                <w:bCs/>
                <w:snapToGrid/>
                <w:color w:val="auto"/>
                <w:kern w:val="2"/>
                <w:sz w:val="24"/>
                <w:szCs w:val="24"/>
              </w:rPr>
            </w:pPr>
            <w:r>
              <w:rPr>
                <w:rFonts w:hint="eastAsia"/>
                <w:b/>
                <w:bCs/>
                <w:snapToGrid/>
                <w:color w:val="auto"/>
                <w:kern w:val="2"/>
                <w:sz w:val="24"/>
                <w:szCs w:val="24"/>
                <w:lang w:val="en-US" w:eastAsia="zh-CN"/>
              </w:rPr>
              <w:t>9、</w:t>
            </w:r>
            <w:r>
              <w:rPr>
                <w:rFonts w:hint="default"/>
                <w:b/>
                <w:bCs/>
                <w:snapToGrid/>
                <w:color w:val="auto"/>
                <w:kern w:val="2"/>
                <w:sz w:val="24"/>
                <w:szCs w:val="24"/>
              </w:rPr>
              <w:t>与《</w:t>
            </w:r>
            <w:r>
              <w:rPr>
                <w:rFonts w:hint="eastAsia"/>
                <w:b/>
                <w:bCs/>
                <w:snapToGrid/>
                <w:color w:val="auto"/>
                <w:kern w:val="2"/>
                <w:sz w:val="24"/>
                <w:szCs w:val="24"/>
                <w:lang w:val="en-US" w:eastAsia="zh-CN"/>
              </w:rPr>
              <w:t>新疆煤田火区治理工作规范（试行）</w:t>
            </w:r>
            <w:r>
              <w:rPr>
                <w:rFonts w:hint="default"/>
                <w:b/>
                <w:bCs/>
                <w:snapToGrid/>
                <w:color w:val="auto"/>
                <w:kern w:val="2"/>
                <w:sz w:val="24"/>
                <w:szCs w:val="24"/>
              </w:rPr>
              <w:t>》符合性</w:t>
            </w:r>
          </w:p>
          <w:p w14:paraId="4EA053E3">
            <w:pPr>
              <w:keepNext w:val="0"/>
              <w:keepLines w:val="0"/>
              <w:suppressLineNumbers w:val="0"/>
              <w:spacing w:before="0" w:beforeAutospacing="0" w:after="0" w:afterAutospacing="0" w:line="360" w:lineRule="auto"/>
              <w:ind w:left="0" w:right="0" w:firstLine="480" w:firstLineChars="200"/>
              <w:jc w:val="both"/>
              <w:outlineLvl w:val="0"/>
              <w:rPr>
                <w:rFonts w:hint="default" w:ascii="Times New Roman" w:hAnsi="Times New Roman" w:eastAsia="宋体" w:cs="Times New Roman"/>
                <w:b w:val="0"/>
                <w:bCs w:val="0"/>
                <w:caps w:val="0"/>
                <w:color w:val="auto"/>
                <w:sz w:val="24"/>
                <w:highlight w:val="none"/>
                <w:lang w:val="en-US" w:eastAsia="zh-CN"/>
              </w:rPr>
            </w:pPr>
            <w:r>
              <w:rPr>
                <w:rFonts w:hint="eastAsia" w:ascii="Times New Roman" w:hAnsi="Times New Roman" w:eastAsia="宋体" w:cs="Times New Roman"/>
                <w:b w:val="0"/>
                <w:bCs w:val="0"/>
                <w:caps w:val="0"/>
                <w:color w:val="auto"/>
                <w:sz w:val="24"/>
                <w:highlight w:val="none"/>
                <w:lang w:val="en-US" w:eastAsia="zh-CN"/>
              </w:rPr>
              <w:t>本项目与</w:t>
            </w:r>
            <w:r>
              <w:rPr>
                <w:rFonts w:hint="eastAsia" w:ascii="Times New Roman" w:hAnsi="Times New Roman" w:eastAsia="宋体" w:cs="Times New Roman"/>
                <w:b w:val="0"/>
                <w:bCs w:val="0"/>
                <w:kern w:val="2"/>
                <w:sz w:val="24"/>
                <w:szCs w:val="24"/>
                <w:lang w:val="en-US" w:eastAsia="zh-CN" w:bidi="ar-SA"/>
              </w:rPr>
              <w:t xml:space="preserve"> 《新疆维吾尔自治区人民政府办公厅关于转发&lt;新疆煤田火区治理工作规范（试行）&gt;的通知》</w:t>
            </w:r>
            <w:r>
              <w:rPr>
                <w:rFonts w:hint="eastAsia"/>
                <w:b w:val="0"/>
                <w:bCs w:val="0"/>
                <w:caps w:val="0"/>
                <w:color w:val="auto"/>
                <w:sz w:val="24"/>
                <w:highlight w:val="none"/>
                <w:lang w:val="en-US" w:eastAsia="zh-CN"/>
              </w:rPr>
              <w:t>（新政办发</w:t>
            </w:r>
            <w:r>
              <w:rPr>
                <w:rFonts w:hint="default" w:ascii="Times New Roman" w:hAnsi="Times New Roman" w:cs="Times New Roman"/>
                <w:b w:val="0"/>
                <w:bCs w:val="0"/>
                <w:color w:val="auto"/>
                <w:kern w:val="0"/>
                <w:sz w:val="24"/>
                <w:lang w:eastAsia="zh-CN"/>
              </w:rPr>
              <w:t>〔</w:t>
            </w:r>
            <w:r>
              <w:rPr>
                <w:rFonts w:hint="eastAsia" w:ascii="Times New Roman" w:hAnsi="Times New Roman" w:cs="Times New Roman"/>
                <w:b w:val="0"/>
                <w:bCs w:val="0"/>
                <w:color w:val="auto"/>
                <w:kern w:val="0"/>
                <w:sz w:val="24"/>
                <w:lang w:val="en-US" w:eastAsia="zh-CN"/>
              </w:rPr>
              <w:t>2025</w:t>
            </w:r>
            <w:r>
              <w:rPr>
                <w:rFonts w:hint="default" w:ascii="Times New Roman" w:hAnsi="Times New Roman" w:cs="Times New Roman"/>
                <w:b w:val="0"/>
                <w:bCs w:val="0"/>
                <w:color w:val="auto"/>
                <w:kern w:val="0"/>
                <w:sz w:val="24"/>
                <w:lang w:eastAsia="zh-CN"/>
              </w:rPr>
              <w:t>〕</w:t>
            </w:r>
            <w:r>
              <w:rPr>
                <w:rFonts w:hint="eastAsia" w:cs="Times New Roman"/>
                <w:b w:val="0"/>
                <w:bCs w:val="0"/>
                <w:color w:val="auto"/>
                <w:kern w:val="0"/>
                <w:sz w:val="24"/>
                <w:lang w:val="en-US" w:eastAsia="zh-CN"/>
              </w:rPr>
              <w:t>8</w:t>
            </w:r>
            <w:r>
              <w:rPr>
                <w:rFonts w:hint="default" w:ascii="Times New Roman" w:hAnsi="Times New Roman" w:cs="Times New Roman"/>
                <w:b w:val="0"/>
                <w:bCs w:val="0"/>
                <w:color w:val="auto"/>
                <w:kern w:val="0"/>
                <w:sz w:val="24"/>
              </w:rPr>
              <w:t>号</w:t>
            </w:r>
            <w:r>
              <w:rPr>
                <w:rFonts w:hint="eastAsia"/>
                <w:b w:val="0"/>
                <w:bCs w:val="0"/>
                <w:caps w:val="0"/>
                <w:color w:val="auto"/>
                <w:sz w:val="24"/>
                <w:highlight w:val="none"/>
                <w:lang w:val="en-US" w:eastAsia="zh-CN"/>
              </w:rPr>
              <w:t>）</w:t>
            </w:r>
            <w:r>
              <w:rPr>
                <w:rFonts w:hint="eastAsia" w:ascii="Times New Roman" w:hAnsi="Times New Roman" w:cs="Times New Roman"/>
                <w:b w:val="0"/>
                <w:bCs w:val="0"/>
                <w:caps w:val="0"/>
                <w:color w:val="auto"/>
                <w:sz w:val="24"/>
                <w:highlight w:val="none"/>
                <w:lang w:val="en-US" w:eastAsia="zh-CN"/>
              </w:rPr>
              <w:t>相关</w:t>
            </w:r>
            <w:r>
              <w:rPr>
                <w:rFonts w:hint="eastAsia" w:ascii="Times New Roman" w:hAnsi="Times New Roman" w:eastAsia="宋体" w:cs="Times New Roman"/>
                <w:b w:val="0"/>
                <w:bCs w:val="0"/>
                <w:caps w:val="0"/>
                <w:color w:val="auto"/>
                <w:sz w:val="24"/>
                <w:highlight w:val="none"/>
                <w:lang w:val="en-US" w:eastAsia="zh-CN"/>
              </w:rPr>
              <w:t>符合性分析详见表1</w:t>
            </w:r>
            <w:r>
              <w:rPr>
                <w:rFonts w:hint="eastAsia" w:cs="Times New Roman"/>
                <w:b w:val="0"/>
                <w:bCs w:val="0"/>
                <w:caps w:val="0"/>
                <w:color w:val="auto"/>
                <w:sz w:val="24"/>
                <w:highlight w:val="none"/>
                <w:lang w:val="en-US" w:eastAsia="zh-CN"/>
              </w:rPr>
              <w:t>-8</w:t>
            </w:r>
            <w:r>
              <w:rPr>
                <w:rFonts w:hint="eastAsia" w:ascii="Times New Roman" w:hAnsi="Times New Roman" w:eastAsia="宋体" w:cs="Times New Roman"/>
                <w:b w:val="0"/>
                <w:bCs w:val="0"/>
                <w:caps w:val="0"/>
                <w:color w:val="auto"/>
                <w:sz w:val="24"/>
                <w:highlight w:val="none"/>
                <w:lang w:val="en-US" w:eastAsia="zh-CN"/>
              </w:rPr>
              <w:t>。</w:t>
            </w:r>
          </w:p>
          <w:p w14:paraId="45F54FAB">
            <w:pPr>
              <w:keepNext w:val="0"/>
              <w:keepLines w:val="0"/>
              <w:pageBreakBefore w:val="0"/>
              <w:suppressLineNumbers w:val="0"/>
              <w:tabs>
                <w:tab w:val="left" w:pos="2940"/>
                <w:tab w:val="center" w:pos="4630"/>
              </w:tabs>
              <w:kinsoku/>
              <w:wordWrap/>
              <w:autoSpaceDE w:val="0"/>
              <w:autoSpaceDN w:val="0"/>
              <w:bidi w:val="0"/>
              <w:adjustRightInd/>
              <w:snapToGrid/>
              <w:spacing w:before="0" w:beforeAutospacing="0" w:after="0" w:afterAutospacing="0"/>
              <w:ind w:left="0" w:right="0"/>
              <w:jc w:val="center"/>
              <w:rPr>
                <w:rFonts w:hint="default" w:ascii="Times New Roman" w:hAnsi="Times New Roman" w:eastAsia="宋体"/>
                <w:b/>
                <w:bCs/>
                <w:caps w:val="0"/>
                <w:color w:val="auto"/>
                <w:kern w:val="0"/>
                <w:sz w:val="21"/>
                <w:szCs w:val="21"/>
                <w:highlight w:val="none"/>
              </w:rPr>
            </w:pPr>
            <w:r>
              <w:rPr>
                <w:rFonts w:hint="default" w:ascii="Times New Roman" w:hAnsi="Times New Roman" w:eastAsia="宋体"/>
                <w:b/>
                <w:bCs/>
                <w:caps w:val="0"/>
                <w:color w:val="auto"/>
                <w:kern w:val="0"/>
                <w:sz w:val="21"/>
                <w:szCs w:val="21"/>
                <w:highlight w:val="none"/>
              </w:rPr>
              <w:t>表</w:t>
            </w:r>
            <w:r>
              <w:rPr>
                <w:rFonts w:hint="eastAsia" w:ascii="Times New Roman" w:hAnsi="Times New Roman" w:eastAsia="宋体"/>
                <w:b/>
                <w:bCs/>
                <w:caps w:val="0"/>
                <w:color w:val="auto"/>
                <w:kern w:val="0"/>
                <w:sz w:val="21"/>
                <w:szCs w:val="21"/>
                <w:highlight w:val="none"/>
              </w:rPr>
              <w:t>1-</w:t>
            </w:r>
            <w:r>
              <w:rPr>
                <w:rFonts w:hint="eastAsia"/>
                <w:b/>
                <w:bCs/>
                <w:caps w:val="0"/>
                <w:color w:val="auto"/>
                <w:kern w:val="0"/>
                <w:sz w:val="21"/>
                <w:szCs w:val="21"/>
                <w:highlight w:val="none"/>
                <w:lang w:val="en-US" w:eastAsia="zh-CN"/>
              </w:rPr>
              <w:t>8</w:t>
            </w:r>
            <w:r>
              <w:rPr>
                <w:rFonts w:hint="eastAsia" w:ascii="Times New Roman" w:hAnsi="Times New Roman" w:eastAsia="宋体"/>
                <w:b/>
                <w:bCs/>
                <w:caps w:val="0"/>
                <w:color w:val="auto"/>
                <w:kern w:val="0"/>
                <w:sz w:val="21"/>
                <w:szCs w:val="21"/>
                <w:highlight w:val="none"/>
              </w:rPr>
              <w:t xml:space="preserve"> </w:t>
            </w:r>
            <w:r>
              <w:rPr>
                <w:rFonts w:hint="default" w:ascii="Times New Roman" w:hAnsi="Times New Roman" w:eastAsia="宋体"/>
                <w:b/>
                <w:bCs/>
                <w:caps w:val="0"/>
                <w:color w:val="auto"/>
                <w:kern w:val="0"/>
                <w:sz w:val="21"/>
                <w:szCs w:val="21"/>
                <w:highlight w:val="none"/>
              </w:rPr>
              <w:t xml:space="preserve"> </w:t>
            </w:r>
            <w:r>
              <w:rPr>
                <w:rFonts w:hint="eastAsia" w:ascii="Times New Roman" w:hAnsi="Times New Roman" w:eastAsia="宋体"/>
                <w:b/>
                <w:bCs/>
                <w:caps w:val="0"/>
                <w:color w:val="auto"/>
                <w:kern w:val="0"/>
                <w:sz w:val="21"/>
                <w:szCs w:val="21"/>
                <w:highlight w:val="none"/>
              </w:rPr>
              <w:t>与</w:t>
            </w:r>
            <w:r>
              <w:rPr>
                <w:rFonts w:hint="eastAsia"/>
                <w:b/>
                <w:bCs/>
                <w:caps w:val="0"/>
                <w:color w:val="auto"/>
                <w:kern w:val="0"/>
                <w:sz w:val="21"/>
                <w:szCs w:val="21"/>
                <w:highlight w:val="none"/>
                <w:lang w:eastAsia="zh-CN"/>
              </w:rPr>
              <w:t>《</w:t>
            </w:r>
            <w:r>
              <w:rPr>
                <w:rFonts w:hint="eastAsia"/>
                <w:b/>
                <w:bCs/>
                <w:caps w:val="0"/>
                <w:color w:val="auto"/>
                <w:kern w:val="0"/>
                <w:sz w:val="21"/>
                <w:szCs w:val="21"/>
                <w:highlight w:val="none"/>
                <w:lang w:val="en-US" w:eastAsia="zh-CN"/>
              </w:rPr>
              <w:t>新疆煤田火区治理工作规范（试行）</w:t>
            </w:r>
            <w:r>
              <w:rPr>
                <w:rFonts w:hint="default"/>
                <w:b/>
                <w:bCs/>
                <w:snapToGrid/>
                <w:color w:val="auto"/>
                <w:kern w:val="2"/>
                <w:sz w:val="21"/>
                <w:szCs w:val="21"/>
              </w:rPr>
              <w:t>》</w:t>
            </w:r>
            <w:r>
              <w:rPr>
                <w:rFonts w:hint="default" w:ascii="Times New Roman" w:hAnsi="Times New Roman" w:eastAsia="宋体"/>
                <w:b/>
                <w:bCs/>
                <w:caps w:val="0"/>
                <w:color w:val="auto"/>
                <w:kern w:val="0"/>
                <w:sz w:val="21"/>
                <w:szCs w:val="21"/>
                <w:highlight w:val="none"/>
              </w:rPr>
              <w:t>符合性分析一览表</w:t>
            </w:r>
          </w:p>
          <w:tbl>
            <w:tblPr>
              <w:tblStyle w:val="26"/>
              <w:tblW w:w="7473"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57" w:type="dxa"/>
                <w:left w:w="57" w:type="dxa"/>
                <w:bottom w:w="57" w:type="dxa"/>
                <w:right w:w="57" w:type="dxa"/>
              </w:tblCellMar>
            </w:tblPr>
            <w:tblGrid>
              <w:gridCol w:w="3989"/>
              <w:gridCol w:w="2640"/>
              <w:gridCol w:w="844"/>
            </w:tblGrid>
            <w:tr w14:paraId="3E8DF9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368" w:hRule="atLeast"/>
                <w:jc w:val="center"/>
              </w:trPr>
              <w:tc>
                <w:tcPr>
                  <w:tcW w:w="3989" w:type="dxa"/>
                  <w:tcBorders>
                    <w:tl2br w:val="nil"/>
                    <w:tr2bl w:val="nil"/>
                  </w:tcBorders>
                  <w:noWrap w:val="0"/>
                  <w:vAlign w:val="center"/>
                </w:tcPr>
                <w:p w14:paraId="73D91700">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lang w:val="en-US"/>
                    </w:rPr>
                  </w:pPr>
                  <w:r>
                    <w:rPr>
                      <w:rFonts w:hint="default" w:ascii="Times New Roman" w:hAnsi="Times New Roman" w:cs="Times New Roman"/>
                      <w:b w:val="0"/>
                      <w:bCs w:val="0"/>
                      <w:caps w:val="0"/>
                      <w:color w:val="auto"/>
                      <w:sz w:val="21"/>
                      <w:szCs w:val="21"/>
                      <w:highlight w:val="none"/>
                      <w:lang w:val="en-US" w:eastAsia="zh-CN"/>
                    </w:rPr>
                    <w:t>相关要求</w:t>
                  </w:r>
                </w:p>
              </w:tc>
              <w:tc>
                <w:tcPr>
                  <w:tcW w:w="2640" w:type="dxa"/>
                  <w:tcBorders>
                    <w:tl2br w:val="nil"/>
                    <w:tr2bl w:val="nil"/>
                  </w:tcBorders>
                  <w:noWrap w:val="0"/>
                  <w:vAlign w:val="center"/>
                </w:tcPr>
                <w:p w14:paraId="5FC51E24">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rPr>
                  </w:pPr>
                  <w:r>
                    <w:rPr>
                      <w:rFonts w:hint="default" w:ascii="Times New Roman" w:hAnsi="Times New Roman" w:eastAsia="宋体" w:cs="Times New Roman"/>
                      <w:b w:val="0"/>
                      <w:bCs w:val="0"/>
                      <w:caps w:val="0"/>
                      <w:color w:val="auto"/>
                      <w:sz w:val="21"/>
                      <w:szCs w:val="21"/>
                      <w:highlight w:val="none"/>
                    </w:rPr>
                    <w:t>项目情况</w:t>
                  </w:r>
                </w:p>
              </w:tc>
              <w:tc>
                <w:tcPr>
                  <w:tcW w:w="844" w:type="dxa"/>
                  <w:tcBorders>
                    <w:tl2br w:val="nil"/>
                    <w:tr2bl w:val="nil"/>
                  </w:tcBorders>
                  <w:noWrap w:val="0"/>
                  <w:vAlign w:val="center"/>
                </w:tcPr>
                <w:p w14:paraId="596056BB">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rPr>
                  </w:pPr>
                  <w:r>
                    <w:rPr>
                      <w:rFonts w:hint="default" w:ascii="Times New Roman" w:hAnsi="Times New Roman" w:eastAsia="宋体" w:cs="Times New Roman"/>
                      <w:b w:val="0"/>
                      <w:bCs w:val="0"/>
                      <w:caps w:val="0"/>
                      <w:color w:val="auto"/>
                      <w:sz w:val="21"/>
                      <w:szCs w:val="21"/>
                      <w:highlight w:val="none"/>
                    </w:rPr>
                    <w:t>符合性</w:t>
                  </w:r>
                </w:p>
              </w:tc>
            </w:tr>
            <w:tr w14:paraId="33FCE7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4D22366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val="0"/>
                      <w:bCs w:val="0"/>
                      <w:snapToGrid/>
                      <w:color w:val="auto"/>
                      <w:kern w:val="2"/>
                      <w:sz w:val="21"/>
                      <w:szCs w:val="21"/>
                      <w:highlight w:val="none"/>
                      <w:lang w:val="en-US" w:eastAsia="zh-CN" w:bidi="ar-SA"/>
                    </w:rPr>
                  </w:pPr>
                  <w:r>
                    <w:rPr>
                      <w:rFonts w:hint="default" w:ascii="Times New Roman" w:hAnsi="Times New Roman" w:eastAsia="宋体" w:cs="Times New Roman"/>
                      <w:b w:val="0"/>
                      <w:bCs w:val="0"/>
                      <w:snapToGrid/>
                      <w:color w:val="auto"/>
                      <w:kern w:val="2"/>
                      <w:sz w:val="21"/>
                      <w:szCs w:val="21"/>
                      <w:highlight w:val="none"/>
                      <w:lang w:val="en-US" w:eastAsia="zh-CN" w:bidi="ar-SA"/>
                    </w:rPr>
                    <w:t>11.1.1坚持“因地制宜、标本兼治、分类施策、综合治理”的原则，将生态环境保护与治理工作贯穿于煤田火区灭火工程设计与施工全过程。</w:t>
                  </w:r>
                </w:p>
              </w:tc>
              <w:tc>
                <w:tcPr>
                  <w:tcW w:w="2640" w:type="dxa"/>
                  <w:tcBorders>
                    <w:tl2br w:val="nil"/>
                    <w:tr2bl w:val="nil"/>
                  </w:tcBorders>
                  <w:noWrap w:val="0"/>
                  <w:vAlign w:val="center"/>
                </w:tcPr>
                <w:p w14:paraId="78DF5934">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cs="Times New Roman"/>
                      <w:b w:val="0"/>
                      <w:bCs w:val="0"/>
                      <w:caps w:val="0"/>
                      <w:color w:val="auto"/>
                      <w:sz w:val="21"/>
                      <w:szCs w:val="21"/>
                      <w:highlight w:val="none"/>
                      <w:lang w:val="en-US" w:eastAsia="zh-CN"/>
                    </w:rPr>
                  </w:pPr>
                  <w:r>
                    <w:rPr>
                      <w:rFonts w:hint="eastAsia" w:ascii="Times New Roman" w:hAnsi="Times New Roman" w:eastAsia="宋体" w:cs="Times New Roman"/>
                      <w:b w:val="0"/>
                      <w:bCs w:val="0"/>
                      <w:caps w:val="0"/>
                      <w:color w:val="auto"/>
                      <w:sz w:val="21"/>
                      <w:szCs w:val="21"/>
                      <w:highlight w:val="none"/>
                      <w:lang w:val="en-US" w:eastAsia="zh-CN"/>
                    </w:rPr>
                    <w:t>本项目严格将</w:t>
                  </w:r>
                  <w:r>
                    <w:rPr>
                      <w:rFonts w:hint="default" w:ascii="Times New Roman" w:hAnsi="Times New Roman" w:eastAsia="宋体" w:cs="Times New Roman"/>
                      <w:b w:val="0"/>
                      <w:bCs w:val="0"/>
                      <w:snapToGrid/>
                      <w:color w:val="auto"/>
                      <w:kern w:val="2"/>
                      <w:sz w:val="21"/>
                      <w:szCs w:val="21"/>
                      <w:highlight w:val="none"/>
                      <w:lang w:val="en-US" w:eastAsia="zh-CN" w:bidi="ar-SA"/>
                    </w:rPr>
                    <w:t>生态环境保护与治理工作贯穿于煤田火区灭火工程设计与施工全过程</w:t>
                  </w:r>
                </w:p>
              </w:tc>
              <w:tc>
                <w:tcPr>
                  <w:tcW w:w="844" w:type="dxa"/>
                  <w:tcBorders>
                    <w:tl2br w:val="nil"/>
                    <w:tr2bl w:val="nil"/>
                  </w:tcBorders>
                  <w:noWrap w:val="0"/>
                  <w:vAlign w:val="center"/>
                </w:tcPr>
                <w:p w14:paraId="38B76766">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eastAsia="宋体" w:cs="Times New Roman"/>
                      <w:b w:val="0"/>
                      <w:bCs w:val="0"/>
                      <w:caps w:val="0"/>
                      <w:color w:val="auto"/>
                      <w:sz w:val="21"/>
                      <w:szCs w:val="21"/>
                      <w:highlight w:val="none"/>
                      <w:lang w:val="en-US" w:eastAsia="zh-CN"/>
                    </w:rPr>
                    <w:t>符合</w:t>
                  </w:r>
                </w:p>
              </w:tc>
            </w:tr>
            <w:tr w14:paraId="1B1388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615FCB6A">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val="0"/>
                      <w:bCs w:val="0"/>
                      <w:snapToGrid/>
                      <w:color w:val="auto"/>
                      <w:kern w:val="2"/>
                      <w:sz w:val="21"/>
                      <w:szCs w:val="21"/>
                      <w:highlight w:val="none"/>
                      <w:lang w:val="en-US" w:eastAsia="zh-CN" w:bidi="ar-SA"/>
                    </w:rPr>
                  </w:pPr>
                  <w:r>
                    <w:rPr>
                      <w:rFonts w:hint="default" w:ascii="Times New Roman" w:hAnsi="Times New Roman" w:eastAsia="宋体" w:cs="Times New Roman"/>
                      <w:b w:val="0"/>
                      <w:bCs w:val="0"/>
                      <w:snapToGrid/>
                      <w:color w:val="auto"/>
                      <w:kern w:val="2"/>
                      <w:sz w:val="21"/>
                      <w:szCs w:val="21"/>
                      <w:highlight w:val="none"/>
                      <w:lang w:val="en-US" w:eastAsia="zh-CN" w:bidi="ar-SA"/>
                    </w:rPr>
                    <w:t>11.1.2煤田火区治理工作应符合国家和区域主体功能区规划、生态功能区规划、生态环境保护规划的要求，采取有效预防和保护措施，避免或减轻煤田火区治理工程造成的生态破坏和环境污染。</w:t>
                  </w:r>
                </w:p>
              </w:tc>
              <w:tc>
                <w:tcPr>
                  <w:tcW w:w="2640" w:type="dxa"/>
                  <w:tcBorders>
                    <w:tl2br w:val="nil"/>
                    <w:tr2bl w:val="nil"/>
                  </w:tcBorders>
                  <w:noWrap w:val="0"/>
                  <w:vAlign w:val="center"/>
                </w:tcPr>
                <w:p w14:paraId="692E6521">
                  <w:pPr>
                    <w:keepNext w:val="0"/>
                    <w:keepLines w:val="0"/>
                    <w:widowControl/>
                    <w:suppressLineNumbers w:val="0"/>
                    <w:spacing w:before="0" w:beforeAutospacing="0" w:after="0" w:afterAutospacing="0"/>
                    <w:ind w:left="0" w:right="0"/>
                    <w:jc w:val="left"/>
                    <w:rPr>
                      <w:rFonts w:hint="default" w:ascii="Times New Roman" w:hAnsi="Times New Roman" w:cs="Times New Roman"/>
                      <w:b w:val="0"/>
                      <w:bCs w:val="0"/>
                      <w:caps w:val="0"/>
                      <w:color w:val="auto"/>
                      <w:sz w:val="21"/>
                      <w:szCs w:val="21"/>
                      <w:highlight w:val="none"/>
                      <w:lang w:val="en-US" w:eastAsia="zh-CN"/>
                    </w:rPr>
                  </w:pPr>
                  <w:r>
                    <w:rPr>
                      <w:rFonts w:hint="eastAsia" w:ascii="Times New Roman" w:hAnsi="Times New Roman" w:cs="Times New Roman"/>
                      <w:b w:val="0"/>
                      <w:bCs w:val="0"/>
                      <w:caps w:val="0"/>
                      <w:color w:val="auto"/>
                      <w:sz w:val="21"/>
                      <w:szCs w:val="21"/>
                      <w:highlight w:val="none"/>
                      <w:lang w:val="en-US" w:eastAsia="zh-CN"/>
                    </w:rPr>
                    <w:t>本项目符合</w:t>
                  </w:r>
                  <w:r>
                    <w:rPr>
                      <w:rFonts w:hint="default" w:ascii="Times New Roman" w:hAnsi="Times New Roman" w:eastAsia="宋体" w:cs="Times New Roman"/>
                      <w:b w:val="0"/>
                      <w:bCs w:val="0"/>
                      <w:snapToGrid/>
                      <w:color w:val="auto"/>
                      <w:kern w:val="2"/>
                      <w:sz w:val="21"/>
                      <w:szCs w:val="21"/>
                      <w:highlight w:val="none"/>
                      <w:lang w:val="en-US" w:eastAsia="zh-CN" w:bidi="ar-SA"/>
                    </w:rPr>
                    <w:t>国家和区域主体功能区规划、生态功能区规划、生态环境保护规划的要求</w:t>
                  </w:r>
                  <w:r>
                    <w:rPr>
                      <w:rFonts w:hint="eastAsia" w:ascii="Times New Roman" w:hAnsi="Times New Roman" w:eastAsia="宋体" w:cs="Times New Roman"/>
                      <w:b w:val="0"/>
                      <w:bCs w:val="0"/>
                      <w:snapToGrid/>
                      <w:color w:val="auto"/>
                      <w:kern w:val="2"/>
                      <w:sz w:val="21"/>
                      <w:szCs w:val="21"/>
                      <w:highlight w:val="none"/>
                      <w:lang w:val="en-US" w:eastAsia="zh-CN" w:bidi="ar-SA"/>
                    </w:rPr>
                    <w:t>，并</w:t>
                  </w:r>
                  <w:r>
                    <w:rPr>
                      <w:rFonts w:hint="default" w:ascii="Times New Roman" w:hAnsi="Times New Roman" w:eastAsia="宋体" w:cs="Times New Roman"/>
                      <w:b w:val="0"/>
                      <w:bCs w:val="0"/>
                      <w:snapToGrid/>
                      <w:color w:val="auto"/>
                      <w:kern w:val="2"/>
                      <w:sz w:val="21"/>
                      <w:szCs w:val="21"/>
                      <w:highlight w:val="none"/>
                      <w:lang w:val="en-US" w:eastAsia="zh-CN" w:bidi="ar-SA"/>
                    </w:rPr>
                    <w:t>采取有效预防和保护措施，避免或减轻煤田火区治理工程造成的生态破坏和环境污染。</w:t>
                  </w:r>
                </w:p>
                <w:p w14:paraId="2F44BC35">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cs="Times New Roman"/>
                      <w:b w:val="0"/>
                      <w:bCs w:val="0"/>
                      <w:caps w:val="0"/>
                      <w:color w:val="auto"/>
                      <w:sz w:val="21"/>
                      <w:szCs w:val="21"/>
                      <w:highlight w:val="none"/>
                      <w:lang w:val="en-US" w:eastAsia="zh-CN"/>
                    </w:rPr>
                  </w:pPr>
                </w:p>
              </w:tc>
              <w:tc>
                <w:tcPr>
                  <w:tcW w:w="844" w:type="dxa"/>
                  <w:tcBorders>
                    <w:tl2br w:val="nil"/>
                    <w:tr2bl w:val="nil"/>
                  </w:tcBorders>
                  <w:noWrap w:val="0"/>
                  <w:vAlign w:val="center"/>
                </w:tcPr>
                <w:p w14:paraId="37B6BFFE">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eastAsia="宋体" w:cs="Times New Roman"/>
                      <w:b w:val="0"/>
                      <w:bCs w:val="0"/>
                      <w:caps w:val="0"/>
                      <w:color w:val="auto"/>
                      <w:sz w:val="21"/>
                      <w:szCs w:val="21"/>
                      <w:highlight w:val="none"/>
                      <w:lang w:val="en-US" w:eastAsia="zh-CN"/>
                    </w:rPr>
                    <w:t>符合</w:t>
                  </w:r>
                </w:p>
              </w:tc>
            </w:tr>
            <w:tr w14:paraId="56B262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6CF2BEF8">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11.1.3煤田火区治理工作申请使用临时用地的，应按照《土地复垦条例》（国务院令第592号）和《关于进一步规范和加</w:t>
                  </w:r>
                </w:p>
                <w:p w14:paraId="018559CA">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强草原征占用审核审批管理的通知》（新自然资发〔2023</w:t>
                  </w:r>
                  <w:r>
                    <w:rPr>
                      <w:rFonts w:hint="default" w:ascii="Times New Roman" w:hAnsi="Times New Roman" w:cs="Times New Roman"/>
                      <w:b w:val="0"/>
                      <w:bCs w:val="0"/>
                      <w:color w:val="auto"/>
                      <w:kern w:val="0"/>
                      <w:sz w:val="21"/>
                      <w:szCs w:val="21"/>
                      <w:lang w:eastAsia="zh-CN"/>
                    </w:rPr>
                    <w:t>〕</w:t>
                  </w: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180号）落实土地复垦责任。</w:t>
                  </w:r>
                </w:p>
              </w:tc>
              <w:tc>
                <w:tcPr>
                  <w:tcW w:w="2640" w:type="dxa"/>
                  <w:tcBorders>
                    <w:tl2br w:val="nil"/>
                    <w:tr2bl w:val="nil"/>
                  </w:tcBorders>
                  <w:noWrap w:val="0"/>
                  <w:vAlign w:val="center"/>
                </w:tcPr>
                <w:p w14:paraId="074E8E3B">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cs="Times New Roman"/>
                      <w:b w:val="0"/>
                      <w:bCs w:val="0"/>
                      <w:caps w:val="0"/>
                      <w:color w:val="auto"/>
                      <w:sz w:val="21"/>
                      <w:szCs w:val="21"/>
                      <w:highlight w:val="none"/>
                      <w:lang w:val="en-US" w:eastAsia="zh-CN"/>
                    </w:rPr>
                    <w:t>本项目</w:t>
                  </w:r>
                  <w:r>
                    <w:rPr>
                      <w:rFonts w:hint="eastAsia" w:ascii="Times New Roman" w:hAnsi="Times New Roman" w:cs="Times New Roman"/>
                      <w:b w:val="0"/>
                      <w:bCs w:val="0"/>
                      <w:caps w:val="0"/>
                      <w:color w:val="auto"/>
                      <w:sz w:val="21"/>
                      <w:szCs w:val="21"/>
                      <w:highlight w:val="none"/>
                      <w:lang w:val="en-US" w:eastAsia="zh-CN"/>
                    </w:rPr>
                    <w:t>已编制</w:t>
                  </w:r>
                  <w:r>
                    <w:rPr>
                      <w:rFonts w:hint="eastAsia" w:ascii="Times New Roman" w:hAnsi="Times New Roman" w:eastAsia="宋体" w:cs="Times New Roman"/>
                      <w:bCs/>
                      <w:color w:val="auto"/>
                      <w:kern w:val="0"/>
                      <w:sz w:val="21"/>
                      <w:szCs w:val="21"/>
                      <w:lang w:val="en-US" w:eastAsia="zh-CN"/>
                    </w:rPr>
                    <w:t>按照要求</w:t>
                  </w:r>
                  <w:r>
                    <w:rPr>
                      <w:rFonts w:hint="eastAsia" w:ascii="Times New Roman" w:hAnsi="Times New Roman" w:eastAsia="宋体" w:cs="Times New Roman"/>
                      <w:bCs/>
                      <w:color w:val="auto"/>
                      <w:kern w:val="0"/>
                      <w:sz w:val="21"/>
                      <w:szCs w:val="21"/>
                      <w:lang w:eastAsia="zh-CN"/>
                    </w:rPr>
                    <w:t>编制</w:t>
                  </w:r>
                  <w:r>
                    <w:rPr>
                      <w:rFonts w:hint="eastAsia" w:ascii="Times New Roman" w:hAnsi="Times New Roman" w:eastAsia="宋体" w:cs="Times New Roman"/>
                      <w:bCs/>
                      <w:color w:val="auto"/>
                      <w:kern w:val="0"/>
                      <w:sz w:val="21"/>
                      <w:szCs w:val="21"/>
                      <w:lang w:val="en-US" w:eastAsia="zh-CN"/>
                    </w:rPr>
                    <w:t>临时占地草原植被恢复</w:t>
                  </w:r>
                  <w:r>
                    <w:rPr>
                      <w:rFonts w:hint="eastAsia" w:ascii="Times New Roman" w:hAnsi="Times New Roman" w:eastAsia="宋体" w:cs="Times New Roman"/>
                      <w:bCs/>
                      <w:color w:val="auto"/>
                      <w:kern w:val="0"/>
                      <w:sz w:val="21"/>
                      <w:szCs w:val="21"/>
                      <w:lang w:eastAsia="zh-CN"/>
                    </w:rPr>
                    <w:t>方案，</w:t>
                  </w:r>
                  <w:r>
                    <w:rPr>
                      <w:rFonts w:hint="eastAsia" w:ascii="Times New Roman" w:hAnsi="Times New Roman" w:eastAsia="宋体" w:cs="Times New Roman"/>
                      <w:color w:val="auto"/>
                      <w:sz w:val="21"/>
                      <w:szCs w:val="21"/>
                      <w:highlight w:val="none"/>
                      <w:lang w:val="en-US" w:eastAsia="zh-CN"/>
                    </w:rPr>
                    <w:t>火区治理结束后应对取土场、火区治理区占用的临时牧草用地进行场地平整、植被恢复。</w:t>
                  </w:r>
                </w:p>
              </w:tc>
              <w:tc>
                <w:tcPr>
                  <w:tcW w:w="844" w:type="dxa"/>
                  <w:tcBorders>
                    <w:tl2br w:val="nil"/>
                    <w:tr2bl w:val="nil"/>
                  </w:tcBorders>
                  <w:noWrap w:val="0"/>
                  <w:vAlign w:val="center"/>
                </w:tcPr>
                <w:p w14:paraId="74B7C056">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eastAsia="宋体" w:cs="Times New Roman"/>
                      <w:b w:val="0"/>
                      <w:bCs w:val="0"/>
                      <w:caps w:val="0"/>
                      <w:color w:val="auto"/>
                      <w:sz w:val="21"/>
                      <w:szCs w:val="21"/>
                      <w:highlight w:val="none"/>
                      <w:lang w:val="en-US" w:eastAsia="zh-CN"/>
                    </w:rPr>
                    <w:t>符合</w:t>
                  </w:r>
                </w:p>
              </w:tc>
            </w:tr>
            <w:tr w14:paraId="5AB4DAB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862" w:hRule="atLeast"/>
                <w:jc w:val="center"/>
              </w:trPr>
              <w:tc>
                <w:tcPr>
                  <w:tcW w:w="3989" w:type="dxa"/>
                  <w:tcBorders>
                    <w:tl2br w:val="nil"/>
                    <w:tr2bl w:val="nil"/>
                  </w:tcBorders>
                  <w:noWrap w:val="0"/>
                  <w:vAlign w:val="center"/>
                </w:tcPr>
                <w:p w14:paraId="7F3D30D9">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11.1.4煤田火区治理工作应采用新技术、新方法、新工艺，提高煤田火区生态环境保护与治理水平。</w:t>
                  </w:r>
                </w:p>
              </w:tc>
              <w:tc>
                <w:tcPr>
                  <w:tcW w:w="2640" w:type="dxa"/>
                  <w:tcBorders>
                    <w:tl2br w:val="nil"/>
                    <w:tr2bl w:val="nil"/>
                  </w:tcBorders>
                  <w:noWrap w:val="0"/>
                  <w:vAlign w:val="center"/>
                </w:tcPr>
                <w:p w14:paraId="4D0E46EF">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cs="Times New Roman"/>
                      <w:b w:val="0"/>
                      <w:bCs w:val="0"/>
                      <w:caps w:val="0"/>
                      <w:color w:val="auto"/>
                      <w:sz w:val="21"/>
                      <w:szCs w:val="21"/>
                      <w:highlight w:val="none"/>
                      <w:lang w:val="en-US" w:eastAsia="zh-CN"/>
                    </w:rPr>
                  </w:pPr>
                  <w:r>
                    <w:rPr>
                      <w:rFonts w:hint="eastAsia" w:ascii="Times New Roman" w:hAnsi="Times New Roman" w:cs="Times New Roman"/>
                      <w:b w:val="0"/>
                      <w:bCs w:val="0"/>
                      <w:caps w:val="0"/>
                      <w:color w:val="auto"/>
                      <w:sz w:val="21"/>
                      <w:szCs w:val="21"/>
                      <w:highlight w:val="none"/>
                      <w:lang w:val="en-US" w:eastAsia="zh-CN"/>
                    </w:rPr>
                    <w:t>本项目</w:t>
                  </w:r>
                  <w:r>
                    <w:rPr>
                      <w:rFonts w:hint="default" w:ascii="Times New Roman" w:hAnsi="Times New Roman" w:eastAsia="宋体" w:cs="Times New Roman"/>
                      <w:b w:val="0"/>
                      <w:bCs w:val="0"/>
                      <w:color w:val="000000"/>
                      <w:kern w:val="0"/>
                      <w:sz w:val="21"/>
                      <w:szCs w:val="21"/>
                      <w:lang w:val="en-US" w:eastAsia="zh-CN" w:bidi="ar"/>
                    </w:rPr>
                    <w:t>采用剥离、钻探、注水、注浆及覆盖的综合灭火方法</w:t>
                  </w:r>
                  <w:r>
                    <w:rPr>
                      <w:rFonts w:hint="eastAsia" w:ascii="Times New Roman" w:hAnsi="Times New Roman" w:eastAsia="宋体" w:cs="Times New Roman"/>
                      <w:b w:val="0"/>
                      <w:bCs w:val="0"/>
                      <w:color w:val="000000"/>
                      <w:kern w:val="0"/>
                      <w:sz w:val="21"/>
                      <w:szCs w:val="21"/>
                      <w:lang w:val="en-US" w:eastAsia="zh-CN" w:bidi="ar"/>
                    </w:rPr>
                    <w:t>，符合相关技术规范要求。</w:t>
                  </w:r>
                </w:p>
              </w:tc>
              <w:tc>
                <w:tcPr>
                  <w:tcW w:w="844" w:type="dxa"/>
                  <w:tcBorders>
                    <w:tl2br w:val="nil"/>
                    <w:tr2bl w:val="nil"/>
                  </w:tcBorders>
                  <w:noWrap w:val="0"/>
                  <w:vAlign w:val="center"/>
                </w:tcPr>
                <w:p w14:paraId="33915499">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eastAsia="宋体" w:cs="Times New Roman"/>
                      <w:b w:val="0"/>
                      <w:bCs w:val="0"/>
                      <w:caps w:val="0"/>
                      <w:color w:val="auto"/>
                      <w:sz w:val="21"/>
                      <w:szCs w:val="21"/>
                      <w:highlight w:val="none"/>
                      <w:lang w:val="en-US" w:eastAsia="zh-CN"/>
                    </w:rPr>
                    <w:t>符合</w:t>
                  </w:r>
                </w:p>
              </w:tc>
            </w:tr>
            <w:tr w14:paraId="368AE3C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546" w:hRule="atLeast"/>
                <w:jc w:val="center"/>
              </w:trPr>
              <w:tc>
                <w:tcPr>
                  <w:tcW w:w="3989" w:type="dxa"/>
                  <w:tcBorders>
                    <w:tl2br w:val="nil"/>
                    <w:tr2bl w:val="nil"/>
                  </w:tcBorders>
                  <w:noWrap w:val="0"/>
                  <w:vAlign w:val="center"/>
                </w:tcPr>
                <w:p w14:paraId="54952CBA">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11.2.1煤田火区详细勘查阶段，应查明煤田火区及周边的生态环境现状。</w:t>
                  </w:r>
                </w:p>
              </w:tc>
              <w:tc>
                <w:tcPr>
                  <w:tcW w:w="2640" w:type="dxa"/>
                  <w:tcBorders>
                    <w:tl2br w:val="nil"/>
                    <w:tr2bl w:val="nil"/>
                  </w:tcBorders>
                  <w:noWrap w:val="0"/>
                  <w:vAlign w:val="center"/>
                </w:tcPr>
                <w:p w14:paraId="4A53187C">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cs="Times New Roman"/>
                      <w:b w:val="0"/>
                      <w:bCs w:val="0"/>
                      <w:caps w:val="0"/>
                      <w:color w:val="auto"/>
                      <w:sz w:val="21"/>
                      <w:szCs w:val="21"/>
                      <w:highlight w:val="none"/>
                      <w:lang w:val="en-US" w:eastAsia="zh-CN"/>
                    </w:rPr>
                  </w:pPr>
                  <w:r>
                    <w:rPr>
                      <w:rFonts w:hint="eastAsia"/>
                      <w:b w:val="0"/>
                      <w:bCs w:val="0"/>
                      <w:caps w:val="0"/>
                      <w:color w:val="auto"/>
                      <w:sz w:val="21"/>
                      <w:szCs w:val="21"/>
                      <w:highlight w:val="none"/>
                      <w:lang w:val="en-US" w:eastAsia="zh-CN"/>
                    </w:rPr>
                    <w:t>本项目已完成火区详勘，已取得昌吉回族自治州应急管理局出具的《关于对&lt;阜康西沙沟煤田火区详细勘察的报告&gt;的批复》</w:t>
                  </w:r>
                  <w:r>
                    <w:rPr>
                      <w:rFonts w:hint="default" w:ascii="Times New Roman" w:hAnsi="Times New Roman" w:eastAsia="宋体" w:cs="Times New Roman"/>
                      <w:color w:val="auto"/>
                      <w:spacing w:val="-1"/>
                      <w:kern w:val="2"/>
                      <w:sz w:val="21"/>
                      <w:szCs w:val="21"/>
                      <w:lang w:val="en-US" w:eastAsia="zh-CN" w:bidi="ar-SA"/>
                    </w:rPr>
                    <w:t>（昌州</w:t>
                  </w:r>
                  <w:r>
                    <w:rPr>
                      <w:rFonts w:hint="eastAsia" w:ascii="Times New Roman" w:hAnsi="Times New Roman" w:eastAsia="宋体" w:cs="Times New Roman"/>
                      <w:color w:val="auto"/>
                      <w:spacing w:val="-1"/>
                      <w:kern w:val="2"/>
                      <w:sz w:val="21"/>
                      <w:szCs w:val="21"/>
                      <w:lang w:val="en-US" w:eastAsia="zh-CN" w:bidi="ar-SA"/>
                    </w:rPr>
                    <w:t>应急</w:t>
                  </w:r>
                  <w:r>
                    <w:rPr>
                      <w:rFonts w:hint="default" w:ascii="Times New Roman" w:hAnsi="Times New Roman" w:eastAsia="宋体" w:cs="Times New Roman"/>
                      <w:color w:val="auto"/>
                      <w:spacing w:val="-1"/>
                      <w:kern w:val="2"/>
                      <w:sz w:val="21"/>
                      <w:szCs w:val="21"/>
                      <w:lang w:val="en-US" w:eastAsia="zh-CN" w:bidi="ar-SA"/>
                    </w:rPr>
                    <w:t>〔202</w:t>
                  </w:r>
                  <w:r>
                    <w:rPr>
                      <w:rFonts w:hint="eastAsia" w:ascii="Times New Roman" w:hAnsi="Times New Roman" w:eastAsia="宋体" w:cs="Times New Roman"/>
                      <w:color w:val="auto"/>
                      <w:spacing w:val="-1"/>
                      <w:kern w:val="2"/>
                      <w:sz w:val="21"/>
                      <w:szCs w:val="21"/>
                      <w:lang w:val="en-US" w:eastAsia="zh-CN" w:bidi="ar-SA"/>
                    </w:rPr>
                    <w:t>5</w:t>
                  </w:r>
                  <w:r>
                    <w:rPr>
                      <w:rFonts w:hint="default" w:ascii="Times New Roman" w:hAnsi="Times New Roman" w:eastAsia="宋体" w:cs="Times New Roman"/>
                      <w:color w:val="auto"/>
                      <w:spacing w:val="-1"/>
                      <w:kern w:val="2"/>
                      <w:sz w:val="21"/>
                      <w:szCs w:val="21"/>
                      <w:lang w:val="en-US" w:eastAsia="zh-CN" w:bidi="ar-SA"/>
                    </w:rPr>
                    <w:t>〕</w:t>
                  </w:r>
                  <w:r>
                    <w:rPr>
                      <w:rFonts w:hint="eastAsia" w:ascii="Times New Roman" w:hAnsi="Times New Roman" w:eastAsia="宋体" w:cs="Times New Roman"/>
                      <w:color w:val="auto"/>
                      <w:spacing w:val="-1"/>
                      <w:kern w:val="2"/>
                      <w:sz w:val="21"/>
                      <w:szCs w:val="21"/>
                      <w:lang w:val="en-US" w:eastAsia="zh-CN" w:bidi="ar-SA"/>
                    </w:rPr>
                    <w:t>4</w:t>
                  </w:r>
                  <w:r>
                    <w:rPr>
                      <w:rFonts w:hint="default" w:ascii="Times New Roman" w:hAnsi="Times New Roman" w:eastAsia="宋体" w:cs="Times New Roman"/>
                      <w:color w:val="auto"/>
                      <w:spacing w:val="-1"/>
                      <w:kern w:val="2"/>
                      <w:sz w:val="21"/>
                      <w:szCs w:val="21"/>
                      <w:lang w:val="en-US" w:eastAsia="zh-CN" w:bidi="ar-SA"/>
                    </w:rPr>
                    <w:t xml:space="preserve"> 号）</w:t>
                  </w:r>
                  <w:r>
                    <w:rPr>
                      <w:rFonts w:hint="eastAsia" w:ascii="Times New Roman" w:hAnsi="Times New Roman" w:eastAsia="宋体" w:cs="Times New Roman"/>
                      <w:color w:val="auto"/>
                      <w:spacing w:val="-1"/>
                      <w:kern w:val="2"/>
                      <w:sz w:val="21"/>
                      <w:szCs w:val="21"/>
                      <w:lang w:val="en-US" w:eastAsia="zh-CN" w:bidi="ar-SA"/>
                    </w:rPr>
                    <w:t>。</w:t>
                  </w:r>
                </w:p>
              </w:tc>
              <w:tc>
                <w:tcPr>
                  <w:tcW w:w="844" w:type="dxa"/>
                  <w:tcBorders>
                    <w:tl2br w:val="nil"/>
                    <w:tr2bl w:val="nil"/>
                  </w:tcBorders>
                  <w:noWrap w:val="0"/>
                  <w:vAlign w:val="center"/>
                </w:tcPr>
                <w:p w14:paraId="7BC8CEC6">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eastAsia="宋体" w:cs="Times New Roman"/>
                      <w:b w:val="0"/>
                      <w:bCs w:val="0"/>
                      <w:caps w:val="0"/>
                      <w:color w:val="auto"/>
                      <w:sz w:val="21"/>
                      <w:szCs w:val="21"/>
                      <w:highlight w:val="none"/>
                      <w:lang w:val="en-US" w:eastAsia="zh-CN"/>
                    </w:rPr>
                    <w:t>符合</w:t>
                  </w:r>
                </w:p>
              </w:tc>
            </w:tr>
            <w:tr w14:paraId="1E065A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52F8E578">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11.2.2煤田火区治理主体企业应按照环境影响报告及其批复要求，组织开展煤田火区治理前后区域环境空气质量监测，监测内容包括：颗粒物、二氧化硫、氮氧化物、一氧化碳等污染物。</w:t>
                  </w:r>
                </w:p>
              </w:tc>
              <w:tc>
                <w:tcPr>
                  <w:tcW w:w="2640" w:type="dxa"/>
                  <w:tcBorders>
                    <w:tl2br w:val="nil"/>
                    <w:tr2bl w:val="nil"/>
                  </w:tcBorders>
                  <w:noWrap w:val="0"/>
                  <w:vAlign w:val="center"/>
                </w:tcPr>
                <w:p w14:paraId="64E8251F">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cs="Times New Roman"/>
                      <w:b w:val="0"/>
                      <w:bCs w:val="0"/>
                      <w:caps w:val="0"/>
                      <w:color w:val="auto"/>
                      <w:sz w:val="21"/>
                      <w:szCs w:val="21"/>
                      <w:highlight w:val="none"/>
                      <w:lang w:val="en-US" w:eastAsia="zh-CN"/>
                    </w:rPr>
                  </w:pPr>
                  <w:r>
                    <w:rPr>
                      <w:rFonts w:hint="eastAsia" w:ascii="Times New Roman" w:hAnsi="Times New Roman" w:cs="Times New Roman"/>
                      <w:b w:val="0"/>
                      <w:bCs w:val="0"/>
                      <w:caps w:val="0"/>
                      <w:color w:val="auto"/>
                      <w:sz w:val="21"/>
                      <w:szCs w:val="21"/>
                      <w:highlight w:val="none"/>
                      <w:lang w:val="en-US" w:eastAsia="zh-CN"/>
                    </w:rPr>
                    <w:t>本项目按照</w:t>
                  </w:r>
                  <w:r>
                    <w:rPr>
                      <w:rFonts w:hint="eastAsia" w:ascii="Times New Roman" w:hAnsi="Times New Roman" w:eastAsia="宋体" w:cs="Times New Roman"/>
                      <w:b w:val="0"/>
                      <w:bCs w:val="0"/>
                      <w:color w:val="auto"/>
                      <w:sz w:val="21"/>
                      <w:szCs w:val="21"/>
                      <w:lang w:val="en-US" w:eastAsia="zh-CN"/>
                    </w:rPr>
                    <w:t>《新疆煤田火区治理工作规范（试行）》《煤田火灾灭火规范》等</w:t>
                  </w:r>
                  <w:r>
                    <w:rPr>
                      <w:rFonts w:hint="eastAsia" w:ascii="Times New Roman" w:hAnsi="Times New Roman" w:cs="Times New Roman"/>
                      <w:b w:val="0"/>
                      <w:bCs w:val="0"/>
                      <w:caps w:val="0"/>
                      <w:color w:val="auto"/>
                      <w:sz w:val="21"/>
                      <w:szCs w:val="21"/>
                      <w:highlight w:val="none"/>
                      <w:lang w:val="en-US" w:eastAsia="zh-CN"/>
                    </w:rPr>
                    <w:t>相关要求，</w:t>
                  </w:r>
                  <w:r>
                    <w:rPr>
                      <w:rFonts w:hint="eastAsia" w:cs="Times New Roman"/>
                      <w:b w:val="0"/>
                      <w:bCs w:val="0"/>
                      <w:caps w:val="0"/>
                      <w:color w:val="auto"/>
                      <w:sz w:val="21"/>
                      <w:szCs w:val="21"/>
                      <w:highlight w:val="none"/>
                      <w:lang w:val="en-US" w:eastAsia="zh-CN"/>
                    </w:rPr>
                    <w:t>开展</w:t>
                  </w: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监测。</w:t>
                  </w:r>
                </w:p>
              </w:tc>
              <w:tc>
                <w:tcPr>
                  <w:tcW w:w="844" w:type="dxa"/>
                  <w:tcBorders>
                    <w:tl2br w:val="nil"/>
                    <w:tr2bl w:val="nil"/>
                  </w:tcBorders>
                  <w:noWrap w:val="0"/>
                  <w:vAlign w:val="center"/>
                </w:tcPr>
                <w:p w14:paraId="4711135C">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eastAsia="宋体" w:cs="Times New Roman"/>
                      <w:b w:val="0"/>
                      <w:bCs w:val="0"/>
                      <w:caps w:val="0"/>
                      <w:color w:val="auto"/>
                      <w:sz w:val="21"/>
                      <w:szCs w:val="21"/>
                      <w:highlight w:val="none"/>
                      <w:lang w:val="en-US" w:eastAsia="zh-CN"/>
                    </w:rPr>
                    <w:t>符合</w:t>
                  </w:r>
                </w:p>
              </w:tc>
            </w:tr>
            <w:tr w14:paraId="778E65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847" w:hRule="atLeast"/>
                <w:jc w:val="center"/>
              </w:trPr>
              <w:tc>
                <w:tcPr>
                  <w:tcW w:w="3989" w:type="dxa"/>
                  <w:tcBorders>
                    <w:tl2br w:val="nil"/>
                    <w:tr2bl w:val="nil"/>
                  </w:tcBorders>
                  <w:noWrap w:val="0"/>
                  <w:vAlign w:val="center"/>
                </w:tcPr>
                <w:p w14:paraId="7A03F6FA">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11.2.3煤田火区治理工作应依法开展水土保持和环境影响评价工作，未取得相关手续的不得开展煤田火区治理工作。</w:t>
                  </w:r>
                </w:p>
              </w:tc>
              <w:tc>
                <w:tcPr>
                  <w:tcW w:w="2640" w:type="dxa"/>
                  <w:tcBorders>
                    <w:tl2br w:val="nil"/>
                    <w:tr2bl w:val="nil"/>
                  </w:tcBorders>
                  <w:noWrap w:val="0"/>
                  <w:vAlign w:val="center"/>
                </w:tcPr>
                <w:p w14:paraId="1C6A8171">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cs="Times New Roman"/>
                      <w:b w:val="0"/>
                      <w:bCs w:val="0"/>
                      <w:caps w:val="0"/>
                      <w:color w:val="auto"/>
                      <w:sz w:val="21"/>
                      <w:szCs w:val="21"/>
                      <w:highlight w:val="none"/>
                      <w:lang w:val="en-US" w:eastAsia="zh-CN"/>
                    </w:rPr>
                  </w:pPr>
                  <w:r>
                    <w:rPr>
                      <w:rFonts w:hint="eastAsia" w:ascii="Times New Roman" w:hAnsi="Times New Roman" w:cs="Times New Roman"/>
                      <w:b w:val="0"/>
                      <w:bCs w:val="0"/>
                      <w:caps w:val="0"/>
                      <w:color w:val="auto"/>
                      <w:sz w:val="21"/>
                      <w:szCs w:val="21"/>
                      <w:highlight w:val="none"/>
                      <w:lang w:val="en-US" w:eastAsia="zh-CN"/>
                    </w:rPr>
                    <w:t>本项目严格按照相关技术要求开展环境影响评价和水土保持工作。</w:t>
                  </w:r>
                </w:p>
              </w:tc>
              <w:tc>
                <w:tcPr>
                  <w:tcW w:w="844" w:type="dxa"/>
                  <w:tcBorders>
                    <w:tl2br w:val="nil"/>
                    <w:tr2bl w:val="nil"/>
                  </w:tcBorders>
                  <w:noWrap w:val="0"/>
                  <w:vAlign w:val="center"/>
                </w:tcPr>
                <w:p w14:paraId="1E3FB993">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eastAsia="宋体" w:cs="Times New Roman"/>
                      <w:b w:val="0"/>
                      <w:bCs w:val="0"/>
                      <w:caps w:val="0"/>
                      <w:color w:val="auto"/>
                      <w:sz w:val="21"/>
                      <w:szCs w:val="21"/>
                      <w:highlight w:val="none"/>
                      <w:lang w:val="en-US" w:eastAsia="zh-CN"/>
                    </w:rPr>
                    <w:t>符合</w:t>
                  </w:r>
                </w:p>
              </w:tc>
            </w:tr>
            <w:tr w14:paraId="0235F0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45E0ABB3">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11.2.4煤田火区治理工作施工阶段应严格遵守生态环境保护和安全生产相关法律法规，并应满足下列要求：</w:t>
                  </w:r>
                </w:p>
                <w:p w14:paraId="79FD099A">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a）采用剥离挖除火源灭火方法时，应合理安排岩土排弃次序，将有利于植被恢复的岩土排放在上部。同时，现场施工作业时，应采取施工作业面洒水降尘措施，遇大风天气严禁作业；</w:t>
                  </w:r>
                </w:p>
                <w:p w14:paraId="3E439C92">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b）煤田火区治理工作施工阶段应严格遵守耕地和永久基本农田保护、生态环境保护等相关法律法规规定；</w:t>
                  </w:r>
                </w:p>
                <w:p w14:paraId="22AB21F0">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c）土方开挖、回填以及施工道路及辅助道路，应定期洒水或者喷洒抑尘剂；</w:t>
                  </w:r>
                </w:p>
                <w:p w14:paraId="393A2F25">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d）生活垃圾处置应符合国家和地方</w:t>
                  </w:r>
                  <w:r>
                    <w:rPr>
                      <w:rFonts w:hint="eastAsia" w:eastAsia="Helvetica" w:cs="Times New Roman"/>
                      <w:b w:val="0"/>
                      <w:bCs w:val="0"/>
                      <w:i w:val="0"/>
                      <w:iCs w:val="0"/>
                      <w:caps w:val="0"/>
                      <w:color w:val="auto"/>
                      <w:spacing w:val="0"/>
                      <w:sz w:val="21"/>
                      <w:szCs w:val="21"/>
                      <w:shd w:val="clear" w:fill="FFFFFF"/>
                      <w:lang w:val="en-US" w:eastAsia="zh-CN"/>
                    </w:rPr>
                    <w:t>环境卫生</w:t>
                  </w: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的有关规定，当条件不具备时应进行单独选址处置。生活垃圾不应混入排土场；</w:t>
                  </w:r>
                </w:p>
                <w:p w14:paraId="166E281A">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e）对可能发生自燃和扬尘的残煤储煤场和排土场，应采取预防自燃和抑制扬尘污染的措施；</w:t>
                  </w:r>
                </w:p>
                <w:p w14:paraId="1B0F13F2">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f）对影响煤田火区周围建（构）筑物、居民区安全的生产爆破，应采用微差爆破、预裂爆破和缓冲爆破等减震措施。</w:t>
                  </w:r>
                </w:p>
              </w:tc>
              <w:tc>
                <w:tcPr>
                  <w:tcW w:w="2640" w:type="dxa"/>
                  <w:tcBorders>
                    <w:tl2br w:val="nil"/>
                    <w:tr2bl w:val="nil"/>
                  </w:tcBorders>
                  <w:noWrap w:val="0"/>
                  <w:vAlign w:val="center"/>
                </w:tcPr>
                <w:p w14:paraId="3F666AA6">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cs="Times New Roman"/>
                      <w:b w:val="0"/>
                      <w:bCs w:val="0"/>
                      <w:caps w:val="0"/>
                      <w:color w:val="auto"/>
                      <w:sz w:val="21"/>
                      <w:szCs w:val="21"/>
                      <w:highlight w:val="none"/>
                      <w:lang w:val="en-US" w:eastAsia="zh-CN"/>
                    </w:rPr>
                  </w:pPr>
                  <w:r>
                    <w:rPr>
                      <w:rFonts w:hint="eastAsia" w:ascii="Times New Roman" w:hAnsi="Times New Roman" w:cs="Times New Roman"/>
                      <w:b w:val="0"/>
                      <w:bCs w:val="0"/>
                      <w:caps w:val="0"/>
                      <w:color w:val="auto"/>
                      <w:sz w:val="21"/>
                      <w:szCs w:val="21"/>
                      <w:highlight w:val="none"/>
                      <w:lang w:val="en-US" w:eastAsia="zh-CN"/>
                    </w:rPr>
                    <w:t>本项目</w:t>
                  </w:r>
                  <w:r>
                    <w:rPr>
                      <w:rFonts w:hint="default" w:ascii="Times New Roman" w:hAnsi="Times New Roman" w:eastAsia="宋体" w:cs="Times New Roman"/>
                      <w:b w:val="0"/>
                      <w:bCs w:val="0"/>
                      <w:color w:val="000000"/>
                      <w:kern w:val="0"/>
                      <w:sz w:val="21"/>
                      <w:szCs w:val="21"/>
                      <w:lang w:val="en-US" w:eastAsia="zh-CN" w:bidi="ar"/>
                    </w:rPr>
                    <w:t>采用剥离、钻探、注水、注浆及覆盖的综合灭火方法</w:t>
                  </w:r>
                  <w:r>
                    <w:rPr>
                      <w:rFonts w:hint="eastAsia" w:ascii="Times New Roman" w:hAnsi="Times New Roman" w:eastAsia="宋体" w:cs="Times New Roman"/>
                      <w:b w:val="0"/>
                      <w:bCs w:val="0"/>
                      <w:color w:val="000000"/>
                      <w:kern w:val="0"/>
                      <w:sz w:val="21"/>
                      <w:szCs w:val="21"/>
                      <w:lang w:val="en-US" w:eastAsia="zh-CN" w:bidi="ar"/>
                    </w:rPr>
                    <w:t>。项目</w:t>
                  </w:r>
                  <w:r>
                    <w:rPr>
                      <w:rFonts w:hint="eastAsia" w:cs="Times New Roman"/>
                      <w:color w:val="auto"/>
                      <w:sz w:val="21"/>
                      <w:szCs w:val="21"/>
                      <w:highlight w:val="none"/>
                      <w:lang w:val="en-US" w:eastAsia="zh-CN"/>
                    </w:rPr>
                    <w:t>合理</w:t>
                  </w:r>
                  <w:r>
                    <w:rPr>
                      <w:rFonts w:hint="default" w:ascii="Times New Roman" w:hAnsi="Times New Roman" w:eastAsia="宋体" w:cs="Times New Roman"/>
                      <w:color w:val="auto"/>
                      <w:sz w:val="21"/>
                      <w:szCs w:val="21"/>
                      <w:highlight w:val="none"/>
                      <w:lang w:val="en-US" w:eastAsia="zh-CN"/>
                    </w:rPr>
                    <w:t>安排施工进度及施工时间，避免雨天和大风天开挖施工作业</w:t>
                  </w:r>
                  <w:r>
                    <w:rPr>
                      <w:rFonts w:hint="eastAsia" w:ascii="Times New Roman" w:hAnsi="Times New Roman" w:eastAsia="宋体" w:cs="Times New Roman"/>
                      <w:color w:val="auto"/>
                      <w:sz w:val="21"/>
                      <w:szCs w:val="21"/>
                      <w:highlight w:val="none"/>
                      <w:lang w:val="en-US" w:eastAsia="zh-CN"/>
                    </w:rPr>
                    <w:t>；</w:t>
                  </w:r>
                  <w:r>
                    <w:rPr>
                      <w:rFonts w:hint="eastAsia" w:cs="宋体"/>
                      <w:color w:val="auto"/>
                      <w:kern w:val="0"/>
                      <w:sz w:val="21"/>
                      <w:szCs w:val="21"/>
                      <w:highlight w:val="none"/>
                      <w:lang w:val="en-US" w:eastAsia="zh-CN" w:bidi="ar"/>
                    </w:rPr>
                    <w:t>剥离工程、钻探工程、取土场</w:t>
                  </w:r>
                  <w:r>
                    <w:rPr>
                      <w:rFonts w:hint="eastAsia" w:ascii="Times New Roman" w:hAnsi="Times New Roman" w:cs="宋体"/>
                      <w:color w:val="auto"/>
                      <w:kern w:val="0"/>
                      <w:sz w:val="21"/>
                      <w:szCs w:val="21"/>
                      <w:highlight w:val="none"/>
                      <w:lang w:bidi="ar"/>
                    </w:rPr>
                    <w:t>等易于产生地面扬尘的工程区域，采用定期洒水方式降低施工扬尘的影响</w:t>
                  </w:r>
                  <w:r>
                    <w:rPr>
                      <w:rFonts w:hint="eastAsia" w:ascii="Times New Roman" w:hAnsi="Times New Roman" w:cs="宋体"/>
                      <w:color w:val="auto"/>
                      <w:kern w:val="0"/>
                      <w:sz w:val="21"/>
                      <w:szCs w:val="21"/>
                      <w:highlight w:val="none"/>
                      <w:lang w:eastAsia="zh-CN" w:bidi="ar"/>
                    </w:rPr>
                    <w:t>；</w:t>
                  </w:r>
                  <w:r>
                    <w:rPr>
                      <w:rFonts w:hint="eastAsia" w:ascii="Times New Roman" w:hAnsi="Times New Roman" w:eastAsia="宋体" w:cs="Times New Roman"/>
                      <w:color w:val="auto"/>
                      <w:sz w:val="21"/>
                      <w:szCs w:val="21"/>
                      <w:lang w:val="en-US" w:eastAsia="zh-CN"/>
                    </w:rPr>
                    <w:t>注浆站上料区域四周设置围挡，上料过程密闭或采用湿法作业；</w:t>
                  </w:r>
                  <w:r>
                    <w:rPr>
                      <w:rFonts w:hint="eastAsia" w:ascii="Times New Roman" w:hAnsi="Times New Roman" w:cs="宋体"/>
                      <w:color w:val="auto"/>
                      <w:kern w:val="0"/>
                      <w:sz w:val="21"/>
                      <w:szCs w:val="21"/>
                      <w:highlight w:val="none"/>
                      <w:lang w:val="en-US" w:eastAsia="zh-CN" w:bidi="ar"/>
                    </w:rPr>
                    <w:t>运输车辆采取篷布覆盖、降低车速、运输道路洒水等措施降低扬尘污染。本项目治理范围内容不涉及耕地和永久基本农田；项目施工阶段严格遵守生态环境保护相关法律法规规定。项目施工期生活设施依托</w:t>
                  </w:r>
                  <w:r>
                    <w:rPr>
                      <w:rFonts w:hint="eastAsia" w:cs="Times New Roman"/>
                      <w:color w:val="auto"/>
                      <w:kern w:val="0"/>
                      <w:sz w:val="21"/>
                      <w:szCs w:val="21"/>
                      <w:highlight w:val="none"/>
                      <w:lang w:val="en-US" w:eastAsia="zh-CN"/>
                    </w:rPr>
                    <w:t>康龙煤矿</w:t>
                  </w:r>
                  <w:r>
                    <w:rPr>
                      <w:rFonts w:hint="eastAsia" w:cs="Times New Roman"/>
                      <w:color w:val="auto"/>
                      <w:spacing w:val="-1"/>
                      <w:kern w:val="2"/>
                      <w:sz w:val="21"/>
                      <w:szCs w:val="21"/>
                      <w:highlight w:val="none"/>
                      <w:lang w:val="en-US" w:eastAsia="zh-CN" w:bidi="ar-SA"/>
                    </w:rPr>
                    <w:t>行政福利生活场地，生活垃圾收集后，委托环卫部门清运处置。本项目不设置储煤场和排土场。</w:t>
                  </w:r>
                </w:p>
              </w:tc>
              <w:tc>
                <w:tcPr>
                  <w:tcW w:w="844" w:type="dxa"/>
                  <w:tcBorders>
                    <w:tl2br w:val="nil"/>
                    <w:tr2bl w:val="nil"/>
                  </w:tcBorders>
                  <w:noWrap w:val="0"/>
                  <w:vAlign w:val="center"/>
                </w:tcPr>
                <w:p w14:paraId="79F8C00D">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eastAsia="宋体" w:cs="Times New Roman"/>
                      <w:b w:val="0"/>
                      <w:bCs w:val="0"/>
                      <w:caps w:val="0"/>
                      <w:color w:val="auto"/>
                      <w:sz w:val="21"/>
                      <w:szCs w:val="21"/>
                      <w:highlight w:val="none"/>
                      <w:lang w:val="en-US" w:eastAsia="zh-CN"/>
                    </w:rPr>
                    <w:t>符合</w:t>
                  </w:r>
                </w:p>
              </w:tc>
            </w:tr>
            <w:tr w14:paraId="49FF6D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533" w:hRule="atLeast"/>
                <w:jc w:val="center"/>
              </w:trPr>
              <w:tc>
                <w:tcPr>
                  <w:tcW w:w="3989" w:type="dxa"/>
                  <w:tcBorders>
                    <w:tl2br w:val="nil"/>
                    <w:tr2bl w:val="nil"/>
                  </w:tcBorders>
                  <w:noWrap w:val="0"/>
                  <w:vAlign w:val="center"/>
                </w:tcPr>
                <w:p w14:paraId="50558ADD">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11.2.5煤田火区治理工作中临时占用土地的，应当将土地复垦费用纳入项目总概算，确保土地复垦费用足额落实到位，并及时进行复垦，复垦应满足下列要求：</w:t>
                  </w:r>
                </w:p>
                <w:p w14:paraId="09080287">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a）临时用地期满后，临时用地单位应当拆除临时建（构）筑物，使用林地的应复垦为林地，使用耕地的应当复垦为耕地，使用农用地的应当恢复为农用地</w:t>
                  </w:r>
                  <w:r>
                    <w:rPr>
                      <w:rFonts w:hint="eastAsia" w:ascii="Times New Roman" w:hAnsi="Times New Roman" w:eastAsia="Helvetica" w:cs="Times New Roman"/>
                      <w:b w:val="0"/>
                      <w:bCs w:val="0"/>
                      <w:i w:val="0"/>
                      <w:iCs w:val="0"/>
                      <w:caps w:val="0"/>
                      <w:color w:val="auto"/>
                      <w:spacing w:val="0"/>
                      <w:sz w:val="21"/>
                      <w:szCs w:val="21"/>
                      <w:shd w:val="clear" w:fill="FFFFFF"/>
                      <w:lang w:val="en-US" w:eastAsia="zh-CN"/>
                    </w:rPr>
                    <w:t>；</w:t>
                  </w:r>
                </w:p>
                <w:p w14:paraId="1CE3FC81">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b）剥离以后的回填复垦应与周边地貌相近，并明确具体的回填标高；</w:t>
                  </w:r>
                </w:p>
                <w:p w14:paraId="695AD908">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c）荒漠地区应在复垦的地表覆盖不少于15cm的砾幕层。</w:t>
                  </w:r>
                </w:p>
              </w:tc>
              <w:tc>
                <w:tcPr>
                  <w:tcW w:w="2640" w:type="dxa"/>
                  <w:tcBorders>
                    <w:tl2br w:val="nil"/>
                    <w:tr2bl w:val="nil"/>
                  </w:tcBorders>
                  <w:noWrap w:val="0"/>
                  <w:vAlign w:val="center"/>
                </w:tcPr>
                <w:p w14:paraId="014B014E">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cs="Times New Roman"/>
                      <w:b w:val="0"/>
                      <w:bCs w:val="0"/>
                      <w:caps w:val="0"/>
                      <w:color w:val="auto"/>
                      <w:sz w:val="21"/>
                      <w:szCs w:val="21"/>
                      <w:highlight w:val="none"/>
                      <w:lang w:val="en-US" w:eastAsia="zh-CN"/>
                    </w:rPr>
                  </w:pPr>
                  <w:r>
                    <w:rPr>
                      <w:rFonts w:hint="eastAsia" w:ascii="Times New Roman" w:hAnsi="Times New Roman" w:cs="Times New Roman"/>
                      <w:b w:val="0"/>
                      <w:bCs w:val="0"/>
                      <w:caps w:val="0"/>
                      <w:color w:val="auto"/>
                      <w:sz w:val="21"/>
                      <w:szCs w:val="21"/>
                      <w:highlight w:val="none"/>
                      <w:lang w:val="en-US" w:eastAsia="zh-CN"/>
                    </w:rPr>
                    <w:t>本项目</w:t>
                  </w:r>
                  <w:r>
                    <w:rPr>
                      <w:rFonts w:hint="eastAsia" w:ascii="Times New Roman" w:hAnsi="Times New Roman" w:eastAsia="宋体" w:cs="Times New Roman"/>
                      <w:bCs/>
                      <w:color w:val="auto"/>
                      <w:kern w:val="0"/>
                      <w:sz w:val="21"/>
                      <w:szCs w:val="21"/>
                      <w:lang w:val="en-US" w:eastAsia="zh-CN"/>
                    </w:rPr>
                    <w:t>已按照要求</w:t>
                  </w:r>
                  <w:r>
                    <w:rPr>
                      <w:rFonts w:hint="eastAsia" w:ascii="Times New Roman" w:hAnsi="Times New Roman" w:eastAsia="宋体" w:cs="Times New Roman"/>
                      <w:bCs/>
                      <w:color w:val="auto"/>
                      <w:kern w:val="0"/>
                      <w:sz w:val="21"/>
                      <w:szCs w:val="21"/>
                      <w:lang w:eastAsia="zh-CN"/>
                    </w:rPr>
                    <w:t>编制</w:t>
                  </w:r>
                  <w:r>
                    <w:rPr>
                      <w:rFonts w:hint="eastAsia" w:ascii="Times New Roman" w:hAnsi="Times New Roman" w:eastAsia="宋体" w:cs="Times New Roman"/>
                      <w:bCs/>
                      <w:color w:val="auto"/>
                      <w:kern w:val="0"/>
                      <w:sz w:val="21"/>
                      <w:szCs w:val="21"/>
                      <w:lang w:val="en-US" w:eastAsia="zh-CN"/>
                    </w:rPr>
                    <w:t>临时占地草原植被恢复</w:t>
                  </w:r>
                  <w:r>
                    <w:rPr>
                      <w:rFonts w:hint="eastAsia" w:ascii="Times New Roman" w:hAnsi="Times New Roman" w:eastAsia="宋体" w:cs="Times New Roman"/>
                      <w:bCs/>
                      <w:color w:val="auto"/>
                      <w:kern w:val="0"/>
                      <w:sz w:val="21"/>
                      <w:szCs w:val="21"/>
                      <w:lang w:eastAsia="zh-CN"/>
                    </w:rPr>
                    <w:t>方案，</w:t>
                  </w:r>
                  <w:r>
                    <w:rPr>
                      <w:rFonts w:hint="eastAsia" w:ascii="Times New Roman" w:hAnsi="Times New Roman" w:eastAsia="宋体" w:cs="Times New Roman"/>
                      <w:color w:val="auto"/>
                      <w:sz w:val="21"/>
                      <w:szCs w:val="21"/>
                      <w:highlight w:val="none"/>
                      <w:lang w:val="en-US" w:eastAsia="zh-CN"/>
                    </w:rPr>
                    <w:t>火区治理结束后应对取土场、火区治理区占用的临时牧草用地进行场地平整、植被恢复。</w:t>
                  </w:r>
                </w:p>
              </w:tc>
              <w:tc>
                <w:tcPr>
                  <w:tcW w:w="844" w:type="dxa"/>
                  <w:tcBorders>
                    <w:tl2br w:val="nil"/>
                    <w:tr2bl w:val="nil"/>
                  </w:tcBorders>
                  <w:noWrap w:val="0"/>
                  <w:vAlign w:val="center"/>
                </w:tcPr>
                <w:p w14:paraId="195597AE">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eastAsia="宋体" w:cs="Times New Roman"/>
                      <w:b w:val="0"/>
                      <w:bCs w:val="0"/>
                      <w:caps w:val="0"/>
                      <w:color w:val="auto"/>
                      <w:sz w:val="21"/>
                      <w:szCs w:val="21"/>
                      <w:highlight w:val="none"/>
                      <w:lang w:val="en-US" w:eastAsia="zh-CN"/>
                    </w:rPr>
                    <w:t>符合</w:t>
                  </w:r>
                </w:p>
              </w:tc>
            </w:tr>
            <w:tr w14:paraId="51454EF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7" w:type="dxa"/>
                  <w:left w:w="57" w:type="dxa"/>
                  <w:bottom w:w="57" w:type="dxa"/>
                  <w:right w:w="57" w:type="dxa"/>
                </w:tblCellMar>
              </w:tblPrEx>
              <w:trPr>
                <w:trHeight w:val="999" w:hRule="atLeast"/>
                <w:jc w:val="center"/>
              </w:trPr>
              <w:tc>
                <w:tcPr>
                  <w:tcW w:w="3989" w:type="dxa"/>
                  <w:tcBorders>
                    <w:tl2br w:val="nil"/>
                    <w:tr2bl w:val="nil"/>
                  </w:tcBorders>
                  <w:noWrap w:val="0"/>
                  <w:vAlign w:val="center"/>
                </w:tcPr>
                <w:p w14:paraId="3C22DB76">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11.2.6煤田火区具备植被恢复条件的应进行植被恢复，并应满足下列要求：</w:t>
                  </w:r>
                </w:p>
                <w:p w14:paraId="02A2D21B">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a）排土场及治理后的火区边坡总高度大于10m时应进行削坡降级，每台阶高度不超过5m～8m，台阶宽度应在2m以上，台阶边坡坡度小于35°，形成有利于林木植被恢复的地表条件</w:t>
                  </w:r>
                  <w:r>
                    <w:rPr>
                      <w:rFonts w:hint="eastAsia" w:ascii="Times New Roman" w:hAnsi="Times New Roman" w:eastAsia="Helvetica" w:cs="Times New Roman"/>
                      <w:b w:val="0"/>
                      <w:bCs w:val="0"/>
                      <w:i w:val="0"/>
                      <w:iCs w:val="0"/>
                      <w:caps w:val="0"/>
                      <w:color w:val="auto"/>
                      <w:spacing w:val="0"/>
                      <w:sz w:val="21"/>
                      <w:szCs w:val="21"/>
                      <w:shd w:val="clear" w:fill="FFFFFF"/>
                      <w:lang w:val="en-US" w:eastAsia="zh-CN"/>
                    </w:rPr>
                    <w:t>；</w:t>
                  </w:r>
                </w:p>
                <w:p w14:paraId="6E1A8C3F">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b w:val="0"/>
                      <w:bCs w:val="0"/>
                      <w:i w:val="0"/>
                      <w:iCs w:val="0"/>
                      <w:caps w:val="0"/>
                      <w:color w:val="auto"/>
                      <w:spacing w:val="0"/>
                      <w:sz w:val="21"/>
                      <w:szCs w:val="21"/>
                      <w:shd w:val="clear" w:fill="FFFFFF"/>
                      <w:lang w:val="en-US" w:eastAsia="zh-CN"/>
                    </w:rPr>
                  </w:pPr>
                  <w:r>
                    <w:rPr>
                      <w:rFonts w:hint="default" w:ascii="Times New Roman" w:hAnsi="Times New Roman" w:eastAsia="Helvetica" w:cs="Times New Roman"/>
                      <w:b w:val="0"/>
                      <w:bCs w:val="0"/>
                      <w:i w:val="0"/>
                      <w:iCs w:val="0"/>
                      <w:caps w:val="0"/>
                      <w:color w:val="auto"/>
                      <w:spacing w:val="0"/>
                      <w:sz w:val="21"/>
                      <w:szCs w:val="21"/>
                      <w:shd w:val="clear" w:fill="FFFFFF"/>
                      <w:lang w:val="en-US" w:eastAsia="zh-CN"/>
                    </w:rPr>
                    <w:t>b）因煤田火区治理工程需要临时占用林地的，应按照不低于原标准要求恢复，维护自然生态系统原真性，严守自然生态安全边界。</w:t>
                  </w:r>
                </w:p>
              </w:tc>
              <w:tc>
                <w:tcPr>
                  <w:tcW w:w="2640" w:type="dxa"/>
                  <w:tcBorders>
                    <w:tl2br w:val="nil"/>
                    <w:tr2bl w:val="nil"/>
                  </w:tcBorders>
                  <w:noWrap w:val="0"/>
                  <w:vAlign w:val="center"/>
                </w:tcPr>
                <w:p w14:paraId="6868E5B7">
                  <w:pPr>
                    <w:keepNext w:val="0"/>
                    <w:keepLines w:val="0"/>
                    <w:pageBreakBefore w:val="0"/>
                    <w:suppressLineNumbers w:val="0"/>
                    <w:kinsoku/>
                    <w:wordWrap/>
                    <w:bidi w:val="0"/>
                    <w:adjustRightInd/>
                    <w:snapToGrid/>
                    <w:spacing w:before="0" w:beforeAutospacing="0" w:after="0" w:afterAutospacing="0"/>
                    <w:ind w:left="0" w:leftChars="0" w:right="0" w:rightChars="0"/>
                    <w:rPr>
                      <w:rFonts w:hint="default" w:ascii="Times New Roman" w:hAnsi="Times New Roman" w:cs="Times New Roman"/>
                      <w:b w:val="0"/>
                      <w:bCs w:val="0"/>
                      <w:caps w:val="0"/>
                      <w:color w:val="auto"/>
                      <w:sz w:val="21"/>
                      <w:szCs w:val="21"/>
                      <w:highlight w:val="none"/>
                      <w:lang w:val="en-US" w:eastAsia="zh-CN"/>
                    </w:rPr>
                  </w:pPr>
                  <w:r>
                    <w:rPr>
                      <w:rFonts w:hint="eastAsia" w:cs="Times New Roman"/>
                      <w:color w:val="auto"/>
                      <w:kern w:val="0"/>
                      <w:sz w:val="21"/>
                      <w:szCs w:val="21"/>
                      <w:highlight w:val="none"/>
                      <w:lang w:val="en-US" w:eastAsia="zh-CN"/>
                    </w:rPr>
                    <w:t>本项目剥离工程剥离土方不外排，剥离台阶土方直接向低处甩方自然堆弃，不设置排土场。</w:t>
                  </w:r>
                  <w:r>
                    <w:rPr>
                      <w:rFonts w:hint="eastAsia" w:ascii="Times New Roman" w:hAnsi="Times New Roman" w:cs="Times New Roman"/>
                      <w:b w:val="0"/>
                      <w:bCs w:val="0"/>
                      <w:caps w:val="0"/>
                      <w:color w:val="auto"/>
                      <w:sz w:val="21"/>
                      <w:szCs w:val="21"/>
                      <w:highlight w:val="none"/>
                      <w:lang w:val="en-US" w:eastAsia="zh-CN"/>
                    </w:rPr>
                    <w:t>本项目临时占地涉及部分牧场地，</w:t>
                  </w:r>
                  <w:r>
                    <w:rPr>
                      <w:rFonts w:hint="eastAsia" w:ascii="Times New Roman" w:hAnsi="Times New Roman" w:eastAsia="宋体" w:cs="Times New Roman"/>
                      <w:bCs/>
                      <w:color w:val="auto"/>
                      <w:kern w:val="0"/>
                      <w:sz w:val="21"/>
                      <w:szCs w:val="21"/>
                      <w:lang w:val="en-US" w:eastAsia="zh-CN"/>
                    </w:rPr>
                    <w:t>已按照要求</w:t>
                  </w:r>
                  <w:r>
                    <w:rPr>
                      <w:rFonts w:hint="eastAsia" w:ascii="Times New Roman" w:hAnsi="Times New Roman" w:eastAsia="宋体" w:cs="Times New Roman"/>
                      <w:bCs/>
                      <w:color w:val="auto"/>
                      <w:kern w:val="0"/>
                      <w:sz w:val="21"/>
                      <w:szCs w:val="21"/>
                      <w:lang w:eastAsia="zh-CN"/>
                    </w:rPr>
                    <w:t>编制</w:t>
                  </w:r>
                  <w:r>
                    <w:rPr>
                      <w:rFonts w:hint="eastAsia" w:ascii="Times New Roman" w:hAnsi="Times New Roman" w:eastAsia="宋体" w:cs="Times New Roman"/>
                      <w:bCs/>
                      <w:color w:val="auto"/>
                      <w:kern w:val="0"/>
                      <w:sz w:val="21"/>
                      <w:szCs w:val="21"/>
                      <w:lang w:val="en-US" w:eastAsia="zh-CN"/>
                    </w:rPr>
                    <w:t>临时占地草原植被恢复</w:t>
                  </w:r>
                  <w:r>
                    <w:rPr>
                      <w:rFonts w:hint="eastAsia" w:ascii="Times New Roman" w:hAnsi="Times New Roman" w:eastAsia="宋体" w:cs="Times New Roman"/>
                      <w:bCs/>
                      <w:color w:val="auto"/>
                      <w:kern w:val="0"/>
                      <w:sz w:val="21"/>
                      <w:szCs w:val="21"/>
                      <w:lang w:eastAsia="zh-CN"/>
                    </w:rPr>
                    <w:t>方案，</w:t>
                  </w:r>
                  <w:r>
                    <w:rPr>
                      <w:rFonts w:hint="eastAsia" w:ascii="Times New Roman" w:hAnsi="Times New Roman" w:eastAsia="宋体" w:cs="Times New Roman"/>
                      <w:color w:val="auto"/>
                      <w:sz w:val="21"/>
                      <w:szCs w:val="21"/>
                      <w:highlight w:val="none"/>
                      <w:lang w:val="en-US" w:eastAsia="zh-CN"/>
                    </w:rPr>
                    <w:t>火区治理结束后应对取土场、火区治理区占用的临时牧草用地进行场地平整、植被恢复。</w:t>
                  </w:r>
                </w:p>
              </w:tc>
              <w:tc>
                <w:tcPr>
                  <w:tcW w:w="844" w:type="dxa"/>
                  <w:tcBorders>
                    <w:tl2br w:val="nil"/>
                    <w:tr2bl w:val="nil"/>
                  </w:tcBorders>
                  <w:noWrap w:val="0"/>
                  <w:vAlign w:val="center"/>
                </w:tcPr>
                <w:p w14:paraId="38C4E0A3">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s="Times New Roman"/>
                      <w:b w:val="0"/>
                      <w:bCs w:val="0"/>
                      <w:caps w:val="0"/>
                      <w:color w:val="auto"/>
                      <w:sz w:val="21"/>
                      <w:szCs w:val="21"/>
                      <w:highlight w:val="none"/>
                      <w:lang w:val="en-US" w:eastAsia="zh-CN"/>
                    </w:rPr>
                  </w:pPr>
                  <w:r>
                    <w:rPr>
                      <w:rFonts w:hint="default" w:ascii="Times New Roman" w:hAnsi="Times New Roman" w:eastAsia="宋体" w:cs="Times New Roman"/>
                      <w:b w:val="0"/>
                      <w:bCs w:val="0"/>
                      <w:caps w:val="0"/>
                      <w:color w:val="auto"/>
                      <w:sz w:val="21"/>
                      <w:szCs w:val="21"/>
                      <w:highlight w:val="none"/>
                      <w:lang w:val="en-US" w:eastAsia="zh-CN"/>
                    </w:rPr>
                    <w:t>符合</w:t>
                  </w:r>
                </w:p>
              </w:tc>
            </w:tr>
          </w:tbl>
          <w:p w14:paraId="24B78FF2">
            <w:pPr>
              <w:pStyle w:val="101"/>
              <w:keepNext w:val="0"/>
              <w:keepLines w:val="0"/>
              <w:pageBreakBefore w:val="0"/>
              <w:widowControl w:val="0"/>
              <w:suppressLineNumbers w:val="0"/>
              <w:tabs>
                <w:tab w:val="left" w:pos="4584"/>
              </w:tabs>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baseline"/>
              <w:rPr>
                <w:rFonts w:hint="eastAsia"/>
                <w:b/>
                <w:bCs/>
                <w:snapToGrid/>
                <w:color w:val="auto"/>
                <w:kern w:val="2"/>
                <w:sz w:val="24"/>
                <w:szCs w:val="24"/>
                <w:lang w:val="en-US" w:eastAsia="zh-CN"/>
              </w:rPr>
            </w:pPr>
          </w:p>
          <w:p w14:paraId="65FB1326">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770D408A">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578857F3">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5A8639B6">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7BAA239F">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4BC69B49">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1A9B759A">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6A6C59E5">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0519D660">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3AFE5983">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22BE6359">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115D4357">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3533DAD3">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650BD329">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2A9DA523">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0DCCD06D">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0D0B729D">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2EE227D8">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03A98A36">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30935ECC">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0268AA9E">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72689EB4">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716F4675">
            <w:pPr>
              <w:keepNext w:val="0"/>
              <w:keepLines w:val="0"/>
              <w:suppressLineNumbers w:val="0"/>
              <w:spacing w:before="0" w:beforeAutospacing="0" w:after="0" w:afterAutospacing="0"/>
              <w:ind w:left="0" w:right="0"/>
              <w:rPr>
                <w:rFonts w:hint="eastAsia"/>
                <w:b/>
                <w:bCs/>
                <w:snapToGrid/>
                <w:color w:val="auto"/>
                <w:kern w:val="2"/>
                <w:sz w:val="24"/>
                <w:szCs w:val="24"/>
                <w:lang w:val="en-US" w:eastAsia="zh-CN"/>
              </w:rPr>
            </w:pPr>
          </w:p>
          <w:p w14:paraId="43442BF6">
            <w:pPr>
              <w:pStyle w:val="101"/>
              <w:keepNext w:val="0"/>
              <w:keepLines w:val="0"/>
              <w:pageBreakBefore w:val="0"/>
              <w:widowControl w:val="0"/>
              <w:suppressLineNumbers w:val="0"/>
              <w:tabs>
                <w:tab w:val="left" w:pos="4584"/>
              </w:tabs>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baseline"/>
              <w:rPr>
                <w:rFonts w:hint="eastAsia"/>
                <w:b/>
                <w:bCs/>
                <w:snapToGrid/>
                <w:color w:val="auto"/>
                <w:kern w:val="2"/>
                <w:sz w:val="24"/>
                <w:szCs w:val="24"/>
                <w:lang w:val="en-US" w:eastAsia="zh-CN"/>
              </w:rPr>
            </w:pPr>
          </w:p>
          <w:p w14:paraId="63232B6D">
            <w:pPr>
              <w:pStyle w:val="55"/>
              <w:keepNext w:val="0"/>
              <w:keepLines w:val="0"/>
              <w:suppressLineNumbers w:val="0"/>
              <w:spacing w:before="0" w:beforeAutospacing="0" w:after="0" w:afterAutospacing="0"/>
              <w:ind w:left="0" w:right="0"/>
              <w:jc w:val="both"/>
              <w:rPr>
                <w:rFonts w:hint="default"/>
                <w:b w:val="0"/>
                <w:bCs w:val="0"/>
                <w:color w:val="auto"/>
              </w:rPr>
            </w:pPr>
          </w:p>
        </w:tc>
      </w:tr>
    </w:tbl>
    <w:p w14:paraId="0AC1BD1E">
      <w:pPr>
        <w:spacing w:line="360" w:lineRule="auto"/>
        <w:outlineLvl w:val="0"/>
        <w:rPr>
          <w:rFonts w:eastAsia="黑体"/>
          <w:color w:val="auto"/>
          <w:sz w:val="30"/>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12F70D43">
      <w:pPr>
        <w:pStyle w:val="23"/>
        <w:jc w:val="center"/>
        <w:outlineLvl w:val="0"/>
        <w:rPr>
          <w:rFonts w:ascii="黑体" w:hAnsi="黑体" w:eastAsia="黑体"/>
          <w:snapToGrid w:val="0"/>
          <w:color w:val="auto"/>
          <w:sz w:val="30"/>
          <w:szCs w:val="30"/>
        </w:rPr>
      </w:pPr>
      <w:bookmarkStart w:id="4" w:name="_Toc20477"/>
      <w:r>
        <w:rPr>
          <w:rFonts w:hint="eastAsia" w:ascii="黑体" w:hAnsi="黑体" w:eastAsia="黑体"/>
          <w:snapToGrid w:val="0"/>
          <w:color w:val="auto"/>
          <w:sz w:val="30"/>
          <w:szCs w:val="30"/>
        </w:rPr>
        <w:t>二、建设内容</w:t>
      </w:r>
      <w:bookmarkEnd w:id="4"/>
    </w:p>
    <w:tbl>
      <w:tblPr>
        <w:tblStyle w:val="26"/>
        <w:tblW w:w="931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5"/>
        <w:gridCol w:w="8607"/>
      </w:tblGrid>
      <w:tr w14:paraId="40679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705" w:type="dxa"/>
            <w:noWrap w:val="0"/>
            <w:vAlign w:val="center"/>
          </w:tcPr>
          <w:p w14:paraId="57A23E5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kern w:val="0"/>
                <w:szCs w:val="21"/>
              </w:rPr>
            </w:pPr>
            <w:r>
              <w:rPr>
                <w:rFonts w:hint="eastAsia" w:ascii="Times New Roman" w:hAnsi="Times New Roman" w:cs="宋体"/>
                <w:b/>
                <w:bCs/>
                <w:color w:val="auto"/>
                <w:kern w:val="0"/>
                <w:sz w:val="24"/>
                <w:szCs w:val="24"/>
              </w:rPr>
              <w:t>地理位置</w:t>
            </w:r>
          </w:p>
        </w:tc>
        <w:tc>
          <w:tcPr>
            <w:tcW w:w="8607" w:type="dxa"/>
            <w:noWrap w:val="0"/>
            <w:vAlign w:val="center"/>
          </w:tcPr>
          <w:p w14:paraId="510E10F7">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line="360" w:lineRule="auto"/>
              <w:ind w:left="0" w:right="0" w:firstLine="480" w:firstLineChars="200"/>
              <w:jc w:val="left"/>
              <w:textAlignment w:val="auto"/>
              <w:rPr>
                <w:rFonts w:hint="default" w:ascii="Times New Roman" w:hAnsi="Times New Roman" w:cs="Times New Roman"/>
                <w:color w:val="auto"/>
              </w:rPr>
            </w:pPr>
            <w:r>
              <w:rPr>
                <w:rFonts w:hint="eastAsia" w:cs="宋体"/>
                <w:color w:val="auto"/>
                <w:sz w:val="24"/>
                <w:szCs w:val="24"/>
                <w:lang w:val="en-US" w:eastAsia="zh-CN"/>
              </w:rPr>
              <w:t>阜康西沙沟煤田火区灭火工程</w:t>
            </w:r>
            <w:r>
              <w:rPr>
                <w:rFonts w:hint="eastAsia" w:cs="Times New Roman"/>
                <w:color w:val="auto"/>
                <w:sz w:val="24"/>
                <w:szCs w:val="24"/>
                <w:u w:val="none"/>
                <w:lang w:val="en-US" w:eastAsia="zh-CN"/>
              </w:rPr>
              <w:t>位于新疆维吾尔自治区昌吉回族自治州阜康市甘河</w:t>
            </w:r>
            <w:r>
              <w:rPr>
                <w:rFonts w:hint="eastAsia" w:ascii="Times New Roman" w:hAnsi="Times New Roman" w:cs="Times New Roman"/>
                <w:color w:val="auto"/>
                <w:sz w:val="24"/>
                <w:szCs w:val="24"/>
                <w:u w:val="none"/>
                <w:shd w:val="clear" w:color="auto" w:fill="auto"/>
                <w:lang w:val="en-US" w:eastAsia="zh-CN"/>
              </w:rPr>
              <w:t>子镇，行政区划属阜康市管辖</w:t>
            </w:r>
            <w:r>
              <w:rPr>
                <w:rFonts w:hint="eastAsia" w:cs="Times New Roman"/>
                <w:color w:val="auto"/>
                <w:sz w:val="24"/>
                <w:szCs w:val="24"/>
                <w:u w:val="none"/>
                <w:shd w:val="clear" w:color="auto" w:fill="auto"/>
                <w:lang w:val="en-US" w:eastAsia="zh-CN"/>
              </w:rPr>
              <w:t>。</w:t>
            </w:r>
            <w:r>
              <w:rPr>
                <w:rFonts w:hint="default" w:ascii="Times New Roman" w:hAnsi="Times New Roman" w:eastAsia="宋体" w:cs="Times New Roman"/>
                <w:color w:val="auto"/>
                <w:spacing w:val="6"/>
                <w:sz w:val="24"/>
                <w:szCs w:val="24"/>
                <w:highlight w:val="none"/>
              </w:rPr>
              <w:t>项目</w:t>
            </w:r>
            <w:r>
              <w:rPr>
                <w:rFonts w:hint="default" w:ascii="Times New Roman" w:hAnsi="Times New Roman" w:cs="Times New Roman"/>
                <w:color w:val="auto"/>
                <w:sz w:val="24"/>
                <w:szCs w:val="28"/>
                <w:highlight w:val="none"/>
                <w:u w:val="none"/>
              </w:rPr>
              <w:t>地理位置图见</w:t>
            </w:r>
            <w:r>
              <w:rPr>
                <w:rFonts w:hint="default" w:ascii="Times New Roman" w:hAnsi="Times New Roman" w:cs="Times New Roman"/>
                <w:b/>
                <w:bCs/>
                <w:color w:val="auto"/>
                <w:sz w:val="24"/>
                <w:szCs w:val="28"/>
                <w:highlight w:val="none"/>
                <w:u w:val="none"/>
              </w:rPr>
              <w:t>附图1</w:t>
            </w:r>
            <w:r>
              <w:rPr>
                <w:rFonts w:hint="default" w:ascii="Times New Roman" w:hAnsi="Times New Roman" w:cs="Times New Roman"/>
                <w:color w:val="auto"/>
                <w:sz w:val="24"/>
                <w:szCs w:val="28"/>
                <w:highlight w:val="none"/>
                <w:u w:val="none"/>
              </w:rPr>
              <w:t>，</w:t>
            </w:r>
            <w:r>
              <w:rPr>
                <w:rFonts w:hint="default" w:ascii="Times New Roman" w:hAnsi="Times New Roman" w:cs="Times New Roman"/>
                <w:color w:val="auto"/>
                <w:sz w:val="24"/>
                <w:szCs w:val="28"/>
                <w:highlight w:val="none"/>
                <w:u w:val="none"/>
                <w:lang w:val="en-US" w:eastAsia="zh-CN"/>
              </w:rPr>
              <w:t>周边环境图</w:t>
            </w:r>
            <w:r>
              <w:rPr>
                <w:rFonts w:hint="default" w:ascii="Times New Roman" w:hAnsi="Times New Roman" w:cs="Times New Roman"/>
                <w:color w:val="auto"/>
                <w:sz w:val="24"/>
                <w:szCs w:val="28"/>
                <w:highlight w:val="none"/>
                <w:u w:val="none"/>
              </w:rPr>
              <w:t>见</w:t>
            </w:r>
            <w:r>
              <w:rPr>
                <w:rFonts w:hint="default" w:ascii="Times New Roman" w:hAnsi="Times New Roman" w:cs="Times New Roman"/>
                <w:b/>
                <w:bCs/>
                <w:color w:val="auto"/>
                <w:sz w:val="24"/>
                <w:szCs w:val="28"/>
                <w:highlight w:val="none"/>
                <w:u w:val="none"/>
              </w:rPr>
              <w:t>附图2</w:t>
            </w:r>
            <w:r>
              <w:rPr>
                <w:rFonts w:hint="default" w:ascii="Times New Roman" w:hAnsi="Times New Roman" w:cs="Times New Roman"/>
                <w:color w:val="auto"/>
                <w:sz w:val="24"/>
                <w:szCs w:val="28"/>
                <w:highlight w:val="none"/>
                <w:u w:val="none"/>
              </w:rPr>
              <w:t>。</w:t>
            </w:r>
          </w:p>
        </w:tc>
      </w:tr>
      <w:tr w14:paraId="280032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705" w:type="dxa"/>
            <w:noWrap w:val="0"/>
            <w:vAlign w:val="center"/>
          </w:tcPr>
          <w:p w14:paraId="26B81F82">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宋体"/>
                <w:b/>
                <w:bCs/>
                <w:color w:val="auto"/>
                <w:kern w:val="0"/>
                <w:sz w:val="24"/>
                <w:szCs w:val="24"/>
              </w:rPr>
            </w:pPr>
            <w:r>
              <w:rPr>
                <w:rFonts w:hint="eastAsia" w:ascii="Times New Roman" w:hAnsi="Times New Roman" w:cs="宋体"/>
                <w:b/>
                <w:bCs/>
                <w:color w:val="auto"/>
                <w:kern w:val="0"/>
                <w:sz w:val="24"/>
                <w:szCs w:val="24"/>
              </w:rPr>
              <w:t>项目组成及规模</w:t>
            </w:r>
          </w:p>
        </w:tc>
        <w:tc>
          <w:tcPr>
            <w:tcW w:w="8607" w:type="dxa"/>
            <w:noWrap w:val="0"/>
            <w:vAlign w:val="center"/>
          </w:tcPr>
          <w:p w14:paraId="5F675C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lang w:val="en-US" w:eastAsia="zh-CN"/>
              </w:rPr>
              <w:t>1、项目背景</w:t>
            </w:r>
          </w:p>
          <w:p w14:paraId="6E1174AB">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9" w:right="118" w:firstLine="474"/>
              <w:textAlignment w:val="auto"/>
              <w:rPr>
                <w:rFonts w:hint="default" w:ascii="Times New Roman" w:hAnsi="Times New Roman" w:eastAsia="宋体" w:cs="Times New Roman"/>
                <w:color w:val="auto"/>
                <w:spacing w:val="-1"/>
                <w:kern w:val="2"/>
                <w:sz w:val="24"/>
                <w:szCs w:val="24"/>
                <w:lang w:val="en-US" w:eastAsia="zh-CN" w:bidi="ar-SA"/>
              </w:rPr>
            </w:pPr>
            <w:r>
              <w:rPr>
                <w:rFonts w:hint="default" w:ascii="Times New Roman" w:hAnsi="Times New Roman" w:eastAsia="宋体" w:cs="Times New Roman"/>
                <w:color w:val="auto"/>
                <w:spacing w:val="-1"/>
                <w:kern w:val="2"/>
                <w:sz w:val="24"/>
                <w:szCs w:val="24"/>
                <w:lang w:val="en-US" w:eastAsia="zh-CN" w:bidi="ar-SA"/>
              </w:rPr>
              <w:t>阜康西沙沟煤田火区为《新疆煤田火区治理规划（修编）》（2016</w:t>
            </w:r>
            <w:r>
              <w:rPr>
                <w:rFonts w:hint="eastAsia" w:cs="Times New Roman"/>
                <w:color w:val="auto"/>
                <w:spacing w:val="-1"/>
                <w:kern w:val="2"/>
                <w:sz w:val="24"/>
                <w:szCs w:val="24"/>
                <w:lang w:val="en-US" w:eastAsia="zh-CN" w:bidi="ar-SA"/>
              </w:rPr>
              <w:t>-</w:t>
            </w:r>
            <w:r>
              <w:rPr>
                <w:rFonts w:hint="default" w:ascii="Times New Roman" w:hAnsi="Times New Roman" w:eastAsia="宋体" w:cs="Times New Roman"/>
                <w:color w:val="auto"/>
                <w:spacing w:val="-1"/>
                <w:kern w:val="2"/>
                <w:sz w:val="24"/>
                <w:szCs w:val="24"/>
                <w:lang w:val="en-US" w:eastAsia="zh-CN" w:bidi="ar-SA"/>
              </w:rPr>
              <w:t>2025年）中38处一般火区之一。</w:t>
            </w:r>
          </w:p>
          <w:p w14:paraId="670568BF">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5" w:right="33" w:firstLine="480"/>
              <w:jc w:val="both"/>
              <w:textAlignment w:val="auto"/>
              <w:rPr>
                <w:rFonts w:hint="default" w:ascii="Times New Roman" w:hAnsi="Times New Roman" w:eastAsia="宋体" w:cs="Times New Roman"/>
                <w:color w:val="auto"/>
                <w:spacing w:val="-1"/>
                <w:kern w:val="2"/>
                <w:sz w:val="24"/>
                <w:szCs w:val="24"/>
                <w:lang w:val="en-US" w:eastAsia="zh-CN" w:bidi="ar-SA"/>
              </w:rPr>
            </w:pPr>
            <w:r>
              <w:rPr>
                <w:rFonts w:hint="default" w:ascii="Times New Roman" w:hAnsi="Times New Roman" w:eastAsia="宋体" w:cs="Times New Roman"/>
                <w:color w:val="auto"/>
                <w:spacing w:val="-1"/>
                <w:kern w:val="2"/>
                <w:sz w:val="24"/>
                <w:szCs w:val="24"/>
                <w:lang w:val="en-US" w:eastAsia="zh-CN" w:bidi="ar-SA"/>
              </w:rPr>
              <w:t>2019年6月，自治区人民政府第58次常务会议，研究《加强新疆煤田灭火工作实施方案》，为落实会议精神，加快推进新疆煤田火区治理进程， 自治区矿山安全服务保障中心于2019年9月组织技术力量，开展了新疆第五次煤田火区普查工作。根据《新疆维吾尔自治区第五次煤田火区普查报告》：阜康西沙沟煤田火区总面积为41950m</w:t>
            </w:r>
            <w:r>
              <w:rPr>
                <w:rFonts w:hint="default" w:ascii="Times New Roman" w:hAnsi="Times New Roman" w:eastAsia="宋体" w:cs="Times New Roman"/>
                <w:color w:val="auto"/>
                <w:spacing w:val="-1"/>
                <w:kern w:val="2"/>
                <w:sz w:val="24"/>
                <w:szCs w:val="24"/>
                <w:vertAlign w:val="superscript"/>
                <w:lang w:val="en-US" w:eastAsia="zh-CN" w:bidi="ar-SA"/>
              </w:rPr>
              <w:t>2</w:t>
            </w:r>
            <w:r>
              <w:rPr>
                <w:rFonts w:hint="default" w:ascii="Times New Roman" w:hAnsi="Times New Roman" w:eastAsia="宋体" w:cs="Times New Roman"/>
                <w:color w:val="auto"/>
                <w:spacing w:val="-1"/>
                <w:kern w:val="2"/>
                <w:sz w:val="24"/>
                <w:szCs w:val="24"/>
                <w:lang w:val="en-US" w:eastAsia="zh-CN" w:bidi="ar-SA"/>
              </w:rPr>
              <w:t>。本次详勘，通过红外测温物探钻探等手段，重新查明了火区，火区面积为90282m</w:t>
            </w:r>
            <w:r>
              <w:rPr>
                <w:rFonts w:hint="default" w:ascii="Times New Roman" w:hAnsi="Times New Roman" w:eastAsia="宋体" w:cs="Times New Roman"/>
                <w:color w:val="auto"/>
                <w:spacing w:val="-1"/>
                <w:kern w:val="2"/>
                <w:sz w:val="24"/>
                <w:szCs w:val="24"/>
                <w:vertAlign w:val="superscript"/>
                <w:lang w:val="en-US" w:eastAsia="zh-CN" w:bidi="ar-SA"/>
              </w:rPr>
              <w:t>2</w:t>
            </w:r>
            <w:r>
              <w:rPr>
                <w:rFonts w:hint="default" w:ascii="Times New Roman" w:hAnsi="Times New Roman" w:eastAsia="宋体" w:cs="Times New Roman"/>
                <w:color w:val="auto"/>
                <w:spacing w:val="-1"/>
                <w:kern w:val="2"/>
                <w:sz w:val="24"/>
                <w:szCs w:val="24"/>
                <w:lang w:val="en-US" w:eastAsia="zh-CN" w:bidi="ar-SA"/>
              </w:rPr>
              <w:t>。</w:t>
            </w:r>
          </w:p>
          <w:p w14:paraId="1B4AF916">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9" w:firstLine="475"/>
              <w:jc w:val="both"/>
              <w:textAlignment w:val="auto"/>
              <w:rPr>
                <w:rFonts w:hint="default" w:ascii="Times New Roman" w:hAnsi="Times New Roman" w:eastAsia="宋体" w:cs="Times New Roman"/>
                <w:color w:val="auto"/>
                <w:spacing w:val="-1"/>
                <w:kern w:val="2"/>
                <w:sz w:val="24"/>
                <w:szCs w:val="24"/>
                <w:lang w:val="en-US" w:eastAsia="zh-CN" w:bidi="ar-SA"/>
              </w:rPr>
            </w:pPr>
            <w:r>
              <w:rPr>
                <w:rFonts w:hint="default" w:ascii="Times New Roman" w:hAnsi="Times New Roman" w:eastAsia="宋体" w:cs="Times New Roman"/>
                <w:color w:val="auto"/>
                <w:spacing w:val="-1"/>
                <w:kern w:val="2"/>
                <w:sz w:val="24"/>
                <w:szCs w:val="24"/>
                <w:lang w:val="en-US" w:eastAsia="zh-CN" w:bidi="ar-SA"/>
              </w:rPr>
              <w:t>2022年8月 ，为全面加快</w:t>
            </w:r>
            <w:r>
              <w:rPr>
                <w:rFonts w:hint="eastAsia" w:cs="Times New Roman"/>
                <w:color w:val="auto"/>
                <w:spacing w:val="-1"/>
                <w:kern w:val="2"/>
                <w:sz w:val="24"/>
                <w:szCs w:val="24"/>
                <w:lang w:val="en-US" w:eastAsia="zh-CN" w:bidi="ar-SA"/>
              </w:rPr>
              <w:t>“</w:t>
            </w:r>
            <w:r>
              <w:rPr>
                <w:rFonts w:hint="default" w:ascii="Times New Roman" w:hAnsi="Times New Roman" w:eastAsia="宋体" w:cs="Times New Roman"/>
                <w:color w:val="auto"/>
                <w:spacing w:val="-1"/>
                <w:kern w:val="2"/>
                <w:sz w:val="24"/>
                <w:szCs w:val="24"/>
                <w:lang w:val="en-US" w:eastAsia="zh-CN" w:bidi="ar-SA"/>
              </w:rPr>
              <w:t>十四五</w:t>
            </w:r>
            <w:r>
              <w:rPr>
                <w:rFonts w:hint="eastAsia" w:cs="Times New Roman"/>
                <w:color w:val="auto"/>
                <w:spacing w:val="-1"/>
                <w:kern w:val="2"/>
                <w:sz w:val="24"/>
                <w:szCs w:val="24"/>
                <w:lang w:val="en-US" w:eastAsia="zh-CN" w:bidi="ar-SA"/>
              </w:rPr>
              <w:t>”</w:t>
            </w:r>
            <w:r>
              <w:rPr>
                <w:rFonts w:hint="default" w:ascii="Times New Roman" w:hAnsi="Times New Roman" w:eastAsia="宋体" w:cs="Times New Roman"/>
                <w:color w:val="auto"/>
                <w:spacing w:val="-1"/>
                <w:kern w:val="2"/>
                <w:sz w:val="24"/>
                <w:szCs w:val="24"/>
                <w:lang w:val="en-US" w:eastAsia="zh-CN" w:bidi="ar-SA"/>
              </w:rPr>
              <w:t>时期新疆煤田灭火工作 ，新疆维吾尔自治区人民政府办公厅发布了《关于印发新疆维吾尔自治区煤田火区灭火工作实施方案的通知》（新政办发〔2022〕54号），落实了煤田火区治理责任，加快了煤田火区治理进度，履行了煤田火区治理程序，努力在</w:t>
            </w:r>
            <w:r>
              <w:rPr>
                <w:rFonts w:hint="eastAsia" w:cs="Times New Roman"/>
                <w:color w:val="auto"/>
                <w:spacing w:val="-1"/>
                <w:kern w:val="2"/>
                <w:sz w:val="24"/>
                <w:szCs w:val="24"/>
                <w:lang w:val="en-US" w:eastAsia="zh-CN" w:bidi="ar-SA"/>
              </w:rPr>
              <w:t>“</w:t>
            </w:r>
            <w:r>
              <w:rPr>
                <w:rFonts w:hint="default" w:ascii="Times New Roman" w:hAnsi="Times New Roman" w:eastAsia="宋体" w:cs="Times New Roman"/>
                <w:color w:val="auto"/>
                <w:spacing w:val="-1"/>
                <w:kern w:val="2"/>
                <w:sz w:val="24"/>
                <w:szCs w:val="24"/>
                <w:lang w:val="en-US" w:eastAsia="zh-CN" w:bidi="ar-SA"/>
              </w:rPr>
              <w:t>十四五</w:t>
            </w:r>
            <w:r>
              <w:rPr>
                <w:rFonts w:hint="eastAsia" w:cs="Times New Roman"/>
                <w:color w:val="auto"/>
                <w:spacing w:val="-1"/>
                <w:kern w:val="2"/>
                <w:sz w:val="24"/>
                <w:szCs w:val="24"/>
                <w:lang w:val="en-US" w:eastAsia="zh-CN" w:bidi="ar-SA"/>
              </w:rPr>
              <w:t>”</w:t>
            </w:r>
            <w:r>
              <w:rPr>
                <w:rFonts w:hint="default" w:ascii="Times New Roman" w:hAnsi="Times New Roman" w:eastAsia="宋体" w:cs="Times New Roman"/>
                <w:color w:val="auto"/>
                <w:spacing w:val="-1"/>
                <w:kern w:val="2"/>
                <w:sz w:val="24"/>
                <w:szCs w:val="24"/>
                <w:lang w:val="en-US" w:eastAsia="zh-CN" w:bidi="ar-SA"/>
              </w:rPr>
              <w:t>期间全面消除煤田火区存量，有效防控煤田火区增量。其中明确</w:t>
            </w:r>
            <w:r>
              <w:rPr>
                <w:rFonts w:hint="eastAsia" w:cs="Times New Roman"/>
                <w:color w:val="auto"/>
                <w:spacing w:val="-1"/>
                <w:kern w:val="2"/>
                <w:sz w:val="24"/>
                <w:szCs w:val="24"/>
                <w:lang w:val="en-US" w:eastAsia="zh-CN" w:bidi="ar-SA"/>
              </w:rPr>
              <w:t>“</w:t>
            </w:r>
            <w:r>
              <w:rPr>
                <w:rFonts w:hint="default" w:ascii="Times New Roman" w:hAnsi="Times New Roman" w:eastAsia="宋体" w:cs="Times New Roman"/>
                <w:color w:val="auto"/>
                <w:spacing w:val="-1"/>
                <w:kern w:val="2"/>
                <w:sz w:val="24"/>
                <w:szCs w:val="24"/>
                <w:lang w:val="en-US" w:eastAsia="zh-CN" w:bidi="ar-SA"/>
              </w:rPr>
              <w:t>阜康西沙沟</w:t>
            </w:r>
            <w:r>
              <w:rPr>
                <w:rFonts w:hint="eastAsia" w:cs="Times New Roman"/>
                <w:color w:val="auto"/>
                <w:spacing w:val="-1"/>
                <w:kern w:val="2"/>
                <w:sz w:val="24"/>
                <w:szCs w:val="24"/>
                <w:lang w:val="en-US" w:eastAsia="zh-CN" w:bidi="ar-SA"/>
              </w:rPr>
              <w:t>”</w:t>
            </w:r>
            <w:r>
              <w:rPr>
                <w:rFonts w:hint="default" w:ascii="Times New Roman" w:hAnsi="Times New Roman" w:eastAsia="宋体" w:cs="Times New Roman"/>
                <w:color w:val="auto"/>
                <w:spacing w:val="-1"/>
                <w:kern w:val="2"/>
                <w:sz w:val="24"/>
                <w:szCs w:val="24"/>
                <w:lang w:val="en-US" w:eastAsia="zh-CN" w:bidi="ar-SA"/>
              </w:rPr>
              <w:t>为采矿权人负责治理的煤田火区。</w:t>
            </w:r>
          </w:p>
          <w:p w14:paraId="6A5194AD">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9" w:firstLine="475"/>
              <w:jc w:val="both"/>
              <w:textAlignment w:val="auto"/>
              <w:rPr>
                <w:rFonts w:hint="default" w:ascii="Times New Roman" w:hAnsi="Times New Roman" w:eastAsia="宋体" w:cs="Times New Roman"/>
                <w:color w:val="auto"/>
                <w:spacing w:val="-1"/>
                <w:kern w:val="2"/>
                <w:sz w:val="24"/>
                <w:szCs w:val="24"/>
                <w:lang w:val="en-US" w:eastAsia="zh-CN" w:bidi="ar-SA"/>
              </w:rPr>
            </w:pPr>
            <w:r>
              <w:rPr>
                <w:rFonts w:hint="default" w:ascii="Times New Roman" w:hAnsi="Times New Roman" w:eastAsia="宋体" w:cs="Times New Roman"/>
                <w:color w:val="auto"/>
                <w:spacing w:val="-1"/>
                <w:kern w:val="2"/>
                <w:sz w:val="24"/>
                <w:szCs w:val="24"/>
                <w:lang w:val="en-US" w:eastAsia="zh-CN" w:bidi="ar-SA"/>
              </w:rPr>
              <w:t>2024年5月，《昌吉回族自治州人民政府办公室关于印发&lt;昌吉州煤田灭火工作实施方案&gt;的通知》（昌州政办发〔2024〕15 号） ，进一步明确</w:t>
            </w:r>
            <w:r>
              <w:rPr>
                <w:rFonts w:hint="eastAsia" w:cs="Times New Roman"/>
                <w:color w:val="auto"/>
                <w:spacing w:val="-1"/>
                <w:kern w:val="2"/>
                <w:sz w:val="24"/>
                <w:szCs w:val="24"/>
                <w:lang w:val="en-US" w:eastAsia="zh-CN" w:bidi="ar-SA"/>
              </w:rPr>
              <w:t>“</w:t>
            </w:r>
            <w:r>
              <w:rPr>
                <w:rFonts w:hint="default" w:ascii="Times New Roman" w:hAnsi="Times New Roman" w:eastAsia="宋体" w:cs="Times New Roman"/>
                <w:color w:val="auto"/>
                <w:spacing w:val="-1"/>
                <w:kern w:val="2"/>
                <w:sz w:val="24"/>
                <w:szCs w:val="24"/>
                <w:lang w:val="en-US" w:eastAsia="zh-CN" w:bidi="ar-SA"/>
              </w:rPr>
              <w:t>阜康西沙沟</w:t>
            </w:r>
            <w:r>
              <w:rPr>
                <w:rFonts w:hint="eastAsia" w:ascii="Times New Roman" w:hAnsi="Times New Roman" w:eastAsia="宋体" w:cs="Times New Roman"/>
                <w:color w:val="auto"/>
                <w:spacing w:val="-1"/>
                <w:kern w:val="2"/>
                <w:sz w:val="24"/>
                <w:szCs w:val="24"/>
                <w:lang w:val="en-US" w:eastAsia="zh-CN" w:bidi="ar-SA"/>
              </w:rPr>
              <w:t>”</w:t>
            </w:r>
            <w:r>
              <w:rPr>
                <w:rFonts w:hint="default" w:ascii="Times New Roman" w:hAnsi="Times New Roman" w:eastAsia="宋体" w:cs="Times New Roman"/>
                <w:color w:val="auto"/>
                <w:spacing w:val="-1"/>
                <w:kern w:val="2"/>
                <w:sz w:val="24"/>
                <w:szCs w:val="24"/>
                <w:lang w:val="en-US" w:eastAsia="zh-CN" w:bidi="ar-SA"/>
              </w:rPr>
              <w:t>火区 ，为采矿权人负责治理。</w:t>
            </w:r>
          </w:p>
          <w:p w14:paraId="3F3BAD3A">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9" w:firstLine="475"/>
              <w:jc w:val="both"/>
              <w:textAlignment w:val="auto"/>
              <w:rPr>
                <w:rFonts w:hint="default" w:ascii="Times New Roman" w:hAnsi="Times New Roman" w:eastAsia="宋体" w:cs="Times New Roman"/>
                <w:color w:val="auto"/>
                <w:spacing w:val="-1"/>
                <w:kern w:val="2"/>
                <w:sz w:val="24"/>
                <w:szCs w:val="24"/>
                <w:lang w:val="en-US" w:eastAsia="zh-CN" w:bidi="ar-SA"/>
              </w:rPr>
            </w:pPr>
            <w:r>
              <w:rPr>
                <w:rFonts w:hint="default" w:ascii="Times New Roman" w:hAnsi="Times New Roman" w:eastAsia="宋体" w:cs="Times New Roman"/>
                <w:color w:val="auto"/>
                <w:spacing w:val="-1"/>
                <w:kern w:val="2"/>
                <w:sz w:val="24"/>
                <w:szCs w:val="24"/>
                <w:lang w:val="en-US" w:eastAsia="zh-CN" w:bidi="ar-SA"/>
              </w:rPr>
              <w:t>火区所在区域位于新疆富城矿业投资有限公司阜康市康龙煤矿</w:t>
            </w:r>
            <w:r>
              <w:rPr>
                <w:rFonts w:hint="eastAsia" w:cs="Times New Roman"/>
                <w:color w:val="auto"/>
                <w:spacing w:val="-1"/>
                <w:kern w:val="2"/>
                <w:sz w:val="24"/>
                <w:szCs w:val="24"/>
                <w:lang w:val="en-US" w:eastAsia="zh-CN" w:bidi="ar-SA"/>
              </w:rPr>
              <w:t>（以下简称康龙煤矿）采矿权</w:t>
            </w:r>
            <w:r>
              <w:rPr>
                <w:rFonts w:hint="default" w:ascii="Times New Roman" w:hAnsi="Times New Roman" w:eastAsia="宋体" w:cs="Times New Roman"/>
                <w:color w:val="auto"/>
                <w:spacing w:val="-1"/>
                <w:kern w:val="2"/>
                <w:sz w:val="24"/>
                <w:szCs w:val="24"/>
                <w:lang w:val="en-US" w:eastAsia="zh-CN" w:bidi="ar-SA"/>
              </w:rPr>
              <w:t>范围内，因此，本火区治理主体为新疆富城矿业投资有限公司。</w:t>
            </w:r>
          </w:p>
          <w:p w14:paraId="118E4AC9">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cs="Times New Roman"/>
                <w:b/>
                <w:bCs/>
                <w:color w:val="auto"/>
                <w:sz w:val="24"/>
              </w:rPr>
            </w:pPr>
            <w:r>
              <w:rPr>
                <w:rFonts w:hint="eastAsia" w:cs="Times New Roman"/>
                <w:b/>
                <w:bCs/>
                <w:color w:val="auto"/>
                <w:sz w:val="24"/>
                <w:lang w:val="en-US" w:eastAsia="zh-CN"/>
              </w:rPr>
              <w:t>2、</w:t>
            </w:r>
            <w:r>
              <w:rPr>
                <w:rFonts w:hint="eastAsia" w:ascii="Times New Roman" w:hAnsi="Times New Roman" w:cs="Times New Roman"/>
                <w:b/>
                <w:bCs/>
                <w:color w:val="auto"/>
                <w:sz w:val="24"/>
              </w:rPr>
              <w:t>建设内容</w:t>
            </w:r>
          </w:p>
          <w:p w14:paraId="3F1CB2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lang w:eastAsia="zh-CN"/>
              </w:rPr>
            </w:pPr>
            <w:r>
              <w:rPr>
                <w:rFonts w:hint="eastAsia" w:cs="Times New Roman"/>
                <w:color w:val="auto"/>
                <w:sz w:val="24"/>
                <w:szCs w:val="24"/>
                <w:lang w:val="en-US" w:eastAsia="zh-CN"/>
              </w:rPr>
              <w:t>本项目对1号子火区、2地子火区、3号子火区进行灭火治理工程，火区面积15859m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w:t>
            </w:r>
            <w:r>
              <w:rPr>
                <w:rFonts w:hint="default" w:ascii="Times New Roman" w:hAnsi="Times New Roman" w:eastAsia="宋体" w:cs="Times New Roman"/>
                <w:color w:val="auto"/>
                <w:spacing w:val="6"/>
                <w:kern w:val="2"/>
                <w:sz w:val="24"/>
                <w:szCs w:val="24"/>
                <w:lang w:val="en-US" w:eastAsia="zh-CN" w:bidi="ar-SA"/>
              </w:rPr>
              <w:t>最大燃烧深度105m，最大燃烧底界标高为+1048m</w:t>
            </w:r>
            <w:r>
              <w:rPr>
                <w:rFonts w:hint="eastAsia" w:cs="Times New Roman"/>
                <w:color w:val="auto"/>
                <w:sz w:val="24"/>
                <w:szCs w:val="24"/>
                <w:lang w:val="en-US" w:eastAsia="zh-CN"/>
              </w:rPr>
              <w:t>。</w:t>
            </w:r>
            <w:r>
              <w:rPr>
                <w:rFonts w:hint="eastAsia" w:cs="Times New Roman"/>
                <w:color w:val="auto"/>
                <w:spacing w:val="-1"/>
                <w:sz w:val="24"/>
                <w:szCs w:val="24"/>
                <w:lang w:val="en-US" w:eastAsia="zh-CN"/>
              </w:rPr>
              <w:t>治理实施过程主要包括剥离工程、钻探工程、注水工程、注浆工程、覆盖工程等。</w:t>
            </w:r>
            <w:r>
              <w:rPr>
                <w:rFonts w:hint="eastAsia" w:cs="Times New Roman"/>
                <w:color w:val="auto"/>
                <w:sz w:val="24"/>
                <w:szCs w:val="24"/>
                <w:lang w:val="en-US" w:eastAsia="zh-CN"/>
              </w:rPr>
              <w:t>1号子火区治理区范围面积为30133m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，2地子火区治理区范围面积为17055m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，3号子火区治理区范围面积为19776m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，合计面积66964m</w:t>
            </w:r>
            <w:r>
              <w:rPr>
                <w:rFonts w:hint="eastAsia" w:cs="Times New Roman"/>
                <w:color w:val="auto"/>
                <w:sz w:val="24"/>
                <w:szCs w:val="24"/>
                <w:vertAlign w:val="superscript"/>
                <w:lang w:val="en-US" w:eastAsia="zh-CN"/>
              </w:rPr>
              <w:t>2</w:t>
            </w:r>
            <w:r>
              <w:rPr>
                <w:rFonts w:hint="eastAsia" w:ascii="Times New Roman" w:hAnsi="Times New Roman" w:cs="Times New Roman"/>
                <w:color w:val="auto"/>
                <w:spacing w:val="-1"/>
                <w:sz w:val="24"/>
                <w:szCs w:val="24"/>
                <w:lang w:val="en-US" w:eastAsia="zh-CN"/>
              </w:rPr>
              <w:t>。项目建设内容</w:t>
            </w:r>
            <w:r>
              <w:rPr>
                <w:rFonts w:hint="eastAsia" w:ascii="Times New Roman" w:hAnsi="Times New Roman" w:eastAsia="宋体" w:cs="Times New Roman"/>
                <w:color w:val="auto"/>
                <w:sz w:val="24"/>
                <w:szCs w:val="24"/>
                <w:highlight w:val="none"/>
              </w:rPr>
              <w:t>详见表2-1</w:t>
            </w:r>
            <w:r>
              <w:rPr>
                <w:rFonts w:hint="eastAsia" w:ascii="Times New Roman" w:hAnsi="Times New Roman" w:eastAsia="宋体" w:cs="Times New Roman"/>
                <w:color w:val="auto"/>
                <w:sz w:val="24"/>
                <w:szCs w:val="24"/>
                <w:highlight w:val="none"/>
                <w:lang w:eastAsia="zh-CN"/>
              </w:rPr>
              <w:t>。</w:t>
            </w:r>
          </w:p>
          <w:p w14:paraId="527EDE0B">
            <w:pPr>
              <w:keepNext w:val="0"/>
              <w:keepLines w:val="0"/>
              <w:suppressLineNumbers w:val="0"/>
              <w:spacing w:before="0" w:beforeAutospacing="0" w:after="0" w:afterAutospacing="0"/>
              <w:ind w:left="0" w:right="0"/>
              <w:jc w:val="center"/>
              <w:rPr>
                <w:rFonts w:hint="default" w:ascii="Times New Roman" w:hAnsi="Times New Roman" w:cs="宋体"/>
                <w:b/>
                <w:bCs/>
                <w:color w:val="auto"/>
                <w:szCs w:val="21"/>
              </w:rPr>
            </w:pPr>
            <w:r>
              <w:rPr>
                <w:rFonts w:hint="eastAsia" w:ascii="Times New Roman" w:hAnsi="Times New Roman" w:cs="宋体"/>
                <w:b/>
                <w:bCs/>
                <w:color w:val="auto"/>
                <w:szCs w:val="21"/>
              </w:rPr>
              <w:t>表</w:t>
            </w:r>
            <w:r>
              <w:rPr>
                <w:rFonts w:hint="eastAsia" w:ascii="Times New Roman" w:hAnsi="Times New Roman" w:cs="宋体"/>
                <w:b/>
                <w:bCs/>
                <w:color w:val="auto"/>
                <w:szCs w:val="21"/>
                <w:lang w:val="en-US" w:eastAsia="zh-CN"/>
              </w:rPr>
              <w:t>2-1</w:t>
            </w:r>
            <w:r>
              <w:rPr>
                <w:rFonts w:hint="eastAsia" w:ascii="Times New Roman" w:hAnsi="Times New Roman" w:cs="宋体"/>
                <w:b/>
                <w:bCs/>
                <w:color w:val="auto"/>
                <w:szCs w:val="21"/>
              </w:rPr>
              <w:t xml:space="preserve">  项目建设内容一览表</w:t>
            </w:r>
          </w:p>
          <w:tbl>
            <w:tblPr>
              <w:tblStyle w:val="26"/>
              <w:tblW w:w="8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483"/>
              <w:gridCol w:w="930"/>
              <w:gridCol w:w="5353"/>
              <w:gridCol w:w="935"/>
            </w:tblGrid>
            <w:tr w14:paraId="22DC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053" w:type="dxa"/>
                  <w:gridSpan w:val="3"/>
                  <w:noWrap w:val="0"/>
                  <w:vAlign w:val="center"/>
                </w:tcPr>
                <w:p w14:paraId="03DBA9B1">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color w:val="auto"/>
                      <w:sz w:val="21"/>
                      <w:szCs w:val="21"/>
                      <w:lang w:val="en-US" w:eastAsia="zh-CN"/>
                    </w:rPr>
                  </w:pPr>
                  <w:r>
                    <w:rPr>
                      <w:rFonts w:hint="default" w:ascii="Times New Roman" w:hAnsi="Times New Roman" w:cs="Times New Roman"/>
                      <w:b w:val="0"/>
                      <w:bCs w:val="0"/>
                      <w:color w:val="auto"/>
                      <w:sz w:val="21"/>
                      <w:szCs w:val="21"/>
                    </w:rPr>
                    <w:t>工程名</w:t>
                  </w:r>
                  <w:r>
                    <w:rPr>
                      <w:rFonts w:hint="eastAsia" w:cs="Times New Roman"/>
                      <w:b w:val="0"/>
                      <w:bCs w:val="0"/>
                      <w:color w:val="auto"/>
                      <w:sz w:val="21"/>
                      <w:szCs w:val="21"/>
                      <w:lang w:val="en-US" w:eastAsia="zh-CN"/>
                    </w:rPr>
                    <w:t>称</w:t>
                  </w:r>
                </w:p>
              </w:tc>
              <w:tc>
                <w:tcPr>
                  <w:tcW w:w="5353" w:type="dxa"/>
                  <w:noWrap w:val="0"/>
                  <w:vAlign w:val="center"/>
                </w:tcPr>
                <w:p w14:paraId="3B3D6AB4">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color w:val="auto"/>
                      <w:sz w:val="21"/>
                      <w:szCs w:val="21"/>
                      <w:lang w:val="en-US" w:eastAsia="zh-CN"/>
                    </w:rPr>
                  </w:pPr>
                  <w:r>
                    <w:rPr>
                      <w:rFonts w:hint="default" w:ascii="Times New Roman" w:hAnsi="Times New Roman" w:cs="Times New Roman"/>
                      <w:b w:val="0"/>
                      <w:bCs w:val="0"/>
                      <w:color w:val="auto"/>
                      <w:sz w:val="21"/>
                      <w:szCs w:val="21"/>
                    </w:rPr>
                    <w:t>工程</w:t>
                  </w:r>
                  <w:r>
                    <w:rPr>
                      <w:rFonts w:hint="eastAsia" w:cs="Times New Roman"/>
                      <w:b w:val="0"/>
                      <w:bCs w:val="0"/>
                      <w:color w:val="auto"/>
                      <w:sz w:val="21"/>
                      <w:szCs w:val="21"/>
                      <w:lang w:val="en-US" w:eastAsia="zh-CN"/>
                    </w:rPr>
                    <w:t>内容</w:t>
                  </w:r>
                </w:p>
              </w:tc>
              <w:tc>
                <w:tcPr>
                  <w:tcW w:w="935" w:type="dxa"/>
                  <w:noWrap w:val="0"/>
                  <w:vAlign w:val="center"/>
                </w:tcPr>
                <w:p w14:paraId="6C78DEC9">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备注</w:t>
                  </w:r>
                </w:p>
              </w:tc>
            </w:tr>
            <w:tr w14:paraId="4376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640" w:type="dxa"/>
                  <w:vMerge w:val="restart"/>
                  <w:noWrap w:val="0"/>
                  <w:vAlign w:val="center"/>
                </w:tcPr>
                <w:p w14:paraId="6AB56BA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主体</w:t>
                  </w:r>
                </w:p>
                <w:p w14:paraId="4DD7DB0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工程</w:t>
                  </w:r>
                </w:p>
              </w:tc>
              <w:tc>
                <w:tcPr>
                  <w:tcW w:w="1413" w:type="dxa"/>
                  <w:gridSpan w:val="2"/>
                  <w:noWrap w:val="0"/>
                  <w:vAlign w:val="center"/>
                </w:tcPr>
                <w:p w14:paraId="69A560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剥离工程</w:t>
                  </w:r>
                </w:p>
              </w:tc>
              <w:tc>
                <w:tcPr>
                  <w:tcW w:w="5353" w:type="dxa"/>
                  <w:noWrap w:val="0"/>
                  <w:vAlign w:val="center"/>
                </w:tcPr>
                <w:p w14:paraId="501C60F1">
                  <w:pPr>
                    <w:keepNext w:val="0"/>
                    <w:keepLines w:val="0"/>
                    <w:suppressLineNumbers w:val="0"/>
                    <w:spacing w:before="0" w:beforeAutospacing="0" w:after="0" w:afterAutospacing="0"/>
                    <w:ind w:left="0" w:right="0"/>
                    <w:rPr>
                      <w:rFonts w:hint="default" w:eastAsia="宋体" w:cs="Times New Roman"/>
                      <w:color w:val="auto"/>
                      <w:spacing w:val="-1"/>
                      <w:sz w:val="21"/>
                      <w:szCs w:val="21"/>
                      <w:highlight w:val="none"/>
                      <w:lang w:val="en-US" w:eastAsia="zh-CN"/>
                    </w:rPr>
                  </w:pPr>
                  <w:r>
                    <w:rPr>
                      <w:rFonts w:hint="default"/>
                      <w:spacing w:val="-4"/>
                    </w:rPr>
                    <w:t>剥除火区浅部露头火源及</w:t>
                  </w:r>
                  <w:r>
                    <w:rPr>
                      <w:rFonts w:hint="default"/>
                      <w:spacing w:val="-3"/>
                    </w:rPr>
                    <w:t>部分煤层顶板烧变岩，并改造深部火区上部的地形条件，为钻探、注水、注浆及砂土覆</w:t>
                  </w:r>
                  <w:r>
                    <w:rPr>
                      <w:rFonts w:hint="default"/>
                      <w:spacing w:val="2"/>
                    </w:rPr>
                    <w:t>盖等工程创造一个合适的施工场地</w:t>
                  </w:r>
                  <w:r>
                    <w:rPr>
                      <w:rFonts w:hint="default"/>
                      <w:spacing w:val="-22"/>
                    </w:rPr>
                    <w:t xml:space="preserve"> </w:t>
                  </w:r>
                  <w:r>
                    <w:rPr>
                      <w:rFonts w:hint="default"/>
                      <w:spacing w:val="2"/>
                    </w:rPr>
                    <w:t>，对火区原始地形进行剥离形成台阶形成阶梯式场</w:t>
                  </w:r>
                  <w:r>
                    <w:rPr>
                      <w:rFonts w:hint="default"/>
                      <w:spacing w:val="-3"/>
                    </w:rPr>
                    <w:t>地。</w:t>
                  </w:r>
                  <w:r>
                    <w:rPr>
                      <w:rFonts w:hint="eastAsia"/>
                      <w:spacing w:val="-3"/>
                      <w:lang w:val="en-US" w:eastAsia="zh-CN"/>
                    </w:rPr>
                    <w:t>1号子火区和2地子火区剥离工程量合计30000m</w:t>
                  </w:r>
                  <w:r>
                    <w:rPr>
                      <w:rFonts w:hint="eastAsia"/>
                      <w:spacing w:val="-3"/>
                      <w:vertAlign w:val="superscript"/>
                      <w:lang w:val="en-US" w:eastAsia="zh-CN"/>
                    </w:rPr>
                    <w:t>3</w:t>
                  </w:r>
                  <w:r>
                    <w:rPr>
                      <w:rFonts w:hint="eastAsia"/>
                      <w:spacing w:val="-3"/>
                      <w:lang w:val="en-US" w:eastAsia="zh-CN"/>
                    </w:rPr>
                    <w:t>，3号子火区不涉及剥离工程。</w:t>
                  </w:r>
                </w:p>
              </w:tc>
              <w:tc>
                <w:tcPr>
                  <w:tcW w:w="935" w:type="dxa"/>
                  <w:noWrap w:val="0"/>
                  <w:vAlign w:val="center"/>
                </w:tcPr>
                <w:p w14:paraId="0CFFBAD0">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新建</w:t>
                  </w:r>
                </w:p>
              </w:tc>
            </w:tr>
            <w:tr w14:paraId="3826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640" w:type="dxa"/>
                  <w:vMerge w:val="continue"/>
                  <w:noWrap w:val="0"/>
                  <w:vAlign w:val="center"/>
                </w:tcPr>
                <w:p w14:paraId="281E3EB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13" w:type="dxa"/>
                  <w:gridSpan w:val="2"/>
                  <w:noWrap w:val="0"/>
                  <w:vAlign w:val="center"/>
                </w:tcPr>
                <w:p w14:paraId="31A631DC">
                  <w:pPr>
                    <w:keepNext w:val="0"/>
                    <w:keepLines w:val="0"/>
                    <w:suppressLineNumbers w:val="0"/>
                    <w:spacing w:before="0" w:beforeAutospacing="0" w:after="0" w:afterAutospacing="0"/>
                    <w:ind w:left="0" w:right="0"/>
                    <w:jc w:val="center"/>
                    <w:rPr>
                      <w:rFonts w:hint="eastAsia" w:cs="Times New Roman"/>
                      <w:color w:val="auto"/>
                      <w:sz w:val="21"/>
                      <w:szCs w:val="21"/>
                      <w:lang w:val="en-US" w:eastAsia="zh-CN"/>
                    </w:rPr>
                  </w:pPr>
                  <w:r>
                    <w:rPr>
                      <w:rFonts w:hint="eastAsia" w:cs="Times New Roman"/>
                      <w:color w:val="auto"/>
                      <w:sz w:val="21"/>
                      <w:szCs w:val="21"/>
                      <w:lang w:val="en-US" w:eastAsia="zh-CN"/>
                    </w:rPr>
                    <w:t>钻探工程</w:t>
                  </w:r>
                </w:p>
              </w:tc>
              <w:tc>
                <w:tcPr>
                  <w:tcW w:w="5353" w:type="dxa"/>
                  <w:noWrap w:val="0"/>
                  <w:vAlign w:val="center"/>
                </w:tcPr>
                <w:p w14:paraId="52BEAB87">
                  <w:pPr>
                    <w:keepNext w:val="0"/>
                    <w:keepLines w:val="0"/>
                    <w:suppressLineNumbers w:val="0"/>
                    <w:spacing w:before="0" w:beforeAutospacing="0" w:after="0" w:afterAutospacing="0"/>
                    <w:ind w:left="0" w:right="0"/>
                    <w:rPr>
                      <w:rFonts w:hint="default" w:cs="Times New Roman"/>
                      <w:color w:val="auto"/>
                      <w:spacing w:val="-1"/>
                      <w:sz w:val="21"/>
                      <w:szCs w:val="21"/>
                      <w:highlight w:val="none"/>
                      <w:lang w:val="en-US" w:eastAsia="zh-CN"/>
                    </w:rPr>
                  </w:pPr>
                  <w:r>
                    <w:rPr>
                      <w:rFonts w:hint="eastAsia"/>
                      <w:spacing w:val="-3"/>
                      <w:lang w:val="en-US" w:eastAsia="zh-CN"/>
                    </w:rPr>
                    <w:t>在已剥离成型的工作面上实施钻探工程，主要包括灭火钻孔和观测钻孔。1号子火区</w:t>
                  </w:r>
                  <w:r>
                    <w:rPr>
                      <w:rFonts w:hint="eastAsia" w:cs="Times New Roman"/>
                      <w:color w:val="auto"/>
                      <w:spacing w:val="-1"/>
                      <w:sz w:val="21"/>
                      <w:szCs w:val="21"/>
                      <w:highlight w:val="none"/>
                      <w:lang w:val="en-US" w:eastAsia="zh-CN"/>
                    </w:rPr>
                    <w:t>钻探工程量795m，</w:t>
                  </w:r>
                  <w:r>
                    <w:rPr>
                      <w:rFonts w:hint="eastAsia"/>
                      <w:spacing w:val="-3"/>
                      <w:lang w:val="en-US" w:eastAsia="zh-CN"/>
                    </w:rPr>
                    <w:t>2地子火区</w:t>
                  </w:r>
                  <w:r>
                    <w:rPr>
                      <w:rFonts w:hint="eastAsia" w:cs="Times New Roman"/>
                      <w:color w:val="auto"/>
                      <w:spacing w:val="-1"/>
                      <w:sz w:val="21"/>
                      <w:szCs w:val="21"/>
                      <w:highlight w:val="none"/>
                      <w:lang w:val="en-US" w:eastAsia="zh-CN"/>
                    </w:rPr>
                    <w:t>钻探工程量1027m，</w:t>
                  </w:r>
                  <w:r>
                    <w:rPr>
                      <w:rFonts w:hint="eastAsia"/>
                      <w:spacing w:val="-3"/>
                      <w:lang w:val="en-US" w:eastAsia="zh-CN"/>
                    </w:rPr>
                    <w:t>3号子火区</w:t>
                  </w:r>
                  <w:r>
                    <w:rPr>
                      <w:rFonts w:hint="eastAsia" w:cs="Times New Roman"/>
                      <w:color w:val="auto"/>
                      <w:spacing w:val="-1"/>
                      <w:sz w:val="21"/>
                      <w:szCs w:val="21"/>
                      <w:highlight w:val="none"/>
                      <w:lang w:val="en-US" w:eastAsia="zh-CN"/>
                    </w:rPr>
                    <w:t>钻探工程量280m。</w:t>
                  </w:r>
                </w:p>
              </w:tc>
              <w:tc>
                <w:tcPr>
                  <w:tcW w:w="935" w:type="dxa"/>
                  <w:noWrap w:val="0"/>
                  <w:vAlign w:val="center"/>
                </w:tcPr>
                <w:p w14:paraId="3A92287E">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新建</w:t>
                  </w:r>
                </w:p>
              </w:tc>
            </w:tr>
            <w:tr w14:paraId="0072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40" w:type="dxa"/>
                  <w:vMerge w:val="continue"/>
                  <w:noWrap w:val="0"/>
                  <w:vAlign w:val="center"/>
                </w:tcPr>
                <w:p w14:paraId="117C20B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13" w:type="dxa"/>
                  <w:gridSpan w:val="2"/>
                  <w:noWrap w:val="0"/>
                  <w:vAlign w:val="center"/>
                </w:tcPr>
                <w:p w14:paraId="210CF8CE">
                  <w:pPr>
                    <w:keepNext w:val="0"/>
                    <w:keepLines w:val="0"/>
                    <w:suppressLineNumbers w:val="0"/>
                    <w:spacing w:before="0" w:beforeAutospacing="0" w:after="0" w:afterAutospacing="0"/>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注水工程</w:t>
                  </w:r>
                </w:p>
              </w:tc>
              <w:tc>
                <w:tcPr>
                  <w:tcW w:w="5353" w:type="dxa"/>
                  <w:noWrap w:val="0"/>
                  <w:vAlign w:val="center"/>
                </w:tcPr>
                <w:p w14:paraId="29D9294A">
                  <w:pPr>
                    <w:keepNext w:val="0"/>
                    <w:keepLines w:val="0"/>
                    <w:suppressLineNumbers w:val="0"/>
                    <w:spacing w:before="0" w:beforeAutospacing="0" w:after="0" w:afterAutospacing="0"/>
                    <w:ind w:left="0" w:right="0"/>
                    <w:rPr>
                      <w:rFonts w:hint="default" w:cs="Times New Roman"/>
                      <w:color w:val="auto"/>
                      <w:spacing w:val="-1"/>
                      <w:sz w:val="21"/>
                      <w:szCs w:val="21"/>
                      <w:highlight w:val="none"/>
                      <w:lang w:val="en-US" w:eastAsia="zh-CN"/>
                    </w:rPr>
                  </w:pPr>
                  <w:r>
                    <w:rPr>
                      <w:rFonts w:hint="eastAsia"/>
                      <w:spacing w:val="-3"/>
                      <w:lang w:val="en-US" w:eastAsia="zh-CN"/>
                    </w:rPr>
                    <w:t>包括地面注水施工和钻孔注水施工。1号子火区</w:t>
                  </w:r>
                  <w:r>
                    <w:rPr>
                      <w:rFonts w:hint="eastAsia" w:cs="Times New Roman"/>
                      <w:color w:val="auto"/>
                      <w:sz w:val="21"/>
                      <w:szCs w:val="21"/>
                      <w:lang w:val="en-US" w:eastAsia="zh-CN"/>
                    </w:rPr>
                    <w:t>注水</w:t>
                  </w:r>
                  <w:r>
                    <w:rPr>
                      <w:rFonts w:hint="eastAsia" w:cs="Times New Roman"/>
                      <w:color w:val="auto"/>
                      <w:spacing w:val="-1"/>
                      <w:sz w:val="21"/>
                      <w:szCs w:val="21"/>
                      <w:highlight w:val="none"/>
                      <w:lang w:val="en-US" w:eastAsia="zh-CN"/>
                    </w:rPr>
                    <w:t>程量399</w:t>
                  </w:r>
                  <w:r>
                    <w:rPr>
                      <w:rFonts w:hint="eastAsia"/>
                      <w:spacing w:val="-3"/>
                      <w:lang w:val="en-US" w:eastAsia="zh-CN"/>
                    </w:rPr>
                    <w:t>m</w:t>
                  </w:r>
                  <w:r>
                    <w:rPr>
                      <w:rFonts w:hint="eastAsia"/>
                      <w:spacing w:val="-3"/>
                      <w:vertAlign w:val="superscript"/>
                      <w:lang w:val="en-US" w:eastAsia="zh-CN"/>
                    </w:rPr>
                    <w:t>3</w:t>
                  </w:r>
                  <w:r>
                    <w:rPr>
                      <w:rFonts w:hint="eastAsia" w:cs="Times New Roman"/>
                      <w:color w:val="auto"/>
                      <w:spacing w:val="-1"/>
                      <w:sz w:val="21"/>
                      <w:szCs w:val="21"/>
                      <w:highlight w:val="none"/>
                      <w:lang w:val="en-US" w:eastAsia="zh-CN"/>
                    </w:rPr>
                    <w:t>，</w:t>
                  </w:r>
                  <w:r>
                    <w:rPr>
                      <w:rFonts w:hint="eastAsia"/>
                      <w:spacing w:val="-3"/>
                      <w:lang w:val="en-US" w:eastAsia="zh-CN"/>
                    </w:rPr>
                    <w:t>2地子火区</w:t>
                  </w:r>
                  <w:r>
                    <w:rPr>
                      <w:rFonts w:hint="eastAsia" w:cs="Times New Roman"/>
                      <w:color w:val="auto"/>
                      <w:sz w:val="21"/>
                      <w:szCs w:val="21"/>
                      <w:lang w:val="en-US" w:eastAsia="zh-CN"/>
                    </w:rPr>
                    <w:t>注水</w:t>
                  </w:r>
                  <w:r>
                    <w:rPr>
                      <w:rFonts w:hint="eastAsia" w:cs="Times New Roman"/>
                      <w:color w:val="auto"/>
                      <w:spacing w:val="-1"/>
                      <w:sz w:val="21"/>
                      <w:szCs w:val="21"/>
                      <w:highlight w:val="none"/>
                      <w:lang w:val="en-US" w:eastAsia="zh-CN"/>
                    </w:rPr>
                    <w:t>工程量1256</w:t>
                  </w:r>
                  <w:r>
                    <w:rPr>
                      <w:rFonts w:hint="eastAsia"/>
                      <w:spacing w:val="-3"/>
                      <w:lang w:val="en-US" w:eastAsia="zh-CN"/>
                    </w:rPr>
                    <w:t>m</w:t>
                  </w:r>
                  <w:r>
                    <w:rPr>
                      <w:rFonts w:hint="eastAsia"/>
                      <w:spacing w:val="-3"/>
                      <w:vertAlign w:val="superscript"/>
                      <w:lang w:val="en-US" w:eastAsia="zh-CN"/>
                    </w:rPr>
                    <w:t>3</w:t>
                  </w:r>
                  <w:r>
                    <w:rPr>
                      <w:rFonts w:hint="eastAsia" w:cs="Times New Roman"/>
                      <w:color w:val="auto"/>
                      <w:spacing w:val="-1"/>
                      <w:sz w:val="21"/>
                      <w:szCs w:val="21"/>
                      <w:highlight w:val="none"/>
                      <w:lang w:val="en-US" w:eastAsia="zh-CN"/>
                    </w:rPr>
                    <w:t>，</w:t>
                  </w:r>
                  <w:r>
                    <w:rPr>
                      <w:rFonts w:hint="eastAsia"/>
                      <w:spacing w:val="-3"/>
                      <w:lang w:val="en-US" w:eastAsia="zh-CN"/>
                    </w:rPr>
                    <w:t>3号子火区</w:t>
                  </w:r>
                  <w:r>
                    <w:rPr>
                      <w:rFonts w:hint="eastAsia" w:cs="Times New Roman"/>
                      <w:color w:val="auto"/>
                      <w:sz w:val="21"/>
                      <w:szCs w:val="21"/>
                      <w:lang w:val="en-US" w:eastAsia="zh-CN"/>
                    </w:rPr>
                    <w:t>注水</w:t>
                  </w:r>
                  <w:r>
                    <w:rPr>
                      <w:rFonts w:hint="eastAsia" w:cs="Times New Roman"/>
                      <w:color w:val="auto"/>
                      <w:spacing w:val="-1"/>
                      <w:sz w:val="21"/>
                      <w:szCs w:val="21"/>
                      <w:highlight w:val="none"/>
                      <w:lang w:val="en-US" w:eastAsia="zh-CN"/>
                    </w:rPr>
                    <w:t>工程量106</w:t>
                  </w:r>
                  <w:r>
                    <w:rPr>
                      <w:rFonts w:hint="eastAsia"/>
                      <w:spacing w:val="-3"/>
                      <w:lang w:val="en-US" w:eastAsia="zh-CN"/>
                    </w:rPr>
                    <w:t>m</w:t>
                  </w:r>
                  <w:r>
                    <w:rPr>
                      <w:rFonts w:hint="eastAsia"/>
                      <w:spacing w:val="-3"/>
                      <w:vertAlign w:val="superscript"/>
                      <w:lang w:val="en-US" w:eastAsia="zh-CN"/>
                    </w:rPr>
                    <w:t>3</w:t>
                  </w:r>
                  <w:r>
                    <w:rPr>
                      <w:rFonts w:hint="eastAsia" w:cs="Times New Roman"/>
                      <w:color w:val="auto"/>
                      <w:spacing w:val="-1"/>
                      <w:sz w:val="21"/>
                      <w:szCs w:val="21"/>
                      <w:highlight w:val="none"/>
                      <w:lang w:val="en-US" w:eastAsia="zh-CN"/>
                    </w:rPr>
                    <w:t>。</w:t>
                  </w:r>
                </w:p>
              </w:tc>
              <w:tc>
                <w:tcPr>
                  <w:tcW w:w="935" w:type="dxa"/>
                  <w:noWrap w:val="0"/>
                  <w:vAlign w:val="center"/>
                </w:tcPr>
                <w:p w14:paraId="08D211BF">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新建</w:t>
                  </w:r>
                </w:p>
              </w:tc>
            </w:tr>
            <w:tr w14:paraId="6424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640" w:type="dxa"/>
                  <w:vMerge w:val="continue"/>
                  <w:noWrap w:val="0"/>
                  <w:vAlign w:val="center"/>
                </w:tcPr>
                <w:p w14:paraId="67C790F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13" w:type="dxa"/>
                  <w:gridSpan w:val="2"/>
                  <w:noWrap w:val="0"/>
                  <w:vAlign w:val="center"/>
                </w:tcPr>
                <w:p w14:paraId="650DDC62">
                  <w:pPr>
                    <w:keepNext w:val="0"/>
                    <w:keepLines w:val="0"/>
                    <w:suppressLineNumbers w:val="0"/>
                    <w:spacing w:before="0" w:beforeAutospacing="0" w:after="0" w:afterAutospacing="0"/>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注浆工程</w:t>
                  </w:r>
                </w:p>
              </w:tc>
              <w:tc>
                <w:tcPr>
                  <w:tcW w:w="5353" w:type="dxa"/>
                  <w:noWrap w:val="0"/>
                  <w:vAlign w:val="center"/>
                </w:tcPr>
                <w:p w14:paraId="3DF8592C">
                  <w:pPr>
                    <w:keepNext w:val="0"/>
                    <w:keepLines w:val="0"/>
                    <w:suppressLineNumbers w:val="0"/>
                    <w:spacing w:before="0" w:beforeAutospacing="0" w:after="0" w:afterAutospacing="0"/>
                    <w:ind w:left="0" w:right="0"/>
                    <w:rPr>
                      <w:rFonts w:hint="default" w:cs="Times New Roman"/>
                      <w:color w:val="auto"/>
                      <w:spacing w:val="-1"/>
                      <w:sz w:val="21"/>
                      <w:szCs w:val="21"/>
                      <w:highlight w:val="none"/>
                      <w:lang w:val="en-US" w:eastAsia="zh-CN"/>
                    </w:rPr>
                  </w:pPr>
                  <w:r>
                    <w:rPr>
                      <w:rFonts w:hint="default"/>
                      <w:spacing w:val="-4"/>
                    </w:rPr>
                    <w:t>通过地表、鱼鳞坑、裂隙和钻孔</w:t>
                  </w:r>
                  <w:r>
                    <w:rPr>
                      <w:rFonts w:hint="default"/>
                      <w:spacing w:val="-40"/>
                    </w:rPr>
                    <w:t xml:space="preserve"> </w:t>
                  </w:r>
                  <w:r>
                    <w:rPr>
                      <w:rFonts w:hint="default"/>
                      <w:spacing w:val="-4"/>
                    </w:rPr>
                    <w:t>，向火区注入配置好</w:t>
                  </w:r>
                  <w:r>
                    <w:rPr>
                      <w:rFonts w:hint="default"/>
                      <w:spacing w:val="-5"/>
                    </w:rPr>
                    <w:t>的惰性充填材料，起到</w:t>
                  </w:r>
                  <w:r>
                    <w:rPr>
                      <w:rFonts w:hint="default"/>
                      <w:spacing w:val="-3"/>
                    </w:rPr>
                    <w:t>封闭火区裂隙的作用</w:t>
                  </w:r>
                  <w:r>
                    <w:rPr>
                      <w:rFonts w:hint="eastAsia"/>
                      <w:spacing w:val="-3"/>
                      <w:lang w:eastAsia="zh-CN"/>
                    </w:rPr>
                    <w:t>，</w:t>
                  </w:r>
                  <w:r>
                    <w:rPr>
                      <w:rFonts w:hint="eastAsia"/>
                      <w:spacing w:val="-3"/>
                      <w:lang w:val="en-US" w:eastAsia="zh-CN"/>
                    </w:rPr>
                    <w:t>包括地表注浆和深部注浆。采用地面固定式灌浆系统，</w:t>
                  </w:r>
                  <w:r>
                    <w:rPr>
                      <w:rFonts w:hint="default"/>
                      <w:spacing w:val="-4"/>
                    </w:rPr>
                    <w:t>由浆料储存场地连续</w:t>
                  </w:r>
                  <w:r>
                    <w:rPr>
                      <w:rFonts w:hint="default"/>
                      <w:spacing w:val="-5"/>
                    </w:rPr>
                    <w:t>式定量制浆、计量、输浆及</w:t>
                  </w:r>
                  <w:r>
                    <w:rPr>
                      <w:rFonts w:hint="default"/>
                      <w:spacing w:val="-1"/>
                    </w:rPr>
                    <w:t>管网系统等部分组成。</w:t>
                  </w:r>
                  <w:r>
                    <w:rPr>
                      <w:rFonts w:hint="eastAsia"/>
                      <w:spacing w:val="-3"/>
                      <w:lang w:val="en-US" w:eastAsia="zh-CN"/>
                    </w:rPr>
                    <w:t>1号子火区</w:t>
                  </w:r>
                  <w:r>
                    <w:rPr>
                      <w:rFonts w:hint="eastAsia" w:cs="Times New Roman"/>
                      <w:color w:val="auto"/>
                      <w:sz w:val="21"/>
                      <w:szCs w:val="21"/>
                      <w:lang w:val="en-US" w:eastAsia="zh-CN"/>
                    </w:rPr>
                    <w:t>注浆</w:t>
                  </w:r>
                  <w:r>
                    <w:rPr>
                      <w:rFonts w:hint="eastAsia" w:cs="Times New Roman"/>
                      <w:color w:val="auto"/>
                      <w:spacing w:val="-1"/>
                      <w:sz w:val="21"/>
                      <w:szCs w:val="21"/>
                      <w:highlight w:val="none"/>
                      <w:lang w:val="en-US" w:eastAsia="zh-CN"/>
                    </w:rPr>
                    <w:t>工程量9098</w:t>
                  </w:r>
                  <w:r>
                    <w:rPr>
                      <w:rFonts w:hint="eastAsia"/>
                      <w:spacing w:val="-3"/>
                      <w:lang w:val="en-US" w:eastAsia="zh-CN"/>
                    </w:rPr>
                    <w:t>m</w:t>
                  </w:r>
                  <w:r>
                    <w:rPr>
                      <w:rFonts w:hint="eastAsia"/>
                      <w:spacing w:val="-3"/>
                      <w:vertAlign w:val="superscript"/>
                      <w:lang w:val="en-US" w:eastAsia="zh-CN"/>
                    </w:rPr>
                    <w:t>3</w:t>
                  </w:r>
                  <w:r>
                    <w:rPr>
                      <w:rFonts w:hint="eastAsia" w:cs="Times New Roman"/>
                      <w:color w:val="auto"/>
                      <w:spacing w:val="-1"/>
                      <w:sz w:val="21"/>
                      <w:szCs w:val="21"/>
                      <w:highlight w:val="none"/>
                      <w:lang w:val="en-US" w:eastAsia="zh-CN"/>
                    </w:rPr>
                    <w:t>，</w:t>
                  </w:r>
                  <w:r>
                    <w:rPr>
                      <w:rFonts w:hint="eastAsia"/>
                      <w:spacing w:val="-3"/>
                      <w:lang w:val="en-US" w:eastAsia="zh-CN"/>
                    </w:rPr>
                    <w:t>2地子火区</w:t>
                  </w:r>
                  <w:r>
                    <w:rPr>
                      <w:rFonts w:hint="eastAsia" w:cs="Times New Roman"/>
                      <w:color w:val="auto"/>
                      <w:sz w:val="21"/>
                      <w:szCs w:val="21"/>
                      <w:lang w:val="en-US" w:eastAsia="zh-CN"/>
                    </w:rPr>
                    <w:t>注浆</w:t>
                  </w:r>
                  <w:r>
                    <w:rPr>
                      <w:rFonts w:hint="eastAsia" w:cs="Times New Roman"/>
                      <w:color w:val="auto"/>
                      <w:spacing w:val="-1"/>
                      <w:sz w:val="21"/>
                      <w:szCs w:val="21"/>
                      <w:highlight w:val="none"/>
                      <w:lang w:val="en-US" w:eastAsia="zh-CN"/>
                    </w:rPr>
                    <w:t>工程量9960</w:t>
                  </w:r>
                  <w:r>
                    <w:rPr>
                      <w:rFonts w:hint="eastAsia"/>
                      <w:spacing w:val="-3"/>
                      <w:lang w:val="en-US" w:eastAsia="zh-CN"/>
                    </w:rPr>
                    <w:t>m</w:t>
                  </w:r>
                  <w:r>
                    <w:rPr>
                      <w:rFonts w:hint="eastAsia"/>
                      <w:spacing w:val="-3"/>
                      <w:vertAlign w:val="superscript"/>
                      <w:lang w:val="en-US" w:eastAsia="zh-CN"/>
                    </w:rPr>
                    <w:t>3</w:t>
                  </w:r>
                  <w:r>
                    <w:rPr>
                      <w:rFonts w:hint="eastAsia" w:cs="Times New Roman"/>
                      <w:color w:val="auto"/>
                      <w:spacing w:val="-1"/>
                      <w:sz w:val="21"/>
                      <w:szCs w:val="21"/>
                      <w:highlight w:val="none"/>
                      <w:lang w:val="en-US" w:eastAsia="zh-CN"/>
                    </w:rPr>
                    <w:t>，</w:t>
                  </w:r>
                  <w:r>
                    <w:rPr>
                      <w:rFonts w:hint="eastAsia"/>
                      <w:spacing w:val="-3"/>
                      <w:lang w:val="en-US" w:eastAsia="zh-CN"/>
                    </w:rPr>
                    <w:t>3号子火区</w:t>
                  </w:r>
                  <w:r>
                    <w:rPr>
                      <w:rFonts w:hint="eastAsia" w:cs="Times New Roman"/>
                      <w:color w:val="auto"/>
                      <w:sz w:val="21"/>
                      <w:szCs w:val="21"/>
                      <w:lang w:val="en-US" w:eastAsia="zh-CN"/>
                    </w:rPr>
                    <w:t>注浆</w:t>
                  </w:r>
                  <w:r>
                    <w:rPr>
                      <w:rFonts w:hint="eastAsia" w:cs="Times New Roman"/>
                      <w:color w:val="auto"/>
                      <w:spacing w:val="-1"/>
                      <w:sz w:val="21"/>
                      <w:szCs w:val="21"/>
                      <w:highlight w:val="none"/>
                      <w:lang w:val="en-US" w:eastAsia="zh-CN"/>
                    </w:rPr>
                    <w:t>工程量2628</w:t>
                  </w:r>
                  <w:r>
                    <w:rPr>
                      <w:rFonts w:hint="eastAsia"/>
                      <w:spacing w:val="-3"/>
                      <w:lang w:val="en-US" w:eastAsia="zh-CN"/>
                    </w:rPr>
                    <w:t>m</w:t>
                  </w:r>
                  <w:r>
                    <w:rPr>
                      <w:rFonts w:hint="eastAsia"/>
                      <w:spacing w:val="-3"/>
                      <w:vertAlign w:val="superscript"/>
                      <w:lang w:val="en-US" w:eastAsia="zh-CN"/>
                    </w:rPr>
                    <w:t>3</w:t>
                  </w:r>
                  <w:r>
                    <w:rPr>
                      <w:rFonts w:hint="eastAsia" w:cs="Times New Roman"/>
                      <w:color w:val="auto"/>
                      <w:spacing w:val="-1"/>
                      <w:sz w:val="21"/>
                      <w:szCs w:val="21"/>
                      <w:highlight w:val="none"/>
                      <w:lang w:val="en-US" w:eastAsia="zh-CN"/>
                    </w:rPr>
                    <w:t>。</w:t>
                  </w:r>
                </w:p>
              </w:tc>
              <w:tc>
                <w:tcPr>
                  <w:tcW w:w="935" w:type="dxa"/>
                  <w:noWrap w:val="0"/>
                  <w:vAlign w:val="center"/>
                </w:tcPr>
                <w:p w14:paraId="42DBE9DD">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新建</w:t>
                  </w:r>
                </w:p>
              </w:tc>
            </w:tr>
            <w:tr w14:paraId="7D3D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40" w:type="dxa"/>
                  <w:vMerge w:val="continue"/>
                  <w:noWrap w:val="0"/>
                  <w:vAlign w:val="center"/>
                </w:tcPr>
                <w:p w14:paraId="6E56AB0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13" w:type="dxa"/>
                  <w:gridSpan w:val="2"/>
                  <w:noWrap w:val="0"/>
                  <w:vAlign w:val="center"/>
                </w:tcPr>
                <w:p w14:paraId="3AD65C31">
                  <w:pPr>
                    <w:keepNext w:val="0"/>
                    <w:keepLines w:val="0"/>
                    <w:suppressLineNumbers w:val="0"/>
                    <w:spacing w:before="0" w:beforeAutospacing="0" w:after="0" w:afterAutospacing="0"/>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覆盖工程</w:t>
                  </w:r>
                </w:p>
              </w:tc>
              <w:tc>
                <w:tcPr>
                  <w:tcW w:w="5353" w:type="dxa"/>
                  <w:noWrap w:val="0"/>
                  <w:vAlign w:val="center"/>
                </w:tcPr>
                <w:p w14:paraId="3D129E16">
                  <w:pPr>
                    <w:keepNext w:val="0"/>
                    <w:keepLines w:val="0"/>
                    <w:suppressLineNumbers w:val="0"/>
                    <w:spacing w:before="0" w:beforeAutospacing="0" w:after="0" w:afterAutospacing="0"/>
                    <w:ind w:left="0" w:right="0"/>
                    <w:rPr>
                      <w:rFonts w:hint="default" w:cs="Times New Roman"/>
                      <w:color w:val="auto"/>
                      <w:spacing w:val="-1"/>
                      <w:sz w:val="21"/>
                      <w:szCs w:val="21"/>
                      <w:highlight w:val="none"/>
                      <w:lang w:val="en-US" w:eastAsia="zh-CN"/>
                    </w:rPr>
                  </w:pPr>
                  <w:r>
                    <w:rPr>
                      <w:rFonts w:hint="default"/>
                      <w:spacing w:val="-3"/>
                    </w:rPr>
                    <w:t>通过对火区地表用黄土等具有一定密实性的惰性</w:t>
                  </w:r>
                  <w:r>
                    <w:rPr>
                      <w:rFonts w:hint="default"/>
                      <w:spacing w:val="-4"/>
                    </w:rPr>
                    <w:t>材料进行覆盖，起到密</w:t>
                  </w:r>
                  <w:r>
                    <w:rPr>
                      <w:rFonts w:hint="default"/>
                      <w:spacing w:val="-3"/>
                    </w:rPr>
                    <w:t>闭火区和隔绝氧气的作用</w:t>
                  </w:r>
                  <w:r>
                    <w:rPr>
                      <w:rFonts w:hint="eastAsia"/>
                      <w:spacing w:val="-3"/>
                      <w:lang w:eastAsia="zh-CN"/>
                    </w:rPr>
                    <w:t>。</w:t>
                  </w:r>
                  <w:r>
                    <w:rPr>
                      <w:rFonts w:hint="eastAsia"/>
                      <w:spacing w:val="-3"/>
                      <w:lang w:val="en-US" w:eastAsia="zh-CN"/>
                    </w:rPr>
                    <w:t>1号子火区、2地子火区</w:t>
                  </w:r>
                  <w:r>
                    <w:rPr>
                      <w:rFonts w:hint="eastAsia" w:cs="Times New Roman"/>
                      <w:color w:val="auto"/>
                      <w:sz w:val="21"/>
                      <w:szCs w:val="21"/>
                      <w:lang w:val="en-US" w:eastAsia="zh-CN"/>
                    </w:rPr>
                    <w:t>、</w:t>
                  </w:r>
                  <w:r>
                    <w:rPr>
                      <w:rFonts w:hint="eastAsia"/>
                      <w:spacing w:val="-3"/>
                      <w:lang w:val="en-US" w:eastAsia="zh-CN"/>
                    </w:rPr>
                    <w:t>3号子火区</w:t>
                  </w:r>
                  <w:r>
                    <w:rPr>
                      <w:rFonts w:hint="eastAsia" w:cs="Times New Roman"/>
                      <w:color w:val="auto"/>
                      <w:sz w:val="21"/>
                      <w:szCs w:val="21"/>
                      <w:lang w:val="en-US" w:eastAsia="zh-CN"/>
                    </w:rPr>
                    <w:t>覆盖</w:t>
                  </w:r>
                  <w:r>
                    <w:rPr>
                      <w:rFonts w:hint="eastAsia" w:cs="Times New Roman"/>
                      <w:color w:val="auto"/>
                      <w:spacing w:val="-1"/>
                      <w:sz w:val="21"/>
                      <w:szCs w:val="21"/>
                      <w:highlight w:val="none"/>
                      <w:lang w:val="en-US" w:eastAsia="zh-CN"/>
                    </w:rPr>
                    <w:t>工程量合计30000</w:t>
                  </w:r>
                  <w:r>
                    <w:rPr>
                      <w:rFonts w:hint="eastAsia"/>
                      <w:spacing w:val="-3"/>
                      <w:lang w:val="en-US" w:eastAsia="zh-CN"/>
                    </w:rPr>
                    <w:t>m</w:t>
                  </w:r>
                  <w:r>
                    <w:rPr>
                      <w:rFonts w:hint="eastAsia"/>
                      <w:spacing w:val="-3"/>
                      <w:vertAlign w:val="superscript"/>
                      <w:lang w:val="en-US" w:eastAsia="zh-CN"/>
                    </w:rPr>
                    <w:t>3</w:t>
                  </w:r>
                  <w:r>
                    <w:rPr>
                      <w:rFonts w:hint="eastAsia" w:cs="Times New Roman"/>
                      <w:color w:val="auto"/>
                      <w:spacing w:val="-1"/>
                      <w:sz w:val="21"/>
                      <w:szCs w:val="21"/>
                      <w:highlight w:val="none"/>
                      <w:lang w:val="en-US" w:eastAsia="zh-CN"/>
                    </w:rPr>
                    <w:t>。</w:t>
                  </w:r>
                </w:p>
              </w:tc>
              <w:tc>
                <w:tcPr>
                  <w:tcW w:w="935" w:type="dxa"/>
                  <w:noWrap w:val="0"/>
                  <w:vAlign w:val="center"/>
                </w:tcPr>
                <w:p w14:paraId="3E222BFD">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新建</w:t>
                  </w:r>
                </w:p>
              </w:tc>
            </w:tr>
            <w:tr w14:paraId="4B44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40" w:type="dxa"/>
                  <w:vMerge w:val="restart"/>
                  <w:noWrap w:val="0"/>
                  <w:vAlign w:val="center"/>
                </w:tcPr>
                <w:p w14:paraId="4860B34F">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辅助工程</w:t>
                  </w:r>
                </w:p>
              </w:tc>
              <w:tc>
                <w:tcPr>
                  <w:tcW w:w="1413" w:type="dxa"/>
                  <w:gridSpan w:val="2"/>
                  <w:noWrap w:val="0"/>
                  <w:vAlign w:val="center"/>
                </w:tcPr>
                <w:p w14:paraId="27B746BB">
                  <w:pPr>
                    <w:keepNext w:val="0"/>
                    <w:keepLines w:val="0"/>
                    <w:suppressLineNumbers w:val="0"/>
                    <w:spacing w:before="0" w:beforeAutospacing="0" w:after="0" w:afterAutospacing="0"/>
                    <w:ind w:left="0" w:right="0"/>
                    <w:jc w:val="center"/>
                    <w:rPr>
                      <w:rFonts w:hint="default"/>
                      <w:spacing w:val="-3"/>
                      <w:lang w:val="en-US" w:eastAsia="zh-CN"/>
                    </w:rPr>
                  </w:pPr>
                  <w:r>
                    <w:rPr>
                      <w:rFonts w:hint="eastAsia"/>
                      <w:spacing w:val="-3"/>
                      <w:lang w:val="en-US" w:eastAsia="zh-CN"/>
                    </w:rPr>
                    <w:t>简易道路</w:t>
                  </w:r>
                </w:p>
              </w:tc>
              <w:tc>
                <w:tcPr>
                  <w:tcW w:w="5353" w:type="dxa"/>
                  <w:noWrap w:val="0"/>
                  <w:vAlign w:val="center"/>
                </w:tcPr>
                <w:p w14:paraId="78E13E33">
                  <w:pPr>
                    <w:keepNext w:val="0"/>
                    <w:keepLines w:val="0"/>
                    <w:suppressLineNumbers w:val="0"/>
                    <w:spacing w:before="0" w:beforeAutospacing="0" w:after="0" w:afterAutospacing="0"/>
                    <w:ind w:left="0" w:right="0"/>
                    <w:rPr>
                      <w:rFonts w:hint="default"/>
                      <w:spacing w:val="-3"/>
                      <w:lang w:val="en-US" w:eastAsia="zh-CN"/>
                    </w:rPr>
                  </w:pPr>
                  <w:r>
                    <w:rPr>
                      <w:rFonts w:hint="default"/>
                      <w:spacing w:val="-3"/>
                      <w:lang w:val="en-US" w:eastAsia="zh-CN"/>
                    </w:rPr>
                    <w:t>火区区域内部已有现有简易道路，砂石路面，与火区东侧甘河子河沿河的沥青道路相接，土源地区域内也有简易道路到达火区范围。</w:t>
                  </w:r>
                  <w:r>
                    <w:rPr>
                      <w:rFonts w:hint="default"/>
                      <w:spacing w:val="-3"/>
                    </w:rPr>
                    <w:t>台阶间的坡道根据运量和行车密度的要求采用矿山三级道路单车道标准。</w:t>
                  </w:r>
                </w:p>
              </w:tc>
              <w:tc>
                <w:tcPr>
                  <w:tcW w:w="935" w:type="dxa"/>
                  <w:noWrap w:val="0"/>
                  <w:vAlign w:val="center"/>
                </w:tcPr>
                <w:p w14:paraId="39C079D2">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新建</w:t>
                  </w:r>
                </w:p>
              </w:tc>
            </w:tr>
            <w:tr w14:paraId="1C5D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640" w:type="dxa"/>
                  <w:vMerge w:val="continue"/>
                  <w:noWrap w:val="0"/>
                  <w:vAlign w:val="center"/>
                </w:tcPr>
                <w:p w14:paraId="0C13FD24">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p>
              </w:tc>
              <w:tc>
                <w:tcPr>
                  <w:tcW w:w="1413" w:type="dxa"/>
                  <w:gridSpan w:val="2"/>
                  <w:noWrap w:val="0"/>
                  <w:vAlign w:val="center"/>
                </w:tcPr>
                <w:p w14:paraId="5905745D">
                  <w:pPr>
                    <w:keepNext w:val="0"/>
                    <w:keepLines w:val="0"/>
                    <w:suppressLineNumbers w:val="0"/>
                    <w:spacing w:before="0" w:beforeAutospacing="0" w:after="0" w:afterAutospacing="0"/>
                    <w:ind w:left="0" w:right="0"/>
                    <w:jc w:val="center"/>
                    <w:rPr>
                      <w:rFonts w:hint="default"/>
                      <w:spacing w:val="-3"/>
                      <w:lang w:val="en-US" w:eastAsia="zh-CN"/>
                    </w:rPr>
                  </w:pPr>
                  <w:r>
                    <w:rPr>
                      <w:rFonts w:hint="eastAsia"/>
                      <w:spacing w:val="-3"/>
                      <w:lang w:val="en-US" w:eastAsia="zh-CN"/>
                    </w:rPr>
                    <w:t>采土场</w:t>
                  </w:r>
                </w:p>
              </w:tc>
              <w:tc>
                <w:tcPr>
                  <w:tcW w:w="5353" w:type="dxa"/>
                  <w:noWrap w:val="0"/>
                  <w:vAlign w:val="center"/>
                </w:tcPr>
                <w:p w14:paraId="73DA79D2">
                  <w:pPr>
                    <w:keepNext w:val="0"/>
                    <w:keepLines w:val="0"/>
                    <w:suppressLineNumbers w:val="0"/>
                    <w:spacing w:before="0" w:beforeAutospacing="0" w:after="0" w:afterAutospacing="0"/>
                    <w:ind w:left="0" w:right="0"/>
                    <w:jc w:val="left"/>
                    <w:rPr>
                      <w:rFonts w:hint="default"/>
                      <w:spacing w:val="-3"/>
                      <w:lang w:val="en-US" w:eastAsia="zh-CN"/>
                    </w:rPr>
                  </w:pPr>
                  <w:r>
                    <w:rPr>
                      <w:rFonts w:hint="default"/>
                      <w:spacing w:val="-3"/>
                      <w:lang w:val="en-US" w:eastAsia="zh-CN"/>
                    </w:rPr>
                    <w:t>土源地位于1号子火区东南方，距1号子火区运距约600m，距2地子火区运距约1200m，距3号子火区运距约1500m 。该处黄土不含可燃及助燃材料，直径不大于2mm ，含砂量适中， 高差2-5m，面积</w:t>
                  </w:r>
                  <w:r>
                    <w:rPr>
                      <w:rFonts w:hint="eastAsia"/>
                      <w:spacing w:val="-3"/>
                      <w:lang w:val="en-US" w:eastAsia="zh-CN"/>
                    </w:rPr>
                    <w:t>17230</w:t>
                  </w:r>
                  <w:r>
                    <w:rPr>
                      <w:rFonts w:hint="default"/>
                      <w:spacing w:val="-3"/>
                      <w:lang w:val="en-US" w:eastAsia="zh-CN"/>
                    </w:rPr>
                    <w:t>m</w:t>
                  </w:r>
                  <w:r>
                    <w:rPr>
                      <w:rFonts w:hint="default"/>
                      <w:spacing w:val="-3"/>
                      <w:vertAlign w:val="superscript"/>
                      <w:lang w:val="en-US" w:eastAsia="zh-CN"/>
                    </w:rPr>
                    <w:t>2</w:t>
                  </w:r>
                  <w:r>
                    <w:rPr>
                      <w:rFonts w:hint="default"/>
                      <w:spacing w:val="-3"/>
                      <w:lang w:val="en-US" w:eastAsia="zh-CN"/>
                    </w:rPr>
                    <w:t>，土资源充足，可满足灭火需求。</w:t>
                  </w:r>
                </w:p>
              </w:tc>
              <w:tc>
                <w:tcPr>
                  <w:tcW w:w="935" w:type="dxa"/>
                  <w:noWrap w:val="0"/>
                  <w:vAlign w:val="center"/>
                </w:tcPr>
                <w:p w14:paraId="1B9F0C0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rPr>
                  </w:pPr>
                  <w:r>
                    <w:rPr>
                      <w:rFonts w:hint="eastAsia" w:ascii="Times New Roman" w:hAnsi="Times New Roman" w:cs="Times New Roman"/>
                      <w:color w:val="auto"/>
                      <w:sz w:val="21"/>
                      <w:szCs w:val="21"/>
                    </w:rPr>
                    <w:t>新建</w:t>
                  </w:r>
                </w:p>
              </w:tc>
            </w:tr>
            <w:tr w14:paraId="796E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40" w:type="dxa"/>
                  <w:vMerge w:val="continue"/>
                  <w:noWrap w:val="0"/>
                  <w:vAlign w:val="center"/>
                </w:tcPr>
                <w:p w14:paraId="39FE4634">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p>
              </w:tc>
              <w:tc>
                <w:tcPr>
                  <w:tcW w:w="1413" w:type="dxa"/>
                  <w:gridSpan w:val="2"/>
                  <w:noWrap w:val="0"/>
                  <w:vAlign w:val="center"/>
                </w:tcPr>
                <w:p w14:paraId="041CFCD3">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排土场</w:t>
                  </w:r>
                </w:p>
              </w:tc>
              <w:tc>
                <w:tcPr>
                  <w:tcW w:w="5353" w:type="dxa"/>
                  <w:noWrap w:val="0"/>
                  <w:vAlign w:val="center"/>
                </w:tcPr>
                <w:p w14:paraId="626DDE11">
                  <w:pPr>
                    <w:keepNext w:val="0"/>
                    <w:keepLines w:val="0"/>
                    <w:suppressLineNumbers w:val="0"/>
                    <w:spacing w:before="0" w:beforeAutospacing="0" w:after="0" w:afterAutospacing="0"/>
                    <w:ind w:left="0" w:right="0"/>
                    <w:jc w:val="left"/>
                    <w:rPr>
                      <w:rFonts w:hint="eastAsia"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剥离工程剥离土方不外排，剥离台阶土方直接向低处甩方自然堆弃，不设置排土场。</w:t>
                  </w:r>
                </w:p>
              </w:tc>
              <w:tc>
                <w:tcPr>
                  <w:tcW w:w="935" w:type="dxa"/>
                  <w:noWrap w:val="0"/>
                  <w:vAlign w:val="center"/>
                </w:tcPr>
                <w:p w14:paraId="0402C74B">
                  <w:pPr>
                    <w:keepNext w:val="0"/>
                    <w:keepLines w:val="0"/>
                    <w:suppressLineNumbers w:val="0"/>
                    <w:spacing w:before="0" w:beforeAutospacing="0" w:after="0" w:afterAutospacing="0"/>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w:t>
                  </w:r>
                </w:p>
              </w:tc>
            </w:tr>
            <w:tr w14:paraId="01B2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40" w:type="dxa"/>
                  <w:vMerge w:val="continue"/>
                  <w:noWrap w:val="0"/>
                  <w:vAlign w:val="center"/>
                </w:tcPr>
                <w:p w14:paraId="2E1A843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p>
              </w:tc>
              <w:tc>
                <w:tcPr>
                  <w:tcW w:w="1413" w:type="dxa"/>
                  <w:gridSpan w:val="2"/>
                  <w:noWrap w:val="0"/>
                  <w:vAlign w:val="center"/>
                </w:tcPr>
                <w:p w14:paraId="4B692542">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泵房</w:t>
                  </w:r>
                </w:p>
              </w:tc>
              <w:tc>
                <w:tcPr>
                  <w:tcW w:w="5353" w:type="dxa"/>
                  <w:noWrap w:val="0"/>
                  <w:vAlign w:val="center"/>
                </w:tcPr>
                <w:p w14:paraId="062877E5">
                  <w:pPr>
                    <w:keepNext w:val="0"/>
                    <w:keepLines w:val="0"/>
                    <w:suppressLineNumbers w:val="0"/>
                    <w:spacing w:before="0" w:beforeAutospacing="0" w:after="0" w:afterAutospacing="0"/>
                    <w:ind w:left="0" w:right="0"/>
                    <w:jc w:val="left"/>
                    <w:rPr>
                      <w:rFonts w:hint="eastAsia"/>
                      <w:spacing w:val="-3"/>
                      <w:lang w:val="en-US" w:eastAsia="zh-CN"/>
                    </w:rPr>
                  </w:pPr>
                  <w:r>
                    <w:rPr>
                      <w:rFonts w:hint="eastAsia"/>
                      <w:spacing w:val="-3"/>
                      <w:lang w:val="en-US" w:eastAsia="zh-CN"/>
                    </w:rPr>
                    <w:t>设计在距离火区2km水坑积水处建1 座V= 100m</w:t>
                  </w:r>
                  <w:r>
                    <w:rPr>
                      <w:rFonts w:hint="eastAsia"/>
                      <w:spacing w:val="-3"/>
                      <w:vertAlign w:val="superscript"/>
                      <w:lang w:val="en-US" w:eastAsia="zh-CN"/>
                    </w:rPr>
                    <w:t>3</w:t>
                  </w:r>
                  <w:r>
                    <w:rPr>
                      <w:rFonts w:hint="eastAsia"/>
                      <w:spacing w:val="-3"/>
                      <w:lang w:val="en-US" w:eastAsia="zh-CN"/>
                    </w:rPr>
                    <w:t>、8m</w:t>
                  </w:r>
                  <w:r>
                    <w:rPr>
                      <w:rFonts w:hint="default"/>
                      <w:spacing w:val="-3"/>
                      <w:lang w:val="en-US" w:eastAsia="zh-CN"/>
                    </w:rPr>
                    <w:t>×</w:t>
                  </w:r>
                  <w:r>
                    <w:rPr>
                      <w:rFonts w:hint="eastAsia"/>
                      <w:spacing w:val="-3"/>
                      <w:lang w:val="en-US" w:eastAsia="zh-CN"/>
                    </w:rPr>
                    <w:t>4m</w:t>
                  </w:r>
                  <w:r>
                    <w:rPr>
                      <w:rFonts w:hint="default"/>
                      <w:spacing w:val="-3"/>
                      <w:lang w:val="en-US" w:eastAsia="zh-CN"/>
                    </w:rPr>
                    <w:t>×</w:t>
                  </w:r>
                  <w:r>
                    <w:rPr>
                      <w:rFonts w:hint="eastAsia"/>
                      <w:spacing w:val="-3"/>
                      <w:lang w:val="en-US" w:eastAsia="zh-CN"/>
                    </w:rPr>
                    <w:t>3.5m蓄水池，给水泵房内安装2台加压水泵将矿界外西北方水坑积水提升至灭火工区。</w:t>
                  </w:r>
                </w:p>
                <w:p w14:paraId="1968294A">
                  <w:pPr>
                    <w:keepNext w:val="0"/>
                    <w:keepLines w:val="0"/>
                    <w:suppressLineNumbers w:val="0"/>
                    <w:spacing w:before="0" w:beforeAutospacing="0" w:after="0" w:afterAutospacing="0"/>
                    <w:ind w:left="0" w:right="0"/>
                    <w:jc w:val="left"/>
                    <w:rPr>
                      <w:rFonts w:hint="eastAsia" w:cs="Times New Roman"/>
                      <w:color w:val="auto"/>
                      <w:kern w:val="0"/>
                      <w:sz w:val="21"/>
                      <w:szCs w:val="21"/>
                      <w:highlight w:val="none"/>
                      <w:lang w:val="en-US" w:eastAsia="zh-CN"/>
                    </w:rPr>
                  </w:pPr>
                </w:p>
              </w:tc>
              <w:tc>
                <w:tcPr>
                  <w:tcW w:w="935" w:type="dxa"/>
                  <w:noWrap w:val="0"/>
                  <w:vAlign w:val="center"/>
                </w:tcPr>
                <w:p w14:paraId="0AC39677">
                  <w:pPr>
                    <w:keepNext w:val="0"/>
                    <w:keepLines w:val="0"/>
                    <w:suppressLineNumbers w:val="0"/>
                    <w:spacing w:before="0" w:beforeAutospacing="0" w:after="0" w:afterAutospacing="0"/>
                    <w:ind w:left="0" w:right="0"/>
                    <w:jc w:val="center"/>
                    <w:rPr>
                      <w:rFonts w:hint="eastAsia" w:cs="Times New Roman"/>
                      <w:color w:val="auto"/>
                      <w:sz w:val="21"/>
                      <w:szCs w:val="21"/>
                      <w:lang w:val="en-US" w:eastAsia="zh-CN"/>
                    </w:rPr>
                  </w:pPr>
                  <w:r>
                    <w:rPr>
                      <w:rFonts w:hint="eastAsia" w:ascii="Times New Roman" w:hAnsi="Times New Roman" w:cs="Times New Roman"/>
                      <w:color w:val="auto"/>
                      <w:sz w:val="21"/>
                      <w:szCs w:val="21"/>
                    </w:rPr>
                    <w:t>新建</w:t>
                  </w:r>
                </w:p>
              </w:tc>
            </w:tr>
            <w:tr w14:paraId="1311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40" w:type="dxa"/>
                  <w:vMerge w:val="continue"/>
                  <w:noWrap w:val="0"/>
                  <w:vAlign w:val="center"/>
                </w:tcPr>
                <w:p w14:paraId="2BDE287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p>
              </w:tc>
              <w:tc>
                <w:tcPr>
                  <w:tcW w:w="1413" w:type="dxa"/>
                  <w:gridSpan w:val="2"/>
                  <w:noWrap w:val="0"/>
                  <w:vAlign w:val="center"/>
                </w:tcPr>
                <w:p w14:paraId="7970153A">
                  <w:pPr>
                    <w:keepNext w:val="0"/>
                    <w:keepLines w:val="0"/>
                    <w:suppressLineNumbers w:val="0"/>
                    <w:spacing w:before="0" w:beforeAutospacing="0" w:after="0" w:afterAutospacing="0"/>
                    <w:ind w:left="0" w:right="0"/>
                    <w:jc w:val="center"/>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供水管线</w:t>
                  </w:r>
                </w:p>
              </w:tc>
              <w:tc>
                <w:tcPr>
                  <w:tcW w:w="5353" w:type="dxa"/>
                  <w:noWrap w:val="0"/>
                  <w:vAlign w:val="center"/>
                </w:tcPr>
                <w:p w14:paraId="20528676">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szCs w:val="24"/>
                      <w:highlight w:val="none"/>
                      <w:lang w:val="en-US" w:eastAsia="zh-CN" w:bidi="ar"/>
                    </w:rPr>
                  </w:pPr>
                  <w:r>
                    <w:rPr>
                      <w:rFonts w:hint="default"/>
                      <w:spacing w:val="-5"/>
                      <w:sz w:val="21"/>
                      <w:szCs w:val="21"/>
                    </w:rPr>
                    <w:t>供水管路选用</w:t>
                  </w:r>
                  <w:r>
                    <w:rPr>
                      <w:rFonts w:hint="default" w:ascii="Times New Roman" w:hAnsi="Times New Roman" w:eastAsia="Times New Roman" w:cs="Times New Roman"/>
                      <w:spacing w:val="-5"/>
                      <w:sz w:val="21"/>
                      <w:szCs w:val="21"/>
                    </w:rPr>
                    <w:t xml:space="preserve">Ø159×4.5 </w:t>
                  </w:r>
                  <w:r>
                    <w:rPr>
                      <w:rFonts w:hint="default"/>
                      <w:spacing w:val="-5"/>
                      <w:sz w:val="21"/>
                      <w:szCs w:val="21"/>
                    </w:rPr>
                    <w:t>无缝钢管，钢号为</w:t>
                  </w:r>
                  <w:r>
                    <w:rPr>
                      <w:rFonts w:hint="default" w:ascii="Times New Roman" w:hAnsi="Times New Roman" w:eastAsia="Times New Roman" w:cs="Times New Roman"/>
                      <w:spacing w:val="-5"/>
                      <w:sz w:val="21"/>
                      <w:szCs w:val="21"/>
                    </w:rPr>
                    <w:t>Q235</w:t>
                  </w:r>
                  <w:r>
                    <w:rPr>
                      <w:rFonts w:hint="default"/>
                      <w:spacing w:val="-5"/>
                      <w:sz w:val="21"/>
                      <w:szCs w:val="21"/>
                    </w:rPr>
                    <w:t>，管道总长度约</w:t>
                  </w:r>
                  <w:r>
                    <w:rPr>
                      <w:rFonts w:hint="default" w:ascii="Times New Roman" w:hAnsi="Times New Roman" w:eastAsia="Times New Roman" w:cs="Times New Roman"/>
                      <w:spacing w:val="-5"/>
                      <w:sz w:val="21"/>
                      <w:szCs w:val="21"/>
                    </w:rPr>
                    <w:t>4.</w:t>
                  </w:r>
                  <w:r>
                    <w:rPr>
                      <w:rFonts w:hint="default" w:ascii="Times New Roman" w:hAnsi="Times New Roman" w:eastAsia="Times New Roman" w:cs="Times New Roman"/>
                      <w:spacing w:val="-22"/>
                      <w:sz w:val="21"/>
                      <w:szCs w:val="21"/>
                    </w:rPr>
                    <w:t xml:space="preserve"> </w:t>
                  </w:r>
                  <w:r>
                    <w:rPr>
                      <w:rFonts w:hint="default" w:ascii="Times New Roman" w:hAnsi="Times New Roman" w:eastAsia="Times New Roman" w:cs="Times New Roman"/>
                      <w:spacing w:val="-5"/>
                      <w:sz w:val="21"/>
                      <w:szCs w:val="21"/>
                    </w:rPr>
                    <w:t>1km</w:t>
                  </w:r>
                  <w:r>
                    <w:rPr>
                      <w:rFonts w:hint="default"/>
                      <w:spacing w:val="-5"/>
                      <w:sz w:val="21"/>
                      <w:szCs w:val="21"/>
                    </w:rPr>
                    <w:t>，地表敷设，</w:t>
                  </w:r>
                  <w:r>
                    <w:rPr>
                      <w:rFonts w:hint="default"/>
                      <w:spacing w:val="-3"/>
                      <w:sz w:val="21"/>
                      <w:szCs w:val="21"/>
                    </w:rPr>
                    <w:t>焊接连接</w:t>
                  </w:r>
                  <w:r>
                    <w:rPr>
                      <w:rFonts w:hint="default"/>
                      <w:spacing w:val="-40"/>
                      <w:sz w:val="21"/>
                      <w:szCs w:val="21"/>
                    </w:rPr>
                    <w:t xml:space="preserve"> </w:t>
                  </w:r>
                  <w:r>
                    <w:rPr>
                      <w:rFonts w:hint="default"/>
                      <w:spacing w:val="-4"/>
                      <w:sz w:val="21"/>
                      <w:szCs w:val="21"/>
                    </w:rPr>
                    <w:t>。</w:t>
                  </w:r>
                </w:p>
              </w:tc>
              <w:tc>
                <w:tcPr>
                  <w:tcW w:w="935" w:type="dxa"/>
                  <w:noWrap w:val="0"/>
                  <w:vAlign w:val="center"/>
                </w:tcPr>
                <w:p w14:paraId="6069FCC5">
                  <w:pPr>
                    <w:keepNext w:val="0"/>
                    <w:keepLines w:val="0"/>
                    <w:suppressLineNumbers w:val="0"/>
                    <w:spacing w:before="0" w:beforeAutospacing="0" w:after="0" w:afterAutospacing="0"/>
                    <w:ind w:left="0" w:right="0"/>
                    <w:jc w:val="center"/>
                    <w:rPr>
                      <w:rFonts w:hint="eastAsia" w:cs="Times New Roman"/>
                      <w:color w:val="auto"/>
                      <w:sz w:val="21"/>
                      <w:szCs w:val="21"/>
                      <w:lang w:val="en-US" w:eastAsia="zh-CN"/>
                    </w:rPr>
                  </w:pPr>
                  <w:r>
                    <w:rPr>
                      <w:rFonts w:hint="eastAsia" w:ascii="Times New Roman" w:hAnsi="Times New Roman" w:cs="Times New Roman"/>
                      <w:color w:val="auto"/>
                      <w:sz w:val="21"/>
                      <w:szCs w:val="21"/>
                    </w:rPr>
                    <w:t>新建</w:t>
                  </w:r>
                </w:p>
              </w:tc>
            </w:tr>
            <w:tr w14:paraId="5CBE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40" w:type="dxa"/>
                  <w:vMerge w:val="continue"/>
                  <w:noWrap w:val="0"/>
                  <w:vAlign w:val="center"/>
                </w:tcPr>
                <w:p w14:paraId="2495CBD2">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p>
              </w:tc>
              <w:tc>
                <w:tcPr>
                  <w:tcW w:w="1413" w:type="dxa"/>
                  <w:gridSpan w:val="2"/>
                  <w:noWrap w:val="0"/>
                  <w:vAlign w:val="center"/>
                </w:tcPr>
                <w:p w14:paraId="4ADBB75F">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办公生活区</w:t>
                  </w:r>
                </w:p>
              </w:tc>
              <w:tc>
                <w:tcPr>
                  <w:tcW w:w="5353" w:type="dxa"/>
                  <w:noWrap w:val="0"/>
                  <w:vAlign w:val="center"/>
                </w:tcPr>
                <w:p w14:paraId="627E42B4">
                  <w:pPr>
                    <w:keepNext w:val="0"/>
                    <w:keepLines w:val="0"/>
                    <w:suppressLineNumbers w:val="0"/>
                    <w:spacing w:before="0" w:beforeAutospacing="0" w:after="0" w:afterAutospacing="0"/>
                    <w:ind w:left="0" w:right="0"/>
                    <w:jc w:val="left"/>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依托</w:t>
                  </w:r>
                  <w:r>
                    <w:rPr>
                      <w:rFonts w:hint="default" w:ascii="Times New Roman" w:hAnsi="Times New Roman" w:eastAsia="宋体" w:cs="Times New Roman"/>
                      <w:color w:val="auto"/>
                      <w:spacing w:val="-1"/>
                      <w:kern w:val="2"/>
                      <w:sz w:val="21"/>
                      <w:szCs w:val="21"/>
                      <w:lang w:val="en-US" w:eastAsia="zh-CN" w:bidi="ar-SA"/>
                    </w:rPr>
                    <w:t>康龙煤矿</w:t>
                  </w:r>
                  <w:r>
                    <w:rPr>
                      <w:rFonts w:hint="eastAsia" w:cs="Times New Roman"/>
                      <w:color w:val="auto"/>
                      <w:spacing w:val="-1"/>
                      <w:kern w:val="2"/>
                      <w:sz w:val="21"/>
                      <w:szCs w:val="21"/>
                      <w:lang w:val="en-US" w:eastAsia="zh-CN" w:bidi="ar-SA"/>
                    </w:rPr>
                    <w:t>行政福利生活场地</w:t>
                  </w:r>
                  <w:r>
                    <w:rPr>
                      <w:rFonts w:hint="eastAsia" w:cs="Times New Roman"/>
                      <w:color w:val="auto"/>
                      <w:kern w:val="0"/>
                      <w:sz w:val="21"/>
                      <w:szCs w:val="21"/>
                      <w:highlight w:val="none"/>
                      <w:lang w:val="en-US" w:eastAsia="zh-CN"/>
                    </w:rPr>
                    <w:t>。</w:t>
                  </w:r>
                </w:p>
              </w:tc>
              <w:tc>
                <w:tcPr>
                  <w:tcW w:w="935" w:type="dxa"/>
                  <w:noWrap w:val="0"/>
                  <w:vAlign w:val="center"/>
                </w:tcPr>
                <w:p w14:paraId="6F61FD8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依托</w:t>
                  </w:r>
                </w:p>
              </w:tc>
            </w:tr>
            <w:tr w14:paraId="1C31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640" w:type="dxa"/>
                  <w:vMerge w:val="restart"/>
                  <w:noWrap w:val="0"/>
                  <w:vAlign w:val="center"/>
                </w:tcPr>
                <w:p w14:paraId="47E5D20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公用</w:t>
                  </w:r>
                </w:p>
                <w:p w14:paraId="76E9508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工程</w:t>
                  </w:r>
                </w:p>
              </w:tc>
              <w:tc>
                <w:tcPr>
                  <w:tcW w:w="1413" w:type="dxa"/>
                  <w:gridSpan w:val="2"/>
                  <w:noWrap w:val="0"/>
                  <w:vAlign w:val="center"/>
                </w:tcPr>
                <w:p w14:paraId="7B121FE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供水</w:t>
                  </w:r>
                </w:p>
              </w:tc>
              <w:tc>
                <w:tcPr>
                  <w:tcW w:w="5353" w:type="dxa"/>
                  <w:noWrap w:val="0"/>
                  <w:vAlign w:val="center"/>
                </w:tcPr>
                <w:p w14:paraId="7C116137">
                  <w:pPr>
                    <w:keepNext w:val="0"/>
                    <w:keepLines w:val="0"/>
                    <w:suppressLineNumbers w:val="0"/>
                    <w:spacing w:before="0" w:beforeAutospacing="0" w:after="0" w:afterAutospacing="0"/>
                    <w:ind w:left="0" w:right="0"/>
                    <w:jc w:val="left"/>
                    <w:rPr>
                      <w:rFonts w:hint="default" w:eastAsia="宋体"/>
                      <w:spacing w:val="-4"/>
                      <w:highlight w:val="none"/>
                      <w:lang w:val="en-US" w:eastAsia="zh-CN"/>
                    </w:rPr>
                  </w:pPr>
                  <w:r>
                    <w:rPr>
                      <w:rFonts w:hint="default" w:ascii="Times New Roman" w:hAnsi="Times New Roman" w:eastAsia="宋体" w:cs="Times New Roman"/>
                      <w:color w:val="auto"/>
                      <w:spacing w:val="-1"/>
                      <w:kern w:val="2"/>
                      <w:sz w:val="21"/>
                      <w:szCs w:val="21"/>
                      <w:highlight w:val="none"/>
                      <w:lang w:val="en-US" w:eastAsia="zh-CN" w:bidi="ar-SA"/>
                    </w:rPr>
                    <w:t>康龙煤矿</w:t>
                  </w:r>
                  <w:r>
                    <w:rPr>
                      <w:rFonts w:hint="default"/>
                      <w:spacing w:val="-4"/>
                      <w:highlight w:val="none"/>
                    </w:rPr>
                    <w:t>矿界范围外西北方有一处水坑，水深约30m</w:t>
                  </w:r>
                  <w:r>
                    <w:rPr>
                      <w:rFonts w:hint="eastAsia"/>
                      <w:spacing w:val="-4"/>
                      <w:highlight w:val="none"/>
                      <w:lang w:eastAsia="zh-CN"/>
                    </w:rPr>
                    <w:t>，</w:t>
                  </w:r>
                  <w:r>
                    <w:rPr>
                      <w:rFonts w:hint="default"/>
                      <w:spacing w:val="-4"/>
                      <w:highlight w:val="none"/>
                    </w:rPr>
                    <w:t>长度约为500m，宽为40m，总水量约为200000m</w:t>
                  </w:r>
                  <w:r>
                    <w:rPr>
                      <w:rFonts w:hint="eastAsia"/>
                      <w:spacing w:val="-4"/>
                      <w:highlight w:val="none"/>
                      <w:vertAlign w:val="superscript"/>
                      <w:lang w:val="en-US" w:eastAsia="zh-CN"/>
                    </w:rPr>
                    <w:t>3</w:t>
                  </w:r>
                  <w:r>
                    <w:rPr>
                      <w:rFonts w:hint="eastAsia"/>
                      <w:spacing w:val="-4"/>
                      <w:highlight w:val="none"/>
                      <w:lang w:eastAsia="zh-CN"/>
                    </w:rPr>
                    <w:t>，</w:t>
                  </w:r>
                  <w:r>
                    <w:rPr>
                      <w:rFonts w:hint="default"/>
                      <w:spacing w:val="-4"/>
                      <w:highlight w:val="none"/>
                    </w:rPr>
                    <w:t>水源供给充足，水量能满足灭火用水需求，水源可靠。</w:t>
                  </w:r>
                  <w:r>
                    <w:rPr>
                      <w:rFonts w:hint="eastAsia"/>
                      <w:spacing w:val="-4"/>
                      <w:highlight w:val="none"/>
                      <w:lang w:val="en-US" w:eastAsia="zh-CN"/>
                    </w:rPr>
                    <w:t>生活供水依托</w:t>
                  </w:r>
                  <w:r>
                    <w:rPr>
                      <w:rFonts w:hint="eastAsia" w:cs="Times New Roman"/>
                      <w:color w:val="auto"/>
                      <w:kern w:val="0"/>
                      <w:sz w:val="21"/>
                      <w:szCs w:val="21"/>
                      <w:highlight w:val="none"/>
                      <w:lang w:val="en-US" w:eastAsia="zh-CN"/>
                    </w:rPr>
                    <w:t>康龙煤矿</w:t>
                  </w:r>
                  <w:r>
                    <w:rPr>
                      <w:rFonts w:hint="eastAsia" w:cs="Times New Roman"/>
                      <w:color w:val="auto"/>
                      <w:spacing w:val="-1"/>
                      <w:kern w:val="2"/>
                      <w:sz w:val="21"/>
                      <w:szCs w:val="21"/>
                      <w:lang w:val="en-US" w:eastAsia="zh-CN" w:bidi="ar-SA"/>
                    </w:rPr>
                    <w:t>行政福利生活场地</w:t>
                  </w:r>
                  <w:r>
                    <w:rPr>
                      <w:rFonts w:hint="eastAsia" w:cs="Times New Roman"/>
                      <w:color w:val="auto"/>
                      <w:kern w:val="0"/>
                      <w:sz w:val="21"/>
                      <w:szCs w:val="21"/>
                      <w:highlight w:val="none"/>
                      <w:lang w:val="en-US" w:eastAsia="zh-CN"/>
                    </w:rPr>
                    <w:t>已建生活供水系统，生活用水取自甘河子镇自来水供水系统，通过输水管道送至矿区，储存于600m</w:t>
                  </w:r>
                  <w:r>
                    <w:rPr>
                      <w:rFonts w:hint="eastAsia" w:cs="Times New Roman"/>
                      <w:color w:val="auto"/>
                      <w:kern w:val="0"/>
                      <w:sz w:val="21"/>
                      <w:szCs w:val="21"/>
                      <w:highlight w:val="none"/>
                      <w:vertAlign w:val="superscript"/>
                      <w:lang w:val="en-US" w:eastAsia="zh-CN"/>
                    </w:rPr>
                    <w:t>3</w:t>
                  </w:r>
                  <w:r>
                    <w:rPr>
                      <w:rFonts w:hint="eastAsia" w:cs="Times New Roman"/>
                      <w:color w:val="auto"/>
                      <w:kern w:val="0"/>
                      <w:sz w:val="21"/>
                      <w:szCs w:val="21"/>
                      <w:highlight w:val="none"/>
                      <w:lang w:val="en-US" w:eastAsia="zh-CN"/>
                    </w:rPr>
                    <w:t>蓄水池，由崩加压通过管道供给矿区地面生活用水。</w:t>
                  </w:r>
                </w:p>
              </w:tc>
              <w:tc>
                <w:tcPr>
                  <w:tcW w:w="935" w:type="dxa"/>
                  <w:noWrap w:val="0"/>
                  <w:vAlign w:val="center"/>
                </w:tcPr>
                <w:p w14:paraId="099ADBC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rPr>
                    <w:t>新建</w:t>
                  </w:r>
                  <w:r>
                    <w:rPr>
                      <w:rFonts w:hint="eastAsia" w:cs="Times New Roman"/>
                      <w:color w:val="auto"/>
                      <w:sz w:val="21"/>
                      <w:szCs w:val="21"/>
                      <w:lang w:val="en-US" w:eastAsia="zh-CN"/>
                    </w:rPr>
                    <w:t>/依托</w:t>
                  </w:r>
                </w:p>
              </w:tc>
            </w:tr>
            <w:tr w14:paraId="5663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0" w:type="dxa"/>
                  <w:vMerge w:val="continue"/>
                  <w:noWrap w:val="0"/>
                  <w:vAlign w:val="center"/>
                </w:tcPr>
                <w:p w14:paraId="6A5E562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13" w:type="dxa"/>
                  <w:gridSpan w:val="2"/>
                  <w:noWrap w:val="0"/>
                  <w:vAlign w:val="center"/>
                </w:tcPr>
                <w:p w14:paraId="735C894F">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排水</w:t>
                  </w:r>
                </w:p>
              </w:tc>
              <w:tc>
                <w:tcPr>
                  <w:tcW w:w="5353" w:type="dxa"/>
                  <w:noWrap w:val="0"/>
                  <w:vAlign w:val="center"/>
                </w:tcPr>
                <w:p w14:paraId="778AB83C">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lang w:val="en-US" w:eastAsia="zh-CN"/>
                    </w:rPr>
                    <w:t>施工废水排入施工沉淀池收集后循环</w:t>
                  </w:r>
                  <w:r>
                    <w:rPr>
                      <w:rFonts w:hint="eastAsia" w:cs="Times New Roman"/>
                      <w:color w:val="auto"/>
                      <w:sz w:val="21"/>
                      <w:szCs w:val="21"/>
                      <w:highlight w:val="none"/>
                      <w:lang w:val="en-US" w:eastAsia="zh-CN"/>
                    </w:rPr>
                    <w:t>使用</w:t>
                  </w:r>
                  <w:r>
                    <w:rPr>
                      <w:rFonts w:hint="eastAsia" w:ascii="Times New Roman" w:hAnsi="Times New Roman" w:eastAsia="宋体" w:cs="Times New Roman"/>
                      <w:color w:val="auto"/>
                      <w:sz w:val="21"/>
                      <w:szCs w:val="21"/>
                      <w:highlight w:val="none"/>
                      <w:lang w:val="en-US" w:eastAsia="zh-CN"/>
                    </w:rPr>
                    <w:t>，不外排</w:t>
                  </w:r>
                  <w:r>
                    <w:rPr>
                      <w:rFonts w:hint="eastAsia" w:cs="宋体"/>
                      <w:color w:val="auto"/>
                      <w:sz w:val="21"/>
                      <w:szCs w:val="21"/>
                      <w:highlight w:val="none"/>
                      <w:lang w:val="en-US" w:eastAsia="zh-CN"/>
                    </w:rPr>
                    <w:t>。</w:t>
                  </w:r>
                  <w:r>
                    <w:rPr>
                      <w:rFonts w:hint="eastAsia" w:cs="Times New Roman"/>
                      <w:color w:val="auto"/>
                      <w:kern w:val="0"/>
                      <w:sz w:val="21"/>
                      <w:szCs w:val="21"/>
                      <w:highlight w:val="none"/>
                      <w:lang w:val="en-US" w:eastAsia="zh-CN"/>
                    </w:rPr>
                    <w:t>生活污水依托康龙煤矿</w:t>
                  </w:r>
                  <w:r>
                    <w:rPr>
                      <w:rFonts w:hint="eastAsia" w:cs="Times New Roman"/>
                      <w:color w:val="auto"/>
                      <w:spacing w:val="-1"/>
                      <w:kern w:val="2"/>
                      <w:sz w:val="21"/>
                      <w:szCs w:val="21"/>
                      <w:highlight w:val="none"/>
                      <w:lang w:val="en-US" w:eastAsia="zh-CN" w:bidi="ar-SA"/>
                    </w:rPr>
                    <w:t>行政福利生活场地</w:t>
                  </w:r>
                  <w:r>
                    <w:rPr>
                      <w:rFonts w:hint="eastAsia" w:cs="Times New Roman"/>
                      <w:color w:val="auto"/>
                      <w:kern w:val="0"/>
                      <w:sz w:val="21"/>
                      <w:szCs w:val="21"/>
                      <w:highlight w:val="none"/>
                      <w:lang w:val="en-US" w:eastAsia="zh-CN"/>
                    </w:rPr>
                    <w:t>已建地埋式污水处理设备处理后用于绿化。</w:t>
                  </w:r>
                </w:p>
              </w:tc>
              <w:tc>
                <w:tcPr>
                  <w:tcW w:w="935" w:type="dxa"/>
                  <w:noWrap w:val="0"/>
                  <w:vAlign w:val="center"/>
                </w:tcPr>
                <w:p w14:paraId="1C322EF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rPr>
                    <w:t>新建</w:t>
                  </w:r>
                  <w:r>
                    <w:rPr>
                      <w:rFonts w:hint="eastAsia" w:cs="Times New Roman"/>
                      <w:color w:val="auto"/>
                      <w:sz w:val="21"/>
                      <w:szCs w:val="21"/>
                      <w:lang w:val="en-US" w:eastAsia="zh-CN"/>
                    </w:rPr>
                    <w:t>/依托</w:t>
                  </w:r>
                </w:p>
              </w:tc>
            </w:tr>
            <w:tr w14:paraId="2D26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0" w:type="dxa"/>
                  <w:vMerge w:val="continue"/>
                  <w:noWrap w:val="0"/>
                  <w:vAlign w:val="center"/>
                </w:tcPr>
                <w:p w14:paraId="01127F6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13" w:type="dxa"/>
                  <w:gridSpan w:val="2"/>
                  <w:noWrap w:val="0"/>
                  <w:vAlign w:val="center"/>
                </w:tcPr>
                <w:p w14:paraId="5D5E52B5">
                  <w:pPr>
                    <w:keepNext w:val="0"/>
                    <w:keepLines w:val="0"/>
                    <w:suppressLineNumbers w:val="0"/>
                    <w:spacing w:before="0" w:beforeAutospacing="0" w:after="0" w:afterAutospacing="0"/>
                    <w:ind w:left="0" w:right="0"/>
                    <w:jc w:val="center"/>
                    <w:rPr>
                      <w:rFonts w:hint="default"/>
                      <w:spacing w:val="-4"/>
                    </w:rPr>
                  </w:pPr>
                  <w:r>
                    <w:rPr>
                      <w:rFonts w:hint="default"/>
                      <w:spacing w:val="-4"/>
                    </w:rPr>
                    <w:t>供电</w:t>
                  </w:r>
                </w:p>
              </w:tc>
              <w:tc>
                <w:tcPr>
                  <w:tcW w:w="5353" w:type="dxa"/>
                  <w:noWrap w:val="0"/>
                  <w:vAlign w:val="center"/>
                </w:tcPr>
                <w:p w14:paraId="3A091352">
                  <w:pPr>
                    <w:keepNext w:val="0"/>
                    <w:keepLines w:val="0"/>
                    <w:suppressLineNumbers w:val="0"/>
                    <w:spacing w:before="0" w:beforeAutospacing="0" w:after="0" w:afterAutospacing="0"/>
                    <w:ind w:left="0" w:right="0"/>
                    <w:jc w:val="left"/>
                    <w:rPr>
                      <w:rFonts w:hint="default"/>
                      <w:spacing w:val="-4"/>
                    </w:rPr>
                  </w:pPr>
                  <w:r>
                    <w:rPr>
                      <w:rFonts w:hint="eastAsia"/>
                      <w:spacing w:val="-4"/>
                      <w:lang w:val="en-US" w:eastAsia="zh-CN"/>
                    </w:rPr>
                    <w:t>引</w:t>
                  </w:r>
                  <w:r>
                    <w:rPr>
                      <w:rFonts w:hint="default"/>
                      <w:spacing w:val="-4"/>
                      <w:lang w:val="en-US" w:eastAsia="zh-CN"/>
                    </w:rPr>
                    <w:t>自火区东侧10kV甘矿线支线。火区配备柴油发电机作为备用电源。</w:t>
                  </w:r>
                </w:p>
              </w:tc>
              <w:tc>
                <w:tcPr>
                  <w:tcW w:w="935" w:type="dxa"/>
                  <w:noWrap w:val="0"/>
                  <w:vAlign w:val="center"/>
                </w:tcPr>
                <w:p w14:paraId="11956C1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依托</w:t>
                  </w:r>
                </w:p>
              </w:tc>
            </w:tr>
            <w:tr w14:paraId="3CDA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40" w:type="dxa"/>
                  <w:vMerge w:val="restart"/>
                  <w:noWrap w:val="0"/>
                  <w:vAlign w:val="center"/>
                </w:tcPr>
                <w:p w14:paraId="00CDEDE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环保</w:t>
                  </w:r>
                </w:p>
                <w:p w14:paraId="5D14DD9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工程</w:t>
                  </w:r>
                </w:p>
                <w:p w14:paraId="0D0A534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483" w:type="dxa"/>
                  <w:vMerge w:val="restart"/>
                  <w:noWrap w:val="0"/>
                  <w:vAlign w:val="center"/>
                </w:tcPr>
                <w:p w14:paraId="2A65E0C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施工期</w:t>
                  </w:r>
                </w:p>
              </w:tc>
              <w:tc>
                <w:tcPr>
                  <w:tcW w:w="930" w:type="dxa"/>
                  <w:noWrap w:val="0"/>
                  <w:vAlign w:val="center"/>
                </w:tcPr>
                <w:p w14:paraId="041E924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废</w:t>
                  </w:r>
                  <w:r>
                    <w:rPr>
                      <w:rFonts w:hint="eastAsia" w:ascii="Times New Roman" w:hAnsi="Times New Roman" w:cs="Times New Roman"/>
                      <w:color w:val="auto"/>
                      <w:sz w:val="21"/>
                      <w:szCs w:val="21"/>
                      <w:highlight w:val="none"/>
                      <w:lang w:val="en-US" w:eastAsia="zh-CN"/>
                    </w:rPr>
                    <w:t>气</w:t>
                  </w:r>
                </w:p>
              </w:tc>
              <w:tc>
                <w:tcPr>
                  <w:tcW w:w="5353" w:type="dxa"/>
                  <w:noWrap w:val="0"/>
                  <w:vAlign w:val="center"/>
                </w:tcPr>
                <w:p w14:paraId="7303FDD9">
                  <w:pPr>
                    <w:keepNext w:val="0"/>
                    <w:keepLines w:val="0"/>
                    <w:suppressLineNumbers w:val="0"/>
                    <w:spacing w:before="0" w:beforeAutospacing="0" w:after="0" w:afterAutospacing="0"/>
                    <w:ind w:left="0" w:right="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合理</w:t>
                  </w:r>
                  <w:r>
                    <w:rPr>
                      <w:rFonts w:hint="default" w:ascii="Times New Roman" w:hAnsi="Times New Roman" w:eastAsia="宋体" w:cs="Times New Roman"/>
                      <w:color w:val="auto"/>
                      <w:sz w:val="21"/>
                      <w:szCs w:val="21"/>
                      <w:highlight w:val="none"/>
                      <w:lang w:val="en-US" w:eastAsia="zh-CN"/>
                    </w:rPr>
                    <w:t>安排施工进度及施工时间，避免雨天和大风天开挖施工作业</w:t>
                  </w:r>
                  <w:r>
                    <w:rPr>
                      <w:rFonts w:hint="eastAsia" w:ascii="Times New Roman" w:hAnsi="Times New Roman" w:eastAsia="宋体" w:cs="Times New Roman"/>
                      <w:color w:val="auto"/>
                      <w:sz w:val="21"/>
                      <w:szCs w:val="21"/>
                      <w:highlight w:val="none"/>
                      <w:lang w:val="en-US" w:eastAsia="zh-CN"/>
                    </w:rPr>
                    <w:t>；</w:t>
                  </w:r>
                  <w:r>
                    <w:rPr>
                      <w:rFonts w:hint="eastAsia" w:cs="宋体"/>
                      <w:color w:val="auto"/>
                      <w:kern w:val="0"/>
                      <w:sz w:val="21"/>
                      <w:szCs w:val="21"/>
                      <w:highlight w:val="none"/>
                      <w:lang w:val="en-US" w:eastAsia="zh-CN" w:bidi="ar"/>
                    </w:rPr>
                    <w:t>剥离工程、钻探工程、取土场</w:t>
                  </w:r>
                  <w:r>
                    <w:rPr>
                      <w:rFonts w:hint="eastAsia" w:ascii="Times New Roman" w:hAnsi="Times New Roman" w:cs="宋体"/>
                      <w:color w:val="auto"/>
                      <w:kern w:val="0"/>
                      <w:sz w:val="21"/>
                      <w:szCs w:val="21"/>
                      <w:highlight w:val="none"/>
                      <w:lang w:bidi="ar"/>
                    </w:rPr>
                    <w:t>等易于产生地面扬尘的工程区域，采用定期洒水方式降低施工扬尘的影响</w:t>
                  </w:r>
                  <w:r>
                    <w:rPr>
                      <w:rFonts w:hint="eastAsia" w:ascii="Times New Roman" w:hAnsi="Times New Roman" w:cs="宋体"/>
                      <w:color w:val="auto"/>
                      <w:kern w:val="0"/>
                      <w:sz w:val="21"/>
                      <w:szCs w:val="21"/>
                      <w:highlight w:val="none"/>
                      <w:lang w:eastAsia="zh-CN" w:bidi="ar"/>
                    </w:rPr>
                    <w:t>；</w:t>
                  </w:r>
                  <w:r>
                    <w:rPr>
                      <w:rFonts w:hint="eastAsia" w:ascii="Times New Roman" w:hAnsi="Times New Roman" w:eastAsia="宋体" w:cs="Times New Roman"/>
                      <w:color w:val="auto"/>
                      <w:sz w:val="21"/>
                      <w:szCs w:val="21"/>
                      <w:lang w:val="en-US" w:eastAsia="zh-CN"/>
                    </w:rPr>
                    <w:t>注浆站上料区域四周设置围挡，上料过程密闭或采用湿法作业；</w:t>
                  </w:r>
                  <w:r>
                    <w:rPr>
                      <w:rFonts w:hint="eastAsia" w:ascii="Times New Roman" w:hAnsi="Times New Roman" w:cs="宋体"/>
                      <w:color w:val="auto"/>
                      <w:kern w:val="0"/>
                      <w:sz w:val="21"/>
                      <w:szCs w:val="21"/>
                      <w:highlight w:val="none"/>
                      <w:lang w:val="en-US" w:eastAsia="zh-CN" w:bidi="ar"/>
                    </w:rPr>
                    <w:t>运输车辆采取篷布覆盖、降低车速、运输道路洒水等措施降低扬尘污染；</w:t>
                  </w:r>
                  <w:r>
                    <w:rPr>
                      <w:rFonts w:hint="default" w:ascii="Times New Roman" w:hAnsi="Times New Roman" w:eastAsia="宋体" w:cs="Times New Roman"/>
                      <w:color w:val="auto"/>
                      <w:sz w:val="21"/>
                      <w:szCs w:val="21"/>
                      <w:highlight w:val="none"/>
                      <w:lang w:val="en-US" w:eastAsia="zh-CN"/>
                    </w:rPr>
                    <w:t>加强施工机械、车辆</w:t>
                  </w:r>
                  <w:r>
                    <w:rPr>
                      <w:rFonts w:hint="eastAsia" w:ascii="Times New Roman" w:hAnsi="Times New Roman" w:cs="Times New Roman"/>
                      <w:color w:val="auto"/>
                      <w:szCs w:val="21"/>
                      <w:highlight w:val="none"/>
                    </w:rPr>
                    <w:t>维护保养，使用正品燃油</w:t>
                  </w:r>
                  <w:r>
                    <w:rPr>
                      <w:rFonts w:hint="eastAsia" w:ascii="Times New Roman" w:hAnsi="Times New Roman" w:cs="宋体"/>
                      <w:color w:val="auto"/>
                      <w:kern w:val="0"/>
                      <w:sz w:val="21"/>
                      <w:szCs w:val="21"/>
                      <w:highlight w:val="none"/>
                      <w:lang w:bidi="ar"/>
                    </w:rPr>
                    <w:t>。</w:t>
                  </w:r>
                </w:p>
              </w:tc>
              <w:tc>
                <w:tcPr>
                  <w:tcW w:w="935" w:type="dxa"/>
                  <w:noWrap w:val="0"/>
                  <w:vAlign w:val="center"/>
                </w:tcPr>
                <w:p w14:paraId="7703BC8F">
                  <w:pPr>
                    <w:keepNext w:val="0"/>
                    <w:keepLines w:val="0"/>
                    <w:suppressLineNumbers w:val="0"/>
                    <w:spacing w:before="0" w:beforeAutospacing="0" w:after="0" w:afterAutospacing="0"/>
                    <w:ind w:left="0" w:right="0"/>
                    <w:jc w:val="center"/>
                    <w:rPr>
                      <w:rFonts w:hint="eastAsia" w:cs="Times New Roman"/>
                      <w:color w:val="auto"/>
                      <w:sz w:val="21"/>
                      <w:szCs w:val="21"/>
                      <w:lang w:val="en-US" w:eastAsia="zh-CN"/>
                    </w:rPr>
                  </w:pPr>
                  <w:r>
                    <w:rPr>
                      <w:rFonts w:hint="eastAsia" w:ascii="Times New Roman" w:hAnsi="Times New Roman" w:cs="Times New Roman"/>
                      <w:color w:val="auto"/>
                      <w:sz w:val="21"/>
                      <w:szCs w:val="21"/>
                    </w:rPr>
                    <w:t>新建</w:t>
                  </w:r>
                </w:p>
              </w:tc>
            </w:tr>
            <w:tr w14:paraId="5086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40" w:type="dxa"/>
                  <w:vMerge w:val="continue"/>
                  <w:noWrap w:val="0"/>
                  <w:vAlign w:val="center"/>
                </w:tcPr>
                <w:p w14:paraId="5564FCD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483" w:type="dxa"/>
                  <w:vMerge w:val="continue"/>
                  <w:noWrap w:val="0"/>
                  <w:vAlign w:val="center"/>
                </w:tcPr>
                <w:p w14:paraId="1B8CECE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930" w:type="dxa"/>
                  <w:noWrap w:val="0"/>
                  <w:vAlign w:val="center"/>
                </w:tcPr>
                <w:p w14:paraId="02C6F32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rPr>
                    <w:t>废</w:t>
                  </w:r>
                  <w:r>
                    <w:rPr>
                      <w:rFonts w:hint="eastAsia" w:ascii="Times New Roman" w:hAnsi="Times New Roman" w:cs="Times New Roman"/>
                      <w:color w:val="auto"/>
                      <w:sz w:val="21"/>
                      <w:szCs w:val="21"/>
                      <w:highlight w:val="none"/>
                      <w:lang w:val="en-US" w:eastAsia="zh-CN"/>
                    </w:rPr>
                    <w:t>水</w:t>
                  </w:r>
                </w:p>
              </w:tc>
              <w:tc>
                <w:tcPr>
                  <w:tcW w:w="5353" w:type="dxa"/>
                  <w:noWrap w:val="0"/>
                  <w:vAlign w:val="center"/>
                </w:tcPr>
                <w:p w14:paraId="229FE8D1">
                  <w:pPr>
                    <w:keepNext w:val="0"/>
                    <w:keepLines w:val="0"/>
                    <w:suppressLineNumbers w:val="0"/>
                    <w:spacing w:before="0" w:beforeAutospacing="0" w:after="0" w:afterAutospacing="0"/>
                    <w:ind w:left="0" w:right="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施工废水排入施工沉淀池收集后循环使用</w:t>
                  </w:r>
                  <w:r>
                    <w:rPr>
                      <w:rFonts w:hint="eastAsia" w:ascii="Times New Roman" w:hAnsi="Times New Roman" w:eastAsia="宋体" w:cs="Times New Roman"/>
                      <w:color w:val="auto"/>
                      <w:sz w:val="21"/>
                      <w:szCs w:val="21"/>
                      <w:highlight w:val="none"/>
                      <w:lang w:val="en-US" w:eastAsia="zh-CN"/>
                    </w:rPr>
                    <w:t>，不外排</w:t>
                  </w:r>
                  <w:r>
                    <w:rPr>
                      <w:rFonts w:hint="eastAsia" w:cs="Times New Roman"/>
                      <w:color w:val="auto"/>
                      <w:sz w:val="21"/>
                      <w:szCs w:val="21"/>
                      <w:highlight w:val="none"/>
                      <w:lang w:val="en-US" w:eastAsia="zh-CN"/>
                    </w:rPr>
                    <w:t>；不设施工营地，施工人员生活污水</w:t>
                  </w:r>
                  <w:r>
                    <w:rPr>
                      <w:rFonts w:hint="eastAsia" w:ascii="Times New Roman" w:hAnsi="Times New Roman" w:eastAsia="宋体" w:cs="Times New Roman"/>
                      <w:color w:val="auto"/>
                      <w:sz w:val="21"/>
                      <w:szCs w:val="21"/>
                      <w:highlight w:val="none"/>
                      <w:lang w:val="en-US" w:eastAsia="zh-CN"/>
                    </w:rPr>
                    <w:t>依托</w:t>
                  </w:r>
                  <w:r>
                    <w:rPr>
                      <w:rFonts w:hint="eastAsia" w:cs="Times New Roman"/>
                      <w:color w:val="auto"/>
                      <w:kern w:val="0"/>
                      <w:sz w:val="21"/>
                      <w:szCs w:val="21"/>
                      <w:highlight w:val="none"/>
                      <w:lang w:val="en-US" w:eastAsia="zh-CN"/>
                    </w:rPr>
                    <w:t>康龙煤矿</w:t>
                  </w:r>
                  <w:r>
                    <w:rPr>
                      <w:rFonts w:hint="eastAsia" w:cs="Times New Roman"/>
                      <w:color w:val="auto"/>
                      <w:spacing w:val="-1"/>
                      <w:kern w:val="2"/>
                      <w:sz w:val="21"/>
                      <w:szCs w:val="21"/>
                      <w:highlight w:val="none"/>
                      <w:lang w:val="en-US" w:eastAsia="zh-CN" w:bidi="ar-SA"/>
                    </w:rPr>
                    <w:t>行政福利生活场地</w:t>
                  </w:r>
                  <w:r>
                    <w:rPr>
                      <w:rFonts w:hint="eastAsia" w:cs="Times New Roman"/>
                      <w:color w:val="auto"/>
                      <w:kern w:val="0"/>
                      <w:sz w:val="21"/>
                      <w:szCs w:val="21"/>
                      <w:highlight w:val="none"/>
                      <w:lang w:val="en-US" w:eastAsia="zh-CN"/>
                    </w:rPr>
                    <w:t>已建地埋式污水处理设备处理后用于绿化</w:t>
                  </w:r>
                  <w:r>
                    <w:rPr>
                      <w:rFonts w:hint="eastAsia" w:ascii="Times New Roman" w:hAnsi="Times New Roman" w:eastAsia="宋体" w:cs="Times New Roman"/>
                      <w:color w:val="auto"/>
                      <w:sz w:val="21"/>
                      <w:szCs w:val="21"/>
                      <w:highlight w:val="none"/>
                      <w:lang w:val="en-US" w:eastAsia="zh-CN"/>
                    </w:rPr>
                    <w:t>。</w:t>
                  </w:r>
                </w:p>
              </w:tc>
              <w:tc>
                <w:tcPr>
                  <w:tcW w:w="935" w:type="dxa"/>
                  <w:noWrap w:val="0"/>
                  <w:vAlign w:val="center"/>
                </w:tcPr>
                <w:p w14:paraId="57DD22BA">
                  <w:pPr>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r>
                    <w:rPr>
                      <w:rFonts w:hint="eastAsia" w:ascii="Times New Roman" w:hAnsi="Times New Roman" w:cs="Times New Roman"/>
                      <w:color w:val="auto"/>
                      <w:sz w:val="21"/>
                      <w:szCs w:val="21"/>
                      <w:highlight w:val="none"/>
                    </w:rPr>
                    <w:t>新建</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依托</w:t>
                  </w:r>
                </w:p>
              </w:tc>
            </w:tr>
            <w:tr w14:paraId="2D31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40" w:type="dxa"/>
                  <w:vMerge w:val="continue"/>
                  <w:noWrap w:val="0"/>
                  <w:vAlign w:val="center"/>
                </w:tcPr>
                <w:p w14:paraId="41541DD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483" w:type="dxa"/>
                  <w:vMerge w:val="continue"/>
                  <w:noWrap w:val="0"/>
                  <w:vAlign w:val="center"/>
                </w:tcPr>
                <w:p w14:paraId="1DFFCB3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930" w:type="dxa"/>
                  <w:noWrap w:val="0"/>
                  <w:vAlign w:val="center"/>
                </w:tcPr>
                <w:p w14:paraId="5A78B64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5353" w:type="dxa"/>
                  <w:noWrap w:val="0"/>
                  <w:vAlign w:val="center"/>
                </w:tcPr>
                <w:p w14:paraId="4392766C">
                  <w:pPr>
                    <w:keepNext w:val="0"/>
                    <w:keepLines w:val="0"/>
                    <w:suppressLineNumbers w:val="0"/>
                    <w:spacing w:before="0" w:beforeAutospacing="0" w:after="0" w:afterAutospacing="0"/>
                    <w:ind w:left="0" w:right="0"/>
                    <w:rPr>
                      <w:rFonts w:hint="eastAsia" w:cs="Times New Roman"/>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选用符合国家有关标准的机械</w:t>
                  </w:r>
                  <w:r>
                    <w:rPr>
                      <w:rFonts w:hint="eastAsia" w:ascii="宋体" w:hAnsi="宋体" w:eastAsia="宋体" w:cs="宋体"/>
                      <w:color w:val="auto"/>
                      <w:kern w:val="2"/>
                      <w:sz w:val="21"/>
                      <w:szCs w:val="21"/>
                      <w:highlight w:val="none"/>
                      <w:lang w:val="en-US" w:eastAsia="zh-CN" w:bidi="ar-SA"/>
                    </w:rPr>
                    <w:t>设备和</w:t>
                  </w:r>
                  <w:r>
                    <w:rPr>
                      <w:rFonts w:hint="default" w:ascii="宋体" w:hAnsi="宋体" w:eastAsia="宋体" w:cs="宋体"/>
                      <w:color w:val="auto"/>
                      <w:kern w:val="2"/>
                      <w:sz w:val="21"/>
                      <w:szCs w:val="21"/>
                      <w:highlight w:val="none"/>
                      <w:lang w:val="en-US" w:eastAsia="zh-CN" w:bidi="ar-SA"/>
                    </w:rPr>
                    <w:t>车辆，从源头降低噪声源强；合理安排施工时间，合理</w:t>
                  </w:r>
                  <w:r>
                    <w:rPr>
                      <w:rFonts w:hint="eastAsia" w:ascii="宋体" w:hAnsi="宋体" w:eastAsia="宋体" w:cs="宋体"/>
                      <w:color w:val="auto"/>
                      <w:kern w:val="2"/>
                      <w:sz w:val="21"/>
                      <w:szCs w:val="21"/>
                      <w:highlight w:val="none"/>
                      <w:lang w:val="en-US" w:eastAsia="zh-CN" w:bidi="ar-SA"/>
                    </w:rPr>
                    <w:t>布置</w:t>
                  </w:r>
                  <w:r>
                    <w:rPr>
                      <w:rFonts w:hint="default" w:ascii="宋体" w:hAnsi="宋体" w:eastAsia="宋体" w:cs="宋体"/>
                      <w:color w:val="auto"/>
                      <w:kern w:val="2"/>
                      <w:sz w:val="21"/>
                      <w:szCs w:val="21"/>
                      <w:highlight w:val="none"/>
                      <w:lang w:val="en-US" w:eastAsia="zh-CN" w:bidi="ar-SA"/>
                    </w:rPr>
                    <w:t>施工场地机械设置</w:t>
                  </w:r>
                  <w:r>
                    <w:rPr>
                      <w:rFonts w:hint="eastAsia" w:ascii="宋体" w:hAnsi="宋体" w:eastAsia="宋体" w:cs="宋体"/>
                      <w:color w:val="auto"/>
                      <w:kern w:val="2"/>
                      <w:sz w:val="21"/>
                      <w:szCs w:val="21"/>
                      <w:highlight w:val="none"/>
                      <w:lang w:val="en-US" w:eastAsia="zh-CN" w:bidi="ar-SA"/>
                    </w:rPr>
                    <w:t>，对钻机</w:t>
                  </w:r>
                  <w:r>
                    <w:rPr>
                      <w:rFonts w:hint="eastAsia" w:ascii="宋体" w:hAnsi="宋体" w:cs="宋体"/>
                      <w:color w:val="auto"/>
                      <w:kern w:val="2"/>
                      <w:sz w:val="21"/>
                      <w:szCs w:val="21"/>
                      <w:highlight w:val="none"/>
                      <w:lang w:val="en-US" w:eastAsia="zh-CN" w:bidi="ar-SA"/>
                    </w:rPr>
                    <w:t>、泥浆泵</w:t>
                  </w:r>
                  <w:r>
                    <w:rPr>
                      <w:rFonts w:hint="eastAsia" w:ascii="宋体" w:hAnsi="宋体" w:eastAsia="宋体" w:cs="宋体"/>
                      <w:color w:val="auto"/>
                      <w:kern w:val="2"/>
                      <w:sz w:val="21"/>
                      <w:szCs w:val="21"/>
                      <w:highlight w:val="none"/>
                      <w:lang w:val="en-US" w:eastAsia="zh-CN" w:bidi="ar-SA"/>
                    </w:rPr>
                    <w:t>等高噪声设备采取隔声、消声等</w:t>
                  </w:r>
                  <w:r>
                    <w:rPr>
                      <w:rFonts w:hint="default" w:ascii="宋体" w:hAnsi="宋体" w:eastAsia="宋体" w:cs="宋体"/>
                      <w:color w:val="auto"/>
                      <w:kern w:val="2"/>
                      <w:sz w:val="21"/>
                      <w:szCs w:val="21"/>
                      <w:highlight w:val="none"/>
                      <w:lang w:val="en-US" w:eastAsia="zh-CN" w:bidi="ar-SA"/>
                    </w:rPr>
                    <w:t>降噪措施</w:t>
                  </w:r>
                  <w:r>
                    <w:rPr>
                      <w:rFonts w:hint="eastAsia" w:ascii="宋体" w:hAnsi="宋体" w:eastAsia="宋体" w:cs="宋体"/>
                      <w:color w:val="auto"/>
                      <w:kern w:val="2"/>
                      <w:sz w:val="21"/>
                      <w:szCs w:val="21"/>
                      <w:highlight w:val="none"/>
                      <w:lang w:val="en-US" w:eastAsia="zh-CN" w:bidi="ar-SA"/>
                    </w:rPr>
                    <w:t>。</w:t>
                  </w:r>
                </w:p>
              </w:tc>
              <w:tc>
                <w:tcPr>
                  <w:tcW w:w="935" w:type="dxa"/>
                  <w:noWrap w:val="0"/>
                  <w:vAlign w:val="center"/>
                </w:tcPr>
                <w:p w14:paraId="77F0DD42">
                  <w:pPr>
                    <w:keepNext w:val="0"/>
                    <w:keepLines w:val="0"/>
                    <w:suppressLineNumbers w:val="0"/>
                    <w:spacing w:before="0" w:beforeAutospacing="0" w:after="0" w:afterAutospacing="0"/>
                    <w:ind w:left="0" w:right="0"/>
                    <w:jc w:val="center"/>
                    <w:rPr>
                      <w:rFonts w:hint="eastAsia" w:cs="Times New Roman"/>
                      <w:color w:val="auto"/>
                      <w:sz w:val="21"/>
                      <w:szCs w:val="21"/>
                      <w:lang w:val="en-US" w:eastAsia="zh-CN"/>
                    </w:rPr>
                  </w:pPr>
                  <w:r>
                    <w:rPr>
                      <w:rFonts w:hint="eastAsia" w:ascii="Times New Roman" w:hAnsi="Times New Roman" w:cs="Times New Roman"/>
                      <w:color w:val="auto"/>
                      <w:sz w:val="21"/>
                      <w:szCs w:val="21"/>
                    </w:rPr>
                    <w:t>新建</w:t>
                  </w:r>
                </w:p>
              </w:tc>
            </w:tr>
            <w:tr w14:paraId="76EC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40" w:type="dxa"/>
                  <w:vMerge w:val="continue"/>
                  <w:noWrap w:val="0"/>
                  <w:vAlign w:val="center"/>
                </w:tcPr>
                <w:p w14:paraId="67A3342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483" w:type="dxa"/>
                  <w:vMerge w:val="continue"/>
                  <w:noWrap w:val="0"/>
                  <w:vAlign w:val="center"/>
                </w:tcPr>
                <w:p w14:paraId="7416D75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930" w:type="dxa"/>
                  <w:noWrap w:val="0"/>
                  <w:vAlign w:val="center"/>
                </w:tcPr>
                <w:p w14:paraId="62B360B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固废</w:t>
                  </w:r>
                </w:p>
              </w:tc>
              <w:tc>
                <w:tcPr>
                  <w:tcW w:w="5353" w:type="dxa"/>
                  <w:noWrap w:val="0"/>
                  <w:vAlign w:val="center"/>
                </w:tcPr>
                <w:p w14:paraId="37D711E2">
                  <w:pPr>
                    <w:keepNext w:val="0"/>
                    <w:keepLines w:val="0"/>
                    <w:suppressLineNumbers w:val="0"/>
                    <w:spacing w:before="0" w:beforeAutospacing="0" w:after="0" w:afterAutospacing="0"/>
                    <w:ind w:left="0" w:right="0"/>
                    <w:rPr>
                      <w:rFonts w:hint="eastAsia" w:cs="Times New Roman"/>
                      <w:color w:val="auto"/>
                      <w:sz w:val="21"/>
                      <w:szCs w:val="21"/>
                      <w:highlight w:val="none"/>
                      <w:lang w:val="en-US" w:eastAsia="zh-CN"/>
                    </w:rPr>
                  </w:pPr>
                  <w:r>
                    <w:rPr>
                      <w:rFonts w:hint="eastAsia" w:cs="Times New Roman"/>
                      <w:color w:val="auto"/>
                      <w:kern w:val="0"/>
                      <w:sz w:val="21"/>
                      <w:szCs w:val="21"/>
                      <w:highlight w:val="none"/>
                      <w:lang w:val="en-US" w:eastAsia="zh-CN"/>
                    </w:rPr>
                    <w:t>剥离工程剥离土方不外排，剥离台阶土方直接向低处甩方自然堆弃，不设置排土场；</w:t>
                  </w:r>
                  <w:r>
                    <w:rPr>
                      <w:rFonts w:hint="eastAsia" w:ascii="Times New Roman" w:hAnsi="Times New Roman" w:eastAsia="宋体" w:cs="Times New Roman"/>
                      <w:color w:val="auto"/>
                      <w:sz w:val="21"/>
                      <w:szCs w:val="21"/>
                      <w:highlight w:val="none"/>
                      <w:lang w:val="en-US" w:eastAsia="zh-CN" w:bidi="ar"/>
                    </w:rPr>
                    <w:t>土石方堆放限制在火区治理范围内</w:t>
                  </w:r>
                  <w:r>
                    <w:rPr>
                      <w:rFonts w:hint="eastAsia" w:cs="Times New Roman"/>
                      <w:color w:val="auto"/>
                      <w:sz w:val="21"/>
                      <w:szCs w:val="21"/>
                      <w:highlight w:val="none"/>
                      <w:lang w:val="en-US" w:eastAsia="zh-CN" w:bidi="ar"/>
                    </w:rPr>
                    <w:t>，</w:t>
                  </w:r>
                  <w:r>
                    <w:rPr>
                      <w:rFonts w:hint="default"/>
                      <w:spacing w:val="-1"/>
                      <w:sz w:val="21"/>
                      <w:szCs w:val="21"/>
                      <w:highlight w:val="none"/>
                    </w:rPr>
                    <w:t>治理结束后可进行边坡防护、场地平整，再进行生态恢复</w:t>
                  </w:r>
                  <w:r>
                    <w:rPr>
                      <w:rFonts w:hint="eastAsia"/>
                      <w:spacing w:val="-1"/>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生活垃圾统一定点收集，委托环卫部门拉运至当地生活垃圾填埋场处理。</w:t>
                  </w:r>
                </w:p>
              </w:tc>
              <w:tc>
                <w:tcPr>
                  <w:tcW w:w="935" w:type="dxa"/>
                  <w:noWrap w:val="0"/>
                  <w:vAlign w:val="center"/>
                </w:tcPr>
                <w:p w14:paraId="1A84A658">
                  <w:pPr>
                    <w:keepNext w:val="0"/>
                    <w:keepLines w:val="0"/>
                    <w:suppressLineNumbers w:val="0"/>
                    <w:spacing w:before="0" w:beforeAutospacing="0" w:after="0" w:afterAutospacing="0"/>
                    <w:ind w:left="0" w:right="0"/>
                    <w:jc w:val="center"/>
                    <w:rPr>
                      <w:rFonts w:hint="eastAsia" w:cs="Times New Roman"/>
                      <w:color w:val="auto"/>
                      <w:sz w:val="21"/>
                      <w:szCs w:val="21"/>
                      <w:lang w:val="en-US" w:eastAsia="zh-CN"/>
                    </w:rPr>
                  </w:pPr>
                  <w:r>
                    <w:rPr>
                      <w:rFonts w:hint="eastAsia" w:ascii="Times New Roman" w:hAnsi="Times New Roman" w:cs="Times New Roman"/>
                      <w:color w:val="auto"/>
                      <w:sz w:val="21"/>
                      <w:szCs w:val="21"/>
                    </w:rPr>
                    <w:t>新建</w:t>
                  </w:r>
                </w:p>
              </w:tc>
            </w:tr>
            <w:tr w14:paraId="35AD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640" w:type="dxa"/>
                  <w:vMerge w:val="continue"/>
                  <w:noWrap w:val="0"/>
                  <w:vAlign w:val="center"/>
                </w:tcPr>
                <w:p w14:paraId="124A12B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483" w:type="dxa"/>
                  <w:vMerge w:val="continue"/>
                  <w:noWrap w:val="0"/>
                  <w:vAlign w:val="center"/>
                </w:tcPr>
                <w:p w14:paraId="116B05F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930" w:type="dxa"/>
                  <w:noWrap w:val="0"/>
                  <w:vAlign w:val="center"/>
                </w:tcPr>
                <w:p w14:paraId="7EB0D224">
                  <w:pPr>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土壤、地下水环境</w:t>
                  </w:r>
                </w:p>
              </w:tc>
              <w:tc>
                <w:tcPr>
                  <w:tcW w:w="5353" w:type="dxa"/>
                  <w:noWrap w:val="0"/>
                  <w:vAlign w:val="center"/>
                </w:tcPr>
                <w:p w14:paraId="05525F3E">
                  <w:pPr>
                    <w:keepNext w:val="0"/>
                    <w:keepLines w:val="0"/>
                    <w:suppressLineNumbers w:val="0"/>
                    <w:spacing w:before="0" w:beforeAutospacing="0" w:after="0" w:afterAutospacing="0"/>
                    <w:ind w:left="0" w:right="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钻探设备、注浆设备进场后，所有涉油、涉水设备下部均铺设土工膜及防渗布，设备周围铺设围堰，防止油、水跑冒渗漏，并及时清理防渗布表面油、水等污渍注浆过程实时监测，防治泥浆泄漏。</w:t>
                  </w:r>
                </w:p>
              </w:tc>
              <w:tc>
                <w:tcPr>
                  <w:tcW w:w="935" w:type="dxa"/>
                  <w:noWrap w:val="0"/>
                  <w:vAlign w:val="center"/>
                </w:tcPr>
                <w:p w14:paraId="55C20AFF">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新建</w:t>
                  </w:r>
                </w:p>
              </w:tc>
            </w:tr>
            <w:tr w14:paraId="3537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640" w:type="dxa"/>
                  <w:vMerge w:val="continue"/>
                  <w:noWrap w:val="0"/>
                  <w:vAlign w:val="center"/>
                </w:tcPr>
                <w:p w14:paraId="1241E3B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483" w:type="dxa"/>
                  <w:vMerge w:val="continue"/>
                  <w:noWrap w:val="0"/>
                  <w:vAlign w:val="center"/>
                </w:tcPr>
                <w:p w14:paraId="1DC7AB4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930" w:type="dxa"/>
                  <w:noWrap w:val="0"/>
                  <w:vAlign w:val="center"/>
                </w:tcPr>
                <w:p w14:paraId="2F73EF1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生态环境保护措施</w:t>
                  </w:r>
                </w:p>
              </w:tc>
              <w:tc>
                <w:tcPr>
                  <w:tcW w:w="5353" w:type="dxa"/>
                  <w:noWrap w:val="0"/>
                  <w:vAlign w:val="center"/>
                </w:tcPr>
                <w:p w14:paraId="77143E8B">
                  <w:pPr>
                    <w:keepNext w:val="0"/>
                    <w:keepLines w:val="0"/>
                    <w:suppressLineNumbers w:val="0"/>
                    <w:spacing w:before="0" w:beforeAutospacing="0" w:after="0" w:afterAutospacing="0"/>
                    <w:ind w:left="0" w:right="0"/>
                    <w:rPr>
                      <w:rFonts w:hint="eastAsia"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严格控制取土范围、规范开挖方式，取土后应及时固定边坡，按照技术规范要求比例进行放坡，防止取土场滑坡，取土场应设置截水沟以防止水土流失。火区治理区施工应充分利用原有道路，避免产生新的地貌破坏。火区注水和注浆过程中应严格按照规范进行，采取措施防止汽柴油等污染土壤环境。施工期应加强生态环境保护宣传教育，禁止施工作业人员捕杀野生动物和随意破坏野生植物。火区治理结束后应对取土场、火区治理区占用的临时牧草用地进行场地平整、植被恢复。</w:t>
                  </w:r>
                </w:p>
              </w:tc>
              <w:tc>
                <w:tcPr>
                  <w:tcW w:w="935" w:type="dxa"/>
                  <w:noWrap w:val="0"/>
                  <w:vAlign w:val="center"/>
                </w:tcPr>
                <w:p w14:paraId="352874B4">
                  <w:pPr>
                    <w:keepNext w:val="0"/>
                    <w:keepLines w:val="0"/>
                    <w:suppressLineNumbers w:val="0"/>
                    <w:spacing w:before="0" w:beforeAutospacing="0" w:after="0" w:afterAutospacing="0"/>
                    <w:ind w:left="0" w:right="0"/>
                    <w:jc w:val="center"/>
                    <w:rPr>
                      <w:rFonts w:hint="eastAsia" w:cs="Times New Roman"/>
                      <w:color w:val="auto"/>
                      <w:sz w:val="21"/>
                      <w:szCs w:val="21"/>
                      <w:lang w:val="en-US" w:eastAsia="zh-CN"/>
                    </w:rPr>
                  </w:pPr>
                  <w:r>
                    <w:rPr>
                      <w:rFonts w:hint="eastAsia" w:ascii="Times New Roman" w:hAnsi="Times New Roman" w:cs="Times New Roman"/>
                      <w:color w:val="auto"/>
                      <w:sz w:val="21"/>
                      <w:szCs w:val="21"/>
                    </w:rPr>
                    <w:t>新建</w:t>
                  </w:r>
                </w:p>
              </w:tc>
            </w:tr>
            <w:tr w14:paraId="257E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640" w:type="dxa"/>
                  <w:vMerge w:val="continue"/>
                  <w:noWrap w:val="0"/>
                  <w:vAlign w:val="center"/>
                </w:tcPr>
                <w:p w14:paraId="6893C44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483" w:type="dxa"/>
                  <w:noWrap w:val="0"/>
                  <w:vAlign w:val="center"/>
                </w:tcPr>
                <w:p w14:paraId="2AD891D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930" w:type="dxa"/>
                  <w:noWrap w:val="0"/>
                  <w:vAlign w:val="center"/>
                </w:tcPr>
                <w:p w14:paraId="2C08E662">
                  <w:pPr>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环境风险防范</w:t>
                  </w:r>
                </w:p>
              </w:tc>
              <w:tc>
                <w:tcPr>
                  <w:tcW w:w="5353" w:type="dxa"/>
                  <w:noWrap w:val="0"/>
                  <w:vAlign w:val="center"/>
                </w:tcPr>
                <w:p w14:paraId="728AA40C">
                  <w:pPr>
                    <w:keepNext w:val="0"/>
                    <w:keepLines w:val="0"/>
                    <w:suppressLineNumbers w:val="0"/>
                    <w:spacing w:before="0" w:beforeAutospacing="0" w:after="0" w:afterAutospacing="0"/>
                    <w:ind w:left="0" w:leftChars="0" w:right="0" w:rightChars="0"/>
                    <w:jc w:val="left"/>
                    <w:rPr>
                      <w:rFonts w:hint="eastAsia"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防止泥浆外溢，设置必要的护坡等，加强巡视、检查和日常宣传；加强钻孔、注水、注浆</w:t>
                  </w:r>
                  <w:r>
                    <w:rPr>
                      <w:rFonts w:hint="eastAsia" w:cs="Times New Roman"/>
                      <w:color w:val="auto"/>
                      <w:sz w:val="21"/>
                      <w:szCs w:val="21"/>
                      <w:highlight w:val="none"/>
                      <w:lang w:val="en-US" w:eastAsia="zh-CN"/>
                    </w:rPr>
                    <w:t>、覆盖</w:t>
                  </w:r>
                  <w:r>
                    <w:rPr>
                      <w:rFonts w:hint="eastAsia" w:ascii="Times New Roman" w:hAnsi="Times New Roman" w:eastAsia="宋体" w:cs="Times New Roman"/>
                      <w:color w:val="auto"/>
                      <w:sz w:val="21"/>
                      <w:szCs w:val="21"/>
                      <w:highlight w:val="none"/>
                      <w:lang w:val="en-US" w:eastAsia="zh-CN"/>
                    </w:rPr>
                    <w:t>等施工风险防范，建立应急处置制度。</w:t>
                  </w:r>
                </w:p>
              </w:tc>
              <w:tc>
                <w:tcPr>
                  <w:tcW w:w="935" w:type="dxa"/>
                  <w:noWrap w:val="0"/>
                  <w:vAlign w:val="center"/>
                </w:tcPr>
                <w:p w14:paraId="17181745">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新建</w:t>
                  </w:r>
                </w:p>
              </w:tc>
            </w:tr>
          </w:tbl>
          <w:p w14:paraId="376D316D">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3、阜康西沙沟火区范围</w:t>
            </w:r>
          </w:p>
          <w:p w14:paraId="54B8329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1" w:lineRule="auto"/>
              <w:ind w:left="0" w:right="0" w:firstLine="476"/>
              <w:textAlignment w:val="auto"/>
              <w:rPr>
                <w:rFonts w:hint="default" w:ascii="Times New Roman" w:hAnsi="Times New Roman" w:eastAsia="宋体" w:cs="Times New Roman"/>
                <w:color w:val="auto"/>
                <w:spacing w:val="6"/>
                <w:kern w:val="2"/>
                <w:sz w:val="24"/>
                <w:szCs w:val="24"/>
                <w:lang w:val="en-US" w:eastAsia="zh-CN" w:bidi="ar-SA"/>
              </w:rPr>
            </w:pPr>
            <w:r>
              <w:rPr>
                <w:rFonts w:hint="eastAsia" w:ascii="Times New Roman" w:hAnsi="Times New Roman" w:eastAsia="宋体" w:cs="Times New Roman"/>
                <w:color w:val="auto"/>
                <w:spacing w:val="6"/>
                <w:kern w:val="2"/>
                <w:sz w:val="24"/>
                <w:szCs w:val="24"/>
                <w:lang w:val="en-US" w:eastAsia="zh-CN" w:bidi="ar-SA"/>
              </w:rPr>
              <w:t>根据</w:t>
            </w:r>
            <w:r>
              <w:rPr>
                <w:rFonts w:hint="default" w:ascii="Times New Roman" w:hAnsi="Times New Roman" w:eastAsia="宋体" w:cs="Times New Roman"/>
                <w:color w:val="auto"/>
                <w:spacing w:val="6"/>
                <w:kern w:val="2"/>
                <w:sz w:val="24"/>
                <w:szCs w:val="24"/>
                <w:lang w:val="en-US" w:eastAsia="zh-CN" w:bidi="ar-SA"/>
              </w:rPr>
              <w:t>新疆维吾尔自治区煤田地质局综合地质勘查队2025年9月编制提交的《阜康西沙沟煤田火区详细勘查报告》</w:t>
            </w:r>
            <w:r>
              <w:rPr>
                <w:rFonts w:hint="eastAsia" w:cs="Times New Roman"/>
                <w:color w:val="auto"/>
                <w:spacing w:val="6"/>
                <w:kern w:val="2"/>
                <w:sz w:val="24"/>
                <w:szCs w:val="24"/>
                <w:lang w:val="en-US" w:eastAsia="zh-CN" w:bidi="ar-SA"/>
              </w:rPr>
              <w:t>，</w:t>
            </w:r>
            <w:r>
              <w:rPr>
                <w:rFonts w:hint="default" w:ascii="Times New Roman" w:hAnsi="Times New Roman" w:eastAsia="宋体" w:cs="Times New Roman"/>
                <w:color w:val="auto"/>
                <w:spacing w:val="6"/>
                <w:kern w:val="2"/>
                <w:sz w:val="24"/>
                <w:szCs w:val="24"/>
                <w:lang w:val="en-US" w:eastAsia="zh-CN" w:bidi="ar-SA"/>
              </w:rPr>
              <w:t>阜康西沙沟火区共有5处子火区， 1号、2地和3号子火区为地表火区，2井和4号子火区为井下火区，各子火区相互之间无贯通影响，总面积90282m</w:t>
            </w:r>
            <w:r>
              <w:rPr>
                <w:rFonts w:hint="default" w:ascii="Times New Roman" w:hAnsi="Times New Roman" w:eastAsia="宋体" w:cs="Times New Roman"/>
                <w:color w:val="auto"/>
                <w:spacing w:val="6"/>
                <w:kern w:val="2"/>
                <w:sz w:val="24"/>
                <w:szCs w:val="24"/>
                <w:vertAlign w:val="superscript"/>
                <w:lang w:val="en-US" w:eastAsia="zh-CN" w:bidi="ar-SA"/>
              </w:rPr>
              <w:t>2</w:t>
            </w:r>
            <w:r>
              <w:rPr>
                <w:rFonts w:hint="default" w:ascii="Times New Roman" w:hAnsi="Times New Roman" w:eastAsia="宋体" w:cs="Times New Roman"/>
                <w:color w:val="auto"/>
                <w:spacing w:val="6"/>
                <w:kern w:val="2"/>
                <w:sz w:val="24"/>
                <w:szCs w:val="24"/>
                <w:lang w:val="en-US" w:eastAsia="zh-CN" w:bidi="ar-SA"/>
              </w:rPr>
              <w:t>，最大燃烧深度240m，最大燃烧底界标高为+930m。燃烧煤层为A3、A4、A7、A8煤层。</w:t>
            </w:r>
            <w:r>
              <w:rPr>
                <w:rFonts w:hint="eastAsia" w:cs="Times New Roman"/>
                <w:color w:val="auto"/>
                <w:spacing w:val="6"/>
                <w:kern w:val="2"/>
                <w:sz w:val="24"/>
                <w:szCs w:val="24"/>
                <w:lang w:val="en-US" w:eastAsia="zh-CN" w:bidi="ar-SA"/>
              </w:rPr>
              <w:t>阜康西沙沟火区范围见表2-2和图2-1所示。</w:t>
            </w:r>
          </w:p>
          <w:p w14:paraId="0F1663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宋体"/>
                <w:b/>
                <w:bCs/>
                <w:color w:val="auto"/>
                <w:szCs w:val="21"/>
                <w:lang w:val="en-US" w:eastAsia="zh-CN"/>
              </w:rPr>
            </w:pPr>
            <w:r>
              <w:rPr>
                <w:rFonts w:hint="eastAsia" w:ascii="Times New Roman" w:hAnsi="Times New Roman" w:cs="宋体"/>
                <w:b/>
                <w:bCs/>
                <w:color w:val="auto"/>
                <w:szCs w:val="21"/>
              </w:rPr>
              <w:t>表</w:t>
            </w:r>
            <w:r>
              <w:rPr>
                <w:rFonts w:hint="eastAsia" w:ascii="Times New Roman" w:hAnsi="Times New Roman" w:cs="宋体"/>
                <w:b/>
                <w:bCs/>
                <w:color w:val="auto"/>
                <w:szCs w:val="21"/>
                <w:lang w:val="en-US" w:eastAsia="zh-CN"/>
              </w:rPr>
              <w:t>2-</w:t>
            </w:r>
            <w:r>
              <w:rPr>
                <w:rFonts w:hint="eastAsia" w:cs="宋体"/>
                <w:b/>
                <w:bCs/>
                <w:color w:val="auto"/>
                <w:szCs w:val="21"/>
                <w:lang w:val="en-US" w:eastAsia="zh-CN"/>
              </w:rPr>
              <w:t>2</w:t>
            </w:r>
            <w:r>
              <w:rPr>
                <w:rFonts w:hint="eastAsia" w:ascii="Times New Roman" w:hAnsi="Times New Roman" w:cs="宋体"/>
                <w:b/>
                <w:bCs/>
                <w:color w:val="auto"/>
                <w:szCs w:val="21"/>
              </w:rPr>
              <w:t xml:space="preserve">  </w:t>
            </w:r>
            <w:r>
              <w:rPr>
                <w:rFonts w:hint="eastAsia" w:cs="宋体"/>
                <w:b/>
                <w:bCs/>
                <w:color w:val="auto"/>
                <w:szCs w:val="21"/>
                <w:lang w:val="en-US" w:eastAsia="zh-CN"/>
              </w:rPr>
              <w:t xml:space="preserve">  阜康西沙沟火区统计表</w:t>
            </w:r>
          </w:p>
          <w:tbl>
            <w:tblPr>
              <w:tblStyle w:val="27"/>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5"/>
              <w:gridCol w:w="1530"/>
              <w:gridCol w:w="1650"/>
              <w:gridCol w:w="1065"/>
              <w:gridCol w:w="1080"/>
              <w:gridCol w:w="1082"/>
            </w:tblGrid>
            <w:tr w14:paraId="7540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59343CC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火区编号</w:t>
                  </w:r>
                </w:p>
              </w:tc>
              <w:tc>
                <w:tcPr>
                  <w:tcW w:w="1275" w:type="dxa"/>
                  <w:vAlign w:val="center"/>
                </w:tcPr>
                <w:p w14:paraId="002DC19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火区尺寸</w:t>
                  </w:r>
                </w:p>
              </w:tc>
              <w:tc>
                <w:tcPr>
                  <w:tcW w:w="1530" w:type="dxa"/>
                  <w:vAlign w:val="center"/>
                </w:tcPr>
                <w:p w14:paraId="0EAD7ED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最大燃烧深度</w:t>
                  </w:r>
                </w:p>
                <w:p w14:paraId="4F8D753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（m）</w:t>
                  </w:r>
                </w:p>
              </w:tc>
              <w:tc>
                <w:tcPr>
                  <w:tcW w:w="1650" w:type="dxa"/>
                  <w:vAlign w:val="center"/>
                </w:tcPr>
                <w:p w14:paraId="2A12780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燃烧底界标高</w:t>
                  </w:r>
                </w:p>
                <w:p w14:paraId="2A7CAA7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（m）</w:t>
                  </w:r>
                </w:p>
              </w:tc>
              <w:tc>
                <w:tcPr>
                  <w:tcW w:w="1065" w:type="dxa"/>
                  <w:vAlign w:val="center"/>
                </w:tcPr>
                <w:p w14:paraId="3680D91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面积（m</w:t>
                  </w:r>
                  <w:r>
                    <w:rPr>
                      <w:rFonts w:hint="eastAsia" w:ascii="Times New Roman" w:hAnsi="Times New Roman" w:eastAsia="宋体" w:cs="Times New Roman"/>
                      <w:caps w:val="0"/>
                      <w:color w:val="auto"/>
                      <w:szCs w:val="21"/>
                      <w:highlight w:val="none"/>
                      <w:vertAlign w:val="superscript"/>
                      <w:lang w:val="en-US" w:eastAsia="zh-CN"/>
                    </w:rPr>
                    <w:t>2</w:t>
                  </w:r>
                  <w:r>
                    <w:rPr>
                      <w:rFonts w:hint="eastAsia" w:ascii="Times New Roman" w:hAnsi="Times New Roman" w:eastAsia="宋体" w:cs="Times New Roman"/>
                      <w:caps w:val="0"/>
                      <w:color w:val="auto"/>
                      <w:szCs w:val="21"/>
                      <w:highlight w:val="none"/>
                      <w:lang w:val="en-US" w:eastAsia="zh-CN"/>
                    </w:rPr>
                    <w:t>）</w:t>
                  </w:r>
                </w:p>
              </w:tc>
              <w:tc>
                <w:tcPr>
                  <w:tcW w:w="1080" w:type="dxa"/>
                  <w:vAlign w:val="center"/>
                </w:tcPr>
                <w:p w14:paraId="6D06EBA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燃烧煤层</w:t>
                  </w:r>
                </w:p>
              </w:tc>
              <w:tc>
                <w:tcPr>
                  <w:tcW w:w="1082" w:type="dxa"/>
                  <w:vAlign w:val="center"/>
                </w:tcPr>
                <w:p w14:paraId="6F38900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备注</w:t>
                  </w:r>
                </w:p>
              </w:tc>
            </w:tr>
            <w:tr w14:paraId="5382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896B003">
                  <w:pPr>
                    <w:pStyle w:val="106"/>
                    <w:keepNext w:val="0"/>
                    <w:keepLines w:val="0"/>
                    <w:suppressLineNumbers w:val="0"/>
                    <w:spacing w:before="155" w:beforeAutospacing="0" w:after="0" w:afterAutospacing="0" w:line="196"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1号</w:t>
                  </w:r>
                </w:p>
              </w:tc>
              <w:tc>
                <w:tcPr>
                  <w:tcW w:w="1275" w:type="dxa"/>
                  <w:vAlign w:val="center"/>
                </w:tcPr>
                <w:p w14:paraId="617ED6B5">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长约114m</w:t>
                  </w:r>
                </w:p>
                <w:p w14:paraId="17F68B21">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宽约87m</w:t>
                  </w:r>
                </w:p>
              </w:tc>
              <w:tc>
                <w:tcPr>
                  <w:tcW w:w="1530" w:type="dxa"/>
                  <w:vAlign w:val="center"/>
                </w:tcPr>
                <w:p w14:paraId="0BEDC88E">
                  <w:pPr>
                    <w:pStyle w:val="106"/>
                    <w:keepNext w:val="0"/>
                    <w:keepLines w:val="0"/>
                    <w:suppressLineNumbers w:val="0"/>
                    <w:spacing w:before="173"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52</w:t>
                  </w:r>
                </w:p>
              </w:tc>
              <w:tc>
                <w:tcPr>
                  <w:tcW w:w="1650" w:type="dxa"/>
                  <w:vAlign w:val="center"/>
                </w:tcPr>
                <w:p w14:paraId="322FE13D">
                  <w:pPr>
                    <w:pStyle w:val="106"/>
                    <w:keepNext w:val="0"/>
                    <w:keepLines w:val="0"/>
                    <w:suppressLineNumbers w:val="0"/>
                    <w:spacing w:before="173"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+1048</w:t>
                  </w:r>
                </w:p>
              </w:tc>
              <w:tc>
                <w:tcPr>
                  <w:tcW w:w="1065" w:type="dxa"/>
                  <w:vAlign w:val="center"/>
                </w:tcPr>
                <w:p w14:paraId="20855730">
                  <w:pPr>
                    <w:pStyle w:val="106"/>
                    <w:keepNext w:val="0"/>
                    <w:keepLines w:val="0"/>
                    <w:suppressLineNumbers w:val="0"/>
                    <w:spacing w:before="173"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8268</w:t>
                  </w:r>
                </w:p>
              </w:tc>
              <w:tc>
                <w:tcPr>
                  <w:tcW w:w="1080" w:type="dxa"/>
                  <w:vAlign w:val="center"/>
                </w:tcPr>
                <w:p w14:paraId="1E28CF90">
                  <w:pPr>
                    <w:pStyle w:val="106"/>
                    <w:keepNext w:val="0"/>
                    <w:keepLines w:val="0"/>
                    <w:suppressLineNumbers w:val="0"/>
                    <w:spacing w:before="173"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A7</w:t>
                  </w:r>
                </w:p>
              </w:tc>
              <w:tc>
                <w:tcPr>
                  <w:tcW w:w="1082" w:type="dxa"/>
                  <w:vAlign w:val="center"/>
                </w:tcPr>
                <w:p w14:paraId="59D34629">
                  <w:pPr>
                    <w:keepNext w:val="0"/>
                    <w:keepLines w:val="0"/>
                    <w:suppressLineNumbers w:val="0"/>
                    <w:spacing w:before="154" w:beforeAutospacing="0" w:after="0" w:afterAutospacing="0" w:line="197"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地表火区</w:t>
                  </w:r>
                </w:p>
              </w:tc>
            </w:tr>
            <w:tr w14:paraId="1988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032F2F7">
                  <w:pPr>
                    <w:pStyle w:val="106"/>
                    <w:keepNext w:val="0"/>
                    <w:keepLines w:val="0"/>
                    <w:suppressLineNumbers w:val="0"/>
                    <w:spacing w:before="161" w:beforeAutospacing="0" w:after="0" w:afterAutospacing="0" w:line="196"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2井</w:t>
                  </w:r>
                </w:p>
              </w:tc>
              <w:tc>
                <w:tcPr>
                  <w:tcW w:w="1275" w:type="dxa"/>
                  <w:vAlign w:val="center"/>
                </w:tcPr>
                <w:p w14:paraId="13C90151">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长约795m</w:t>
                  </w:r>
                </w:p>
                <w:p w14:paraId="49366FAB">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宽约39m</w:t>
                  </w:r>
                </w:p>
              </w:tc>
              <w:tc>
                <w:tcPr>
                  <w:tcW w:w="1530" w:type="dxa"/>
                  <w:vAlign w:val="center"/>
                </w:tcPr>
                <w:p w14:paraId="7685CD46">
                  <w:pPr>
                    <w:pStyle w:val="106"/>
                    <w:keepNext w:val="0"/>
                    <w:keepLines w:val="0"/>
                    <w:suppressLineNumbers w:val="0"/>
                    <w:spacing w:before="179"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133</w:t>
                  </w:r>
                </w:p>
              </w:tc>
              <w:tc>
                <w:tcPr>
                  <w:tcW w:w="1650" w:type="dxa"/>
                  <w:vAlign w:val="center"/>
                </w:tcPr>
                <w:p w14:paraId="10AB9E64">
                  <w:pPr>
                    <w:pStyle w:val="106"/>
                    <w:keepNext w:val="0"/>
                    <w:keepLines w:val="0"/>
                    <w:suppressLineNumbers w:val="0"/>
                    <w:spacing w:before="179" w:beforeAutospacing="0" w:after="0" w:afterAutospacing="0" w:line="181"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+1010 ～+1030</w:t>
                  </w:r>
                </w:p>
              </w:tc>
              <w:tc>
                <w:tcPr>
                  <w:tcW w:w="1065" w:type="dxa"/>
                  <w:vAlign w:val="center"/>
                </w:tcPr>
                <w:p w14:paraId="57EA02B1">
                  <w:pPr>
                    <w:pStyle w:val="106"/>
                    <w:keepNext w:val="0"/>
                    <w:keepLines w:val="0"/>
                    <w:suppressLineNumbers w:val="0"/>
                    <w:spacing w:before="179"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30994</w:t>
                  </w:r>
                </w:p>
              </w:tc>
              <w:tc>
                <w:tcPr>
                  <w:tcW w:w="1080" w:type="dxa"/>
                  <w:vAlign w:val="center"/>
                </w:tcPr>
                <w:p w14:paraId="3E190FB9">
                  <w:pPr>
                    <w:pStyle w:val="106"/>
                    <w:keepNext w:val="0"/>
                    <w:keepLines w:val="0"/>
                    <w:suppressLineNumbers w:val="0"/>
                    <w:spacing w:before="179"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A7</w:t>
                  </w:r>
                </w:p>
              </w:tc>
              <w:tc>
                <w:tcPr>
                  <w:tcW w:w="1082" w:type="dxa"/>
                  <w:vAlign w:val="center"/>
                </w:tcPr>
                <w:p w14:paraId="1EA01166">
                  <w:pPr>
                    <w:keepNext w:val="0"/>
                    <w:keepLines w:val="0"/>
                    <w:suppressLineNumbers w:val="0"/>
                    <w:spacing w:before="160" w:beforeAutospacing="0" w:after="0" w:afterAutospacing="0" w:line="197"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井下火区</w:t>
                  </w:r>
                </w:p>
              </w:tc>
            </w:tr>
            <w:tr w14:paraId="57C3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7369D152">
                  <w:pPr>
                    <w:pStyle w:val="106"/>
                    <w:keepNext w:val="0"/>
                    <w:keepLines w:val="0"/>
                    <w:suppressLineNumbers w:val="0"/>
                    <w:spacing w:before="167" w:beforeAutospacing="0" w:after="0" w:afterAutospacing="0" w:line="193"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2地</w:t>
                  </w:r>
                </w:p>
              </w:tc>
              <w:tc>
                <w:tcPr>
                  <w:tcW w:w="1275" w:type="dxa"/>
                  <w:vAlign w:val="center"/>
                </w:tcPr>
                <w:p w14:paraId="4F2AC55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长约94m</w:t>
                  </w:r>
                </w:p>
                <w:p w14:paraId="3107DD3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宽约65m</w:t>
                  </w:r>
                </w:p>
              </w:tc>
              <w:tc>
                <w:tcPr>
                  <w:tcW w:w="1530" w:type="dxa"/>
                  <w:vAlign w:val="center"/>
                </w:tcPr>
                <w:p w14:paraId="51AAE41B">
                  <w:pPr>
                    <w:pStyle w:val="106"/>
                    <w:keepNext w:val="0"/>
                    <w:keepLines w:val="0"/>
                    <w:suppressLineNumbers w:val="0"/>
                    <w:spacing w:before="181"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105</w:t>
                  </w:r>
                </w:p>
              </w:tc>
              <w:tc>
                <w:tcPr>
                  <w:tcW w:w="1650" w:type="dxa"/>
                  <w:vAlign w:val="center"/>
                </w:tcPr>
                <w:p w14:paraId="3D0B5120">
                  <w:pPr>
                    <w:pStyle w:val="106"/>
                    <w:keepNext w:val="0"/>
                    <w:keepLines w:val="0"/>
                    <w:suppressLineNumbers w:val="0"/>
                    <w:spacing w:before="181"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+1048</w:t>
                  </w:r>
                </w:p>
              </w:tc>
              <w:tc>
                <w:tcPr>
                  <w:tcW w:w="1065" w:type="dxa"/>
                  <w:vAlign w:val="center"/>
                </w:tcPr>
                <w:p w14:paraId="0C6901BF">
                  <w:pPr>
                    <w:pStyle w:val="106"/>
                    <w:keepNext w:val="0"/>
                    <w:keepLines w:val="0"/>
                    <w:suppressLineNumbers w:val="0"/>
                    <w:spacing w:before="181"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4134</w:t>
                  </w:r>
                </w:p>
              </w:tc>
              <w:tc>
                <w:tcPr>
                  <w:tcW w:w="1080" w:type="dxa"/>
                  <w:vAlign w:val="center"/>
                </w:tcPr>
                <w:p w14:paraId="19C3F0F8">
                  <w:pPr>
                    <w:pStyle w:val="106"/>
                    <w:keepNext w:val="0"/>
                    <w:keepLines w:val="0"/>
                    <w:suppressLineNumbers w:val="0"/>
                    <w:spacing w:before="181"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A7</w:t>
                  </w:r>
                </w:p>
              </w:tc>
              <w:tc>
                <w:tcPr>
                  <w:tcW w:w="1082" w:type="dxa"/>
                  <w:vAlign w:val="center"/>
                </w:tcPr>
                <w:p w14:paraId="0F2E4FFF">
                  <w:pPr>
                    <w:keepNext w:val="0"/>
                    <w:keepLines w:val="0"/>
                    <w:suppressLineNumbers w:val="0"/>
                    <w:spacing w:before="163" w:beforeAutospacing="0" w:after="0" w:afterAutospacing="0" w:line="197"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地表火区</w:t>
                  </w:r>
                </w:p>
              </w:tc>
            </w:tr>
            <w:tr w14:paraId="2B74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2488805">
                  <w:pPr>
                    <w:pStyle w:val="106"/>
                    <w:keepNext w:val="0"/>
                    <w:keepLines w:val="0"/>
                    <w:suppressLineNumbers w:val="0"/>
                    <w:spacing w:before="168" w:beforeAutospacing="0" w:after="0" w:afterAutospacing="0" w:line="196"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3号</w:t>
                  </w:r>
                </w:p>
              </w:tc>
              <w:tc>
                <w:tcPr>
                  <w:tcW w:w="1275" w:type="dxa"/>
                  <w:vAlign w:val="center"/>
                </w:tcPr>
                <w:p w14:paraId="532C8168">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长约136m</w:t>
                  </w:r>
                </w:p>
                <w:p w14:paraId="65006367">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宽约20m</w:t>
                  </w:r>
                </w:p>
              </w:tc>
              <w:tc>
                <w:tcPr>
                  <w:tcW w:w="1530" w:type="dxa"/>
                  <w:vAlign w:val="center"/>
                </w:tcPr>
                <w:p w14:paraId="5A940EC4">
                  <w:pPr>
                    <w:pStyle w:val="106"/>
                    <w:keepNext w:val="0"/>
                    <w:keepLines w:val="0"/>
                    <w:suppressLineNumbers w:val="0"/>
                    <w:spacing w:before="185"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48</w:t>
                  </w:r>
                </w:p>
              </w:tc>
              <w:tc>
                <w:tcPr>
                  <w:tcW w:w="1650" w:type="dxa"/>
                  <w:vAlign w:val="center"/>
                </w:tcPr>
                <w:p w14:paraId="3A59632D">
                  <w:pPr>
                    <w:pStyle w:val="106"/>
                    <w:keepNext w:val="0"/>
                    <w:keepLines w:val="0"/>
                    <w:suppressLineNumbers w:val="0"/>
                    <w:spacing w:before="185" w:beforeAutospacing="0" w:after="0" w:afterAutospacing="0" w:line="181"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+1125 ～+1160</w:t>
                  </w:r>
                </w:p>
              </w:tc>
              <w:tc>
                <w:tcPr>
                  <w:tcW w:w="1065" w:type="dxa"/>
                  <w:vAlign w:val="center"/>
                </w:tcPr>
                <w:p w14:paraId="0A42333D">
                  <w:pPr>
                    <w:pStyle w:val="106"/>
                    <w:keepNext w:val="0"/>
                    <w:keepLines w:val="0"/>
                    <w:suppressLineNumbers w:val="0"/>
                    <w:spacing w:before="185"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3457</w:t>
                  </w:r>
                </w:p>
              </w:tc>
              <w:tc>
                <w:tcPr>
                  <w:tcW w:w="1080" w:type="dxa"/>
                  <w:vAlign w:val="center"/>
                </w:tcPr>
                <w:p w14:paraId="589D4FC7">
                  <w:pPr>
                    <w:pStyle w:val="106"/>
                    <w:keepNext w:val="0"/>
                    <w:keepLines w:val="0"/>
                    <w:suppressLineNumbers w:val="0"/>
                    <w:spacing w:before="185"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A8</w:t>
                  </w:r>
                </w:p>
              </w:tc>
              <w:tc>
                <w:tcPr>
                  <w:tcW w:w="1082" w:type="dxa"/>
                  <w:vAlign w:val="center"/>
                </w:tcPr>
                <w:p w14:paraId="4B9E45C2">
                  <w:pPr>
                    <w:keepNext w:val="0"/>
                    <w:keepLines w:val="0"/>
                    <w:suppressLineNumbers w:val="0"/>
                    <w:spacing w:before="166" w:beforeAutospacing="0" w:after="0" w:afterAutospacing="0" w:line="197"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地表火区</w:t>
                  </w:r>
                </w:p>
              </w:tc>
            </w:tr>
            <w:tr w14:paraId="4ADF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09" w:type="dxa"/>
                  <w:vAlign w:val="center"/>
                </w:tcPr>
                <w:p w14:paraId="1D307B3C">
                  <w:pPr>
                    <w:pStyle w:val="106"/>
                    <w:keepNext w:val="0"/>
                    <w:keepLines w:val="0"/>
                    <w:suppressLineNumbers w:val="0"/>
                    <w:spacing w:before="170" w:beforeAutospacing="0" w:after="0" w:afterAutospacing="0" w:line="196"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4号</w:t>
                  </w:r>
                </w:p>
              </w:tc>
              <w:tc>
                <w:tcPr>
                  <w:tcW w:w="1275" w:type="dxa"/>
                  <w:vAlign w:val="center"/>
                </w:tcPr>
                <w:p w14:paraId="2767046B">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长约933m</w:t>
                  </w:r>
                </w:p>
                <w:p w14:paraId="523745E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宽约70m</w:t>
                  </w:r>
                </w:p>
              </w:tc>
              <w:tc>
                <w:tcPr>
                  <w:tcW w:w="1530" w:type="dxa"/>
                  <w:vAlign w:val="center"/>
                </w:tcPr>
                <w:p w14:paraId="0737C69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95"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240</w:t>
                  </w:r>
                </w:p>
              </w:tc>
              <w:tc>
                <w:tcPr>
                  <w:tcW w:w="1650" w:type="dxa"/>
                  <w:vAlign w:val="center"/>
                </w:tcPr>
                <w:p w14:paraId="0459759D">
                  <w:pPr>
                    <w:pStyle w:val="106"/>
                    <w:keepNext w:val="0"/>
                    <w:keepLines w:val="0"/>
                    <w:suppressLineNumbers w:val="0"/>
                    <w:spacing w:before="188"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+930</w:t>
                  </w:r>
                </w:p>
              </w:tc>
              <w:tc>
                <w:tcPr>
                  <w:tcW w:w="1065" w:type="dxa"/>
                  <w:vAlign w:val="center"/>
                </w:tcPr>
                <w:p w14:paraId="1D458F0E">
                  <w:pPr>
                    <w:pStyle w:val="106"/>
                    <w:keepNext w:val="0"/>
                    <w:keepLines w:val="0"/>
                    <w:suppressLineNumbers w:val="0"/>
                    <w:spacing w:before="188"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43429</w:t>
                  </w:r>
                </w:p>
              </w:tc>
              <w:tc>
                <w:tcPr>
                  <w:tcW w:w="1080" w:type="dxa"/>
                  <w:vAlign w:val="center"/>
                </w:tcPr>
                <w:p w14:paraId="1C6BFCF3">
                  <w:pPr>
                    <w:pStyle w:val="106"/>
                    <w:keepNext w:val="0"/>
                    <w:keepLines w:val="0"/>
                    <w:suppressLineNumbers w:val="0"/>
                    <w:spacing w:before="187" w:beforeAutospacing="0" w:after="0" w:afterAutospacing="0" w:line="181"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A3、A4</w:t>
                  </w:r>
                </w:p>
              </w:tc>
              <w:tc>
                <w:tcPr>
                  <w:tcW w:w="1082" w:type="dxa"/>
                  <w:vAlign w:val="center"/>
                </w:tcPr>
                <w:p w14:paraId="40965E4E">
                  <w:pPr>
                    <w:keepNext w:val="0"/>
                    <w:keepLines w:val="0"/>
                    <w:suppressLineNumbers w:val="0"/>
                    <w:spacing w:before="169" w:beforeAutospacing="0" w:after="0" w:afterAutospacing="0" w:line="197"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井下火区</w:t>
                  </w:r>
                </w:p>
              </w:tc>
            </w:tr>
            <w:tr w14:paraId="4074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6439663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合计</w:t>
                  </w:r>
                </w:p>
              </w:tc>
              <w:tc>
                <w:tcPr>
                  <w:tcW w:w="1275" w:type="dxa"/>
                  <w:vAlign w:val="center"/>
                </w:tcPr>
                <w:p w14:paraId="625AE0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w:t>
                  </w:r>
                </w:p>
              </w:tc>
              <w:tc>
                <w:tcPr>
                  <w:tcW w:w="1530" w:type="dxa"/>
                  <w:vAlign w:val="center"/>
                </w:tcPr>
                <w:p w14:paraId="176F651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w:t>
                  </w:r>
                </w:p>
              </w:tc>
              <w:tc>
                <w:tcPr>
                  <w:tcW w:w="1650" w:type="dxa"/>
                  <w:vAlign w:val="center"/>
                </w:tcPr>
                <w:p w14:paraId="521BC77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w:t>
                  </w:r>
                </w:p>
              </w:tc>
              <w:tc>
                <w:tcPr>
                  <w:tcW w:w="1065" w:type="dxa"/>
                  <w:vAlign w:val="center"/>
                </w:tcPr>
                <w:p w14:paraId="5D42429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90282</w:t>
                  </w:r>
                </w:p>
              </w:tc>
              <w:tc>
                <w:tcPr>
                  <w:tcW w:w="1080" w:type="dxa"/>
                  <w:vAlign w:val="center"/>
                </w:tcPr>
                <w:p w14:paraId="12FE66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w:t>
                  </w:r>
                </w:p>
              </w:tc>
              <w:tc>
                <w:tcPr>
                  <w:tcW w:w="1082" w:type="dxa"/>
                  <w:vAlign w:val="center"/>
                </w:tcPr>
                <w:p w14:paraId="3BB183C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w:t>
                  </w:r>
                </w:p>
              </w:tc>
            </w:tr>
          </w:tbl>
          <w:p w14:paraId="6071D2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cs="Times New Roman"/>
                <w:b/>
                <w:bCs/>
                <w:color w:val="auto"/>
                <w:sz w:val="24"/>
                <w:lang w:val="en-US" w:eastAsia="zh-CN"/>
              </w:rPr>
            </w:pPr>
          </w:p>
          <w:p w14:paraId="2D4335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cs="Times New Roman"/>
                <w:b/>
                <w:bCs/>
                <w:color w:val="auto"/>
                <w:sz w:val="24"/>
                <w:lang w:val="en-US" w:eastAsia="zh-CN"/>
              </w:rPr>
            </w:pPr>
          </w:p>
          <w:p w14:paraId="0176FE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图2-1  阜康西沙沟火区分布示意图</w:t>
            </w:r>
          </w:p>
          <w:p w14:paraId="475DD70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4、阜康西沙沟火区灭火工程治理范围</w:t>
            </w:r>
          </w:p>
          <w:p w14:paraId="25AD998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1" w:lineRule="auto"/>
              <w:ind w:left="0" w:right="0" w:firstLine="476"/>
              <w:textAlignment w:val="auto"/>
              <w:rPr>
                <w:rFonts w:hint="default" w:ascii="Times New Roman" w:hAnsi="Times New Roman" w:eastAsia="宋体" w:cs="Times New Roman"/>
                <w:color w:val="auto"/>
                <w:spacing w:val="6"/>
                <w:kern w:val="2"/>
                <w:sz w:val="24"/>
                <w:szCs w:val="24"/>
                <w:lang w:val="en-US" w:eastAsia="zh-CN" w:bidi="ar-SA"/>
              </w:rPr>
            </w:pPr>
            <w:r>
              <w:rPr>
                <w:rFonts w:hint="default" w:ascii="Times New Roman" w:hAnsi="Times New Roman" w:eastAsia="宋体" w:cs="Times New Roman"/>
                <w:color w:val="auto"/>
                <w:spacing w:val="6"/>
                <w:kern w:val="2"/>
                <w:sz w:val="24"/>
                <w:szCs w:val="24"/>
                <w:lang w:val="en-US" w:eastAsia="zh-CN" w:bidi="ar-SA"/>
              </w:rPr>
              <w:t>根据《关于上报&lt;阜康市西沙沟煤田火区详细勘查报告&gt;备案的报告》 ，2井子火区、4号子火区属井工煤矿火区（火灾），不属于煤田火区。因此本次</w:t>
            </w:r>
            <w:r>
              <w:rPr>
                <w:rFonts w:hint="eastAsia" w:cs="Times New Roman"/>
                <w:b w:val="0"/>
                <w:bCs w:val="0"/>
                <w:color w:val="auto"/>
                <w:sz w:val="24"/>
                <w:lang w:val="en-US" w:eastAsia="zh-CN"/>
              </w:rPr>
              <w:t>阜康西沙沟火区灭火工程治理范围</w:t>
            </w:r>
            <w:r>
              <w:rPr>
                <w:rFonts w:hint="eastAsia" w:cs="Times New Roman"/>
                <w:color w:val="auto"/>
                <w:spacing w:val="6"/>
                <w:kern w:val="2"/>
                <w:sz w:val="24"/>
                <w:szCs w:val="24"/>
                <w:lang w:val="en-US" w:eastAsia="zh-CN" w:bidi="ar-SA"/>
              </w:rPr>
              <w:t>为</w:t>
            </w:r>
            <w:r>
              <w:rPr>
                <w:rFonts w:hint="default" w:ascii="Times New Roman" w:hAnsi="Times New Roman" w:eastAsia="宋体" w:cs="Times New Roman"/>
                <w:color w:val="auto"/>
                <w:spacing w:val="6"/>
                <w:kern w:val="2"/>
                <w:sz w:val="24"/>
                <w:szCs w:val="24"/>
                <w:lang w:val="en-US" w:eastAsia="zh-CN" w:bidi="ar-SA"/>
              </w:rPr>
              <w:t>1号、2地和3号子火区，火区面积为15859m</w:t>
            </w:r>
            <w:r>
              <w:rPr>
                <w:rFonts w:hint="default" w:ascii="Times New Roman" w:hAnsi="Times New Roman" w:eastAsia="宋体" w:cs="Times New Roman"/>
                <w:color w:val="auto"/>
                <w:spacing w:val="6"/>
                <w:kern w:val="2"/>
                <w:sz w:val="24"/>
                <w:szCs w:val="24"/>
                <w:vertAlign w:val="superscript"/>
                <w:lang w:val="en-US" w:eastAsia="zh-CN" w:bidi="ar-SA"/>
              </w:rPr>
              <w:t>2</w:t>
            </w:r>
            <w:r>
              <w:rPr>
                <w:rFonts w:hint="default" w:ascii="Times New Roman" w:hAnsi="Times New Roman" w:eastAsia="宋体" w:cs="Times New Roman"/>
                <w:color w:val="auto"/>
                <w:spacing w:val="6"/>
                <w:kern w:val="2"/>
                <w:sz w:val="24"/>
                <w:szCs w:val="24"/>
                <w:lang w:val="en-US" w:eastAsia="zh-CN" w:bidi="ar-SA"/>
              </w:rPr>
              <w:t>，最大燃烧深度105m，最大燃烧底界标高为+1048m。燃烧煤层为A7、A8煤层。</w:t>
            </w:r>
          </w:p>
          <w:p w14:paraId="374925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宋体"/>
                <w:b/>
                <w:bCs/>
                <w:color w:val="auto"/>
                <w:szCs w:val="21"/>
                <w:lang w:val="en-US" w:eastAsia="zh-CN"/>
              </w:rPr>
            </w:pPr>
            <w:r>
              <w:rPr>
                <w:rFonts w:hint="eastAsia" w:ascii="Times New Roman" w:hAnsi="Times New Roman" w:cs="宋体"/>
                <w:b/>
                <w:bCs/>
                <w:color w:val="auto"/>
                <w:szCs w:val="21"/>
              </w:rPr>
              <w:t>表</w:t>
            </w:r>
            <w:r>
              <w:rPr>
                <w:rFonts w:hint="eastAsia" w:ascii="Times New Roman" w:hAnsi="Times New Roman" w:cs="宋体"/>
                <w:b/>
                <w:bCs/>
                <w:color w:val="auto"/>
                <w:szCs w:val="21"/>
                <w:lang w:val="en-US" w:eastAsia="zh-CN"/>
              </w:rPr>
              <w:t>2-</w:t>
            </w:r>
            <w:r>
              <w:rPr>
                <w:rFonts w:hint="eastAsia" w:cs="宋体"/>
                <w:b/>
                <w:bCs/>
                <w:color w:val="auto"/>
                <w:szCs w:val="21"/>
                <w:lang w:val="en-US" w:eastAsia="zh-CN"/>
              </w:rPr>
              <w:t>2</w:t>
            </w:r>
            <w:r>
              <w:rPr>
                <w:rFonts w:hint="eastAsia" w:ascii="Times New Roman" w:hAnsi="Times New Roman" w:cs="宋体"/>
                <w:b/>
                <w:bCs/>
                <w:color w:val="auto"/>
                <w:szCs w:val="21"/>
              </w:rPr>
              <w:t xml:space="preserve">  </w:t>
            </w:r>
            <w:r>
              <w:rPr>
                <w:rFonts w:hint="eastAsia" w:cs="宋体"/>
                <w:b/>
                <w:bCs/>
                <w:color w:val="auto"/>
                <w:szCs w:val="21"/>
                <w:lang w:val="en-US" w:eastAsia="zh-CN"/>
              </w:rPr>
              <w:t xml:space="preserve">  阜康西沙沟火区灭火工程治理范围统计表</w:t>
            </w:r>
          </w:p>
          <w:tbl>
            <w:tblPr>
              <w:tblStyle w:val="27"/>
              <w:tblW w:w="8391"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5"/>
              <w:gridCol w:w="1530"/>
              <w:gridCol w:w="1650"/>
              <w:gridCol w:w="1065"/>
              <w:gridCol w:w="1080"/>
              <w:gridCol w:w="1082"/>
            </w:tblGrid>
            <w:tr w14:paraId="711E76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9" w:type="dxa"/>
                  <w:tcBorders>
                    <w:tl2br w:val="nil"/>
                    <w:tr2bl w:val="nil"/>
                  </w:tcBorders>
                  <w:vAlign w:val="center"/>
                </w:tcPr>
                <w:p w14:paraId="38CC427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火区编号</w:t>
                  </w:r>
                </w:p>
              </w:tc>
              <w:tc>
                <w:tcPr>
                  <w:tcW w:w="1275" w:type="dxa"/>
                  <w:tcBorders>
                    <w:tl2br w:val="nil"/>
                    <w:tr2bl w:val="nil"/>
                  </w:tcBorders>
                  <w:vAlign w:val="center"/>
                </w:tcPr>
                <w:p w14:paraId="490A46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火区尺寸</w:t>
                  </w:r>
                </w:p>
              </w:tc>
              <w:tc>
                <w:tcPr>
                  <w:tcW w:w="1530" w:type="dxa"/>
                  <w:tcBorders>
                    <w:tl2br w:val="nil"/>
                    <w:tr2bl w:val="nil"/>
                  </w:tcBorders>
                  <w:vAlign w:val="center"/>
                </w:tcPr>
                <w:p w14:paraId="7DA0BC5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最大燃烧深度</w:t>
                  </w:r>
                </w:p>
                <w:p w14:paraId="1BFD6F7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（m）</w:t>
                  </w:r>
                </w:p>
              </w:tc>
              <w:tc>
                <w:tcPr>
                  <w:tcW w:w="1650" w:type="dxa"/>
                  <w:tcBorders>
                    <w:tl2br w:val="nil"/>
                    <w:tr2bl w:val="nil"/>
                  </w:tcBorders>
                  <w:vAlign w:val="center"/>
                </w:tcPr>
                <w:p w14:paraId="657548A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燃烧底界标高</w:t>
                  </w:r>
                </w:p>
                <w:p w14:paraId="266A7A7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（m）</w:t>
                  </w:r>
                </w:p>
              </w:tc>
              <w:tc>
                <w:tcPr>
                  <w:tcW w:w="1065" w:type="dxa"/>
                  <w:tcBorders>
                    <w:tl2br w:val="nil"/>
                    <w:tr2bl w:val="nil"/>
                  </w:tcBorders>
                  <w:vAlign w:val="center"/>
                </w:tcPr>
                <w:p w14:paraId="60CA4ED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面积（m</w:t>
                  </w:r>
                  <w:r>
                    <w:rPr>
                      <w:rFonts w:hint="eastAsia" w:ascii="Times New Roman" w:hAnsi="Times New Roman" w:eastAsia="宋体" w:cs="Times New Roman"/>
                      <w:caps w:val="0"/>
                      <w:color w:val="auto"/>
                      <w:szCs w:val="21"/>
                      <w:highlight w:val="none"/>
                      <w:vertAlign w:val="superscript"/>
                      <w:lang w:val="en-US" w:eastAsia="zh-CN"/>
                    </w:rPr>
                    <w:t>2</w:t>
                  </w:r>
                  <w:r>
                    <w:rPr>
                      <w:rFonts w:hint="eastAsia" w:ascii="Times New Roman" w:hAnsi="Times New Roman" w:eastAsia="宋体" w:cs="Times New Roman"/>
                      <w:caps w:val="0"/>
                      <w:color w:val="auto"/>
                      <w:szCs w:val="21"/>
                      <w:highlight w:val="none"/>
                      <w:lang w:val="en-US" w:eastAsia="zh-CN"/>
                    </w:rPr>
                    <w:t>）</w:t>
                  </w:r>
                </w:p>
              </w:tc>
              <w:tc>
                <w:tcPr>
                  <w:tcW w:w="1080" w:type="dxa"/>
                  <w:tcBorders>
                    <w:tl2br w:val="nil"/>
                    <w:tr2bl w:val="nil"/>
                  </w:tcBorders>
                  <w:vAlign w:val="center"/>
                </w:tcPr>
                <w:p w14:paraId="07EB38A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燃烧煤层</w:t>
                  </w:r>
                </w:p>
              </w:tc>
              <w:tc>
                <w:tcPr>
                  <w:tcW w:w="1082" w:type="dxa"/>
                  <w:tcBorders>
                    <w:tl2br w:val="nil"/>
                    <w:tr2bl w:val="nil"/>
                  </w:tcBorders>
                  <w:vAlign w:val="center"/>
                </w:tcPr>
                <w:p w14:paraId="65D4C46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备注</w:t>
                  </w:r>
                </w:p>
              </w:tc>
            </w:tr>
            <w:tr w14:paraId="702F25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9" w:type="dxa"/>
                  <w:tcBorders>
                    <w:tl2br w:val="nil"/>
                    <w:tr2bl w:val="nil"/>
                  </w:tcBorders>
                  <w:vAlign w:val="center"/>
                </w:tcPr>
                <w:p w14:paraId="5B6FF949">
                  <w:pPr>
                    <w:pStyle w:val="106"/>
                    <w:keepNext w:val="0"/>
                    <w:keepLines w:val="0"/>
                    <w:suppressLineNumbers w:val="0"/>
                    <w:spacing w:before="155" w:beforeAutospacing="0" w:after="0" w:afterAutospacing="0" w:line="196"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1号</w:t>
                  </w:r>
                </w:p>
              </w:tc>
              <w:tc>
                <w:tcPr>
                  <w:tcW w:w="1275" w:type="dxa"/>
                  <w:tcBorders>
                    <w:tl2br w:val="nil"/>
                    <w:tr2bl w:val="nil"/>
                  </w:tcBorders>
                  <w:vAlign w:val="center"/>
                </w:tcPr>
                <w:p w14:paraId="536ABD18">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长约114m</w:t>
                  </w:r>
                </w:p>
                <w:p w14:paraId="0CB4A2A4">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宽约87m</w:t>
                  </w:r>
                </w:p>
              </w:tc>
              <w:tc>
                <w:tcPr>
                  <w:tcW w:w="1530" w:type="dxa"/>
                  <w:tcBorders>
                    <w:tl2br w:val="nil"/>
                    <w:tr2bl w:val="nil"/>
                  </w:tcBorders>
                  <w:vAlign w:val="center"/>
                </w:tcPr>
                <w:p w14:paraId="14B1EAC7">
                  <w:pPr>
                    <w:pStyle w:val="106"/>
                    <w:keepNext w:val="0"/>
                    <w:keepLines w:val="0"/>
                    <w:suppressLineNumbers w:val="0"/>
                    <w:spacing w:before="173"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52</w:t>
                  </w:r>
                </w:p>
              </w:tc>
              <w:tc>
                <w:tcPr>
                  <w:tcW w:w="1650" w:type="dxa"/>
                  <w:tcBorders>
                    <w:tl2br w:val="nil"/>
                    <w:tr2bl w:val="nil"/>
                  </w:tcBorders>
                  <w:vAlign w:val="center"/>
                </w:tcPr>
                <w:p w14:paraId="7F711625">
                  <w:pPr>
                    <w:pStyle w:val="106"/>
                    <w:keepNext w:val="0"/>
                    <w:keepLines w:val="0"/>
                    <w:suppressLineNumbers w:val="0"/>
                    <w:spacing w:before="173"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+1048</w:t>
                  </w:r>
                </w:p>
              </w:tc>
              <w:tc>
                <w:tcPr>
                  <w:tcW w:w="1065" w:type="dxa"/>
                  <w:tcBorders>
                    <w:tl2br w:val="nil"/>
                    <w:tr2bl w:val="nil"/>
                  </w:tcBorders>
                  <w:vAlign w:val="center"/>
                </w:tcPr>
                <w:p w14:paraId="4F7C5711">
                  <w:pPr>
                    <w:pStyle w:val="106"/>
                    <w:keepNext w:val="0"/>
                    <w:keepLines w:val="0"/>
                    <w:suppressLineNumbers w:val="0"/>
                    <w:spacing w:before="173"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8268</w:t>
                  </w:r>
                </w:p>
              </w:tc>
              <w:tc>
                <w:tcPr>
                  <w:tcW w:w="1080" w:type="dxa"/>
                  <w:tcBorders>
                    <w:tl2br w:val="nil"/>
                    <w:tr2bl w:val="nil"/>
                  </w:tcBorders>
                  <w:vAlign w:val="center"/>
                </w:tcPr>
                <w:p w14:paraId="6C1D7072">
                  <w:pPr>
                    <w:pStyle w:val="106"/>
                    <w:keepNext w:val="0"/>
                    <w:keepLines w:val="0"/>
                    <w:suppressLineNumbers w:val="0"/>
                    <w:spacing w:before="173"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A7</w:t>
                  </w:r>
                </w:p>
              </w:tc>
              <w:tc>
                <w:tcPr>
                  <w:tcW w:w="1082" w:type="dxa"/>
                  <w:tcBorders>
                    <w:tl2br w:val="nil"/>
                    <w:tr2bl w:val="nil"/>
                  </w:tcBorders>
                  <w:vAlign w:val="center"/>
                </w:tcPr>
                <w:p w14:paraId="0980D06D">
                  <w:pPr>
                    <w:keepNext w:val="0"/>
                    <w:keepLines w:val="0"/>
                    <w:suppressLineNumbers w:val="0"/>
                    <w:spacing w:before="154" w:beforeAutospacing="0" w:after="0" w:afterAutospacing="0" w:line="197"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地表火区</w:t>
                  </w:r>
                </w:p>
              </w:tc>
            </w:tr>
            <w:tr w14:paraId="76668E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9" w:type="dxa"/>
                  <w:tcBorders>
                    <w:tl2br w:val="nil"/>
                    <w:tr2bl w:val="nil"/>
                  </w:tcBorders>
                  <w:vAlign w:val="center"/>
                </w:tcPr>
                <w:p w14:paraId="3757F687">
                  <w:pPr>
                    <w:pStyle w:val="106"/>
                    <w:keepNext w:val="0"/>
                    <w:keepLines w:val="0"/>
                    <w:suppressLineNumbers w:val="0"/>
                    <w:spacing w:before="167" w:beforeAutospacing="0" w:after="0" w:afterAutospacing="0" w:line="193"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2地</w:t>
                  </w:r>
                </w:p>
              </w:tc>
              <w:tc>
                <w:tcPr>
                  <w:tcW w:w="1275" w:type="dxa"/>
                  <w:tcBorders>
                    <w:tl2br w:val="nil"/>
                    <w:tr2bl w:val="nil"/>
                  </w:tcBorders>
                  <w:vAlign w:val="center"/>
                </w:tcPr>
                <w:p w14:paraId="3DD13CC5">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长约94m</w:t>
                  </w:r>
                </w:p>
                <w:p w14:paraId="10C8B6AB">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宽约65m</w:t>
                  </w:r>
                </w:p>
              </w:tc>
              <w:tc>
                <w:tcPr>
                  <w:tcW w:w="1530" w:type="dxa"/>
                  <w:tcBorders>
                    <w:tl2br w:val="nil"/>
                    <w:tr2bl w:val="nil"/>
                  </w:tcBorders>
                  <w:vAlign w:val="center"/>
                </w:tcPr>
                <w:p w14:paraId="4F12D569">
                  <w:pPr>
                    <w:pStyle w:val="106"/>
                    <w:keepNext w:val="0"/>
                    <w:keepLines w:val="0"/>
                    <w:suppressLineNumbers w:val="0"/>
                    <w:spacing w:before="181"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105</w:t>
                  </w:r>
                </w:p>
              </w:tc>
              <w:tc>
                <w:tcPr>
                  <w:tcW w:w="1650" w:type="dxa"/>
                  <w:tcBorders>
                    <w:tl2br w:val="nil"/>
                    <w:tr2bl w:val="nil"/>
                  </w:tcBorders>
                  <w:vAlign w:val="center"/>
                </w:tcPr>
                <w:p w14:paraId="510D0202">
                  <w:pPr>
                    <w:pStyle w:val="106"/>
                    <w:keepNext w:val="0"/>
                    <w:keepLines w:val="0"/>
                    <w:suppressLineNumbers w:val="0"/>
                    <w:spacing w:before="181"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+1048</w:t>
                  </w:r>
                </w:p>
              </w:tc>
              <w:tc>
                <w:tcPr>
                  <w:tcW w:w="1065" w:type="dxa"/>
                  <w:tcBorders>
                    <w:tl2br w:val="nil"/>
                    <w:tr2bl w:val="nil"/>
                  </w:tcBorders>
                  <w:vAlign w:val="center"/>
                </w:tcPr>
                <w:p w14:paraId="3B20F1A3">
                  <w:pPr>
                    <w:pStyle w:val="106"/>
                    <w:keepNext w:val="0"/>
                    <w:keepLines w:val="0"/>
                    <w:suppressLineNumbers w:val="0"/>
                    <w:spacing w:before="181"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4134</w:t>
                  </w:r>
                </w:p>
              </w:tc>
              <w:tc>
                <w:tcPr>
                  <w:tcW w:w="1080" w:type="dxa"/>
                  <w:tcBorders>
                    <w:tl2br w:val="nil"/>
                    <w:tr2bl w:val="nil"/>
                  </w:tcBorders>
                  <w:vAlign w:val="center"/>
                </w:tcPr>
                <w:p w14:paraId="056E0B94">
                  <w:pPr>
                    <w:pStyle w:val="106"/>
                    <w:keepNext w:val="0"/>
                    <w:keepLines w:val="0"/>
                    <w:suppressLineNumbers w:val="0"/>
                    <w:spacing w:before="181"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A7</w:t>
                  </w:r>
                </w:p>
              </w:tc>
              <w:tc>
                <w:tcPr>
                  <w:tcW w:w="1082" w:type="dxa"/>
                  <w:tcBorders>
                    <w:tl2br w:val="nil"/>
                    <w:tr2bl w:val="nil"/>
                  </w:tcBorders>
                  <w:vAlign w:val="center"/>
                </w:tcPr>
                <w:p w14:paraId="73921580">
                  <w:pPr>
                    <w:keepNext w:val="0"/>
                    <w:keepLines w:val="0"/>
                    <w:suppressLineNumbers w:val="0"/>
                    <w:spacing w:before="163" w:beforeAutospacing="0" w:after="0" w:afterAutospacing="0" w:line="197"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地表火区</w:t>
                  </w:r>
                </w:p>
              </w:tc>
            </w:tr>
            <w:tr w14:paraId="66CB73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9" w:type="dxa"/>
                  <w:tcBorders>
                    <w:tl2br w:val="nil"/>
                    <w:tr2bl w:val="nil"/>
                  </w:tcBorders>
                  <w:vAlign w:val="center"/>
                </w:tcPr>
                <w:p w14:paraId="22B1D677">
                  <w:pPr>
                    <w:pStyle w:val="106"/>
                    <w:keepNext w:val="0"/>
                    <w:keepLines w:val="0"/>
                    <w:suppressLineNumbers w:val="0"/>
                    <w:spacing w:before="168" w:beforeAutospacing="0" w:after="0" w:afterAutospacing="0" w:line="196"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3号</w:t>
                  </w:r>
                </w:p>
              </w:tc>
              <w:tc>
                <w:tcPr>
                  <w:tcW w:w="1275" w:type="dxa"/>
                  <w:tcBorders>
                    <w:tl2br w:val="nil"/>
                    <w:tr2bl w:val="nil"/>
                  </w:tcBorders>
                  <w:vAlign w:val="center"/>
                </w:tcPr>
                <w:p w14:paraId="183667C1">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长约136m</w:t>
                  </w:r>
                </w:p>
                <w:p w14:paraId="36C7768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宽约20m</w:t>
                  </w:r>
                </w:p>
              </w:tc>
              <w:tc>
                <w:tcPr>
                  <w:tcW w:w="1530" w:type="dxa"/>
                  <w:tcBorders>
                    <w:tl2br w:val="nil"/>
                    <w:tr2bl w:val="nil"/>
                  </w:tcBorders>
                  <w:vAlign w:val="center"/>
                </w:tcPr>
                <w:p w14:paraId="0756B332">
                  <w:pPr>
                    <w:pStyle w:val="106"/>
                    <w:keepNext w:val="0"/>
                    <w:keepLines w:val="0"/>
                    <w:suppressLineNumbers w:val="0"/>
                    <w:spacing w:before="185"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48</w:t>
                  </w:r>
                </w:p>
              </w:tc>
              <w:tc>
                <w:tcPr>
                  <w:tcW w:w="1650" w:type="dxa"/>
                  <w:tcBorders>
                    <w:tl2br w:val="nil"/>
                    <w:tr2bl w:val="nil"/>
                  </w:tcBorders>
                  <w:vAlign w:val="center"/>
                </w:tcPr>
                <w:p w14:paraId="3F0BA1A7">
                  <w:pPr>
                    <w:pStyle w:val="106"/>
                    <w:keepNext w:val="0"/>
                    <w:keepLines w:val="0"/>
                    <w:suppressLineNumbers w:val="0"/>
                    <w:spacing w:before="185" w:beforeAutospacing="0" w:after="0" w:afterAutospacing="0" w:line="181"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+1125 ～+1160</w:t>
                  </w:r>
                </w:p>
              </w:tc>
              <w:tc>
                <w:tcPr>
                  <w:tcW w:w="1065" w:type="dxa"/>
                  <w:tcBorders>
                    <w:tl2br w:val="nil"/>
                    <w:tr2bl w:val="nil"/>
                  </w:tcBorders>
                  <w:vAlign w:val="center"/>
                </w:tcPr>
                <w:p w14:paraId="6B30F2E4">
                  <w:pPr>
                    <w:pStyle w:val="106"/>
                    <w:keepNext w:val="0"/>
                    <w:keepLines w:val="0"/>
                    <w:suppressLineNumbers w:val="0"/>
                    <w:spacing w:before="185"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3457</w:t>
                  </w:r>
                </w:p>
              </w:tc>
              <w:tc>
                <w:tcPr>
                  <w:tcW w:w="1080" w:type="dxa"/>
                  <w:tcBorders>
                    <w:tl2br w:val="nil"/>
                    <w:tr2bl w:val="nil"/>
                  </w:tcBorders>
                  <w:vAlign w:val="center"/>
                </w:tcPr>
                <w:p w14:paraId="143E32AC">
                  <w:pPr>
                    <w:pStyle w:val="106"/>
                    <w:keepNext w:val="0"/>
                    <w:keepLines w:val="0"/>
                    <w:suppressLineNumbers w:val="0"/>
                    <w:spacing w:before="185" w:beforeAutospacing="0" w:after="0" w:afterAutospacing="0" w:line="195"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A8</w:t>
                  </w:r>
                </w:p>
              </w:tc>
              <w:tc>
                <w:tcPr>
                  <w:tcW w:w="1082" w:type="dxa"/>
                  <w:tcBorders>
                    <w:tl2br w:val="nil"/>
                    <w:tr2bl w:val="nil"/>
                  </w:tcBorders>
                  <w:vAlign w:val="center"/>
                </w:tcPr>
                <w:p w14:paraId="31C762AC">
                  <w:pPr>
                    <w:keepNext w:val="0"/>
                    <w:keepLines w:val="0"/>
                    <w:suppressLineNumbers w:val="0"/>
                    <w:spacing w:before="166" w:beforeAutospacing="0" w:after="0" w:afterAutospacing="0" w:line="197" w:lineRule="auto"/>
                    <w:ind w:left="0" w:right="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地表火区</w:t>
                  </w:r>
                </w:p>
              </w:tc>
            </w:tr>
            <w:tr w14:paraId="1DACD5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9" w:type="dxa"/>
                  <w:tcBorders>
                    <w:tl2br w:val="nil"/>
                    <w:tr2bl w:val="nil"/>
                  </w:tcBorders>
                </w:tcPr>
                <w:p w14:paraId="30C42B4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合计</w:t>
                  </w:r>
                </w:p>
              </w:tc>
              <w:tc>
                <w:tcPr>
                  <w:tcW w:w="1275" w:type="dxa"/>
                  <w:tcBorders>
                    <w:tl2br w:val="nil"/>
                    <w:tr2bl w:val="nil"/>
                  </w:tcBorders>
                  <w:vAlign w:val="center"/>
                </w:tcPr>
                <w:p w14:paraId="0B2F13C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w:t>
                  </w:r>
                </w:p>
              </w:tc>
              <w:tc>
                <w:tcPr>
                  <w:tcW w:w="1530" w:type="dxa"/>
                  <w:tcBorders>
                    <w:tl2br w:val="nil"/>
                    <w:tr2bl w:val="nil"/>
                  </w:tcBorders>
                  <w:vAlign w:val="center"/>
                </w:tcPr>
                <w:p w14:paraId="15569EC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w:t>
                  </w:r>
                </w:p>
              </w:tc>
              <w:tc>
                <w:tcPr>
                  <w:tcW w:w="1650" w:type="dxa"/>
                  <w:tcBorders>
                    <w:tl2br w:val="nil"/>
                    <w:tr2bl w:val="nil"/>
                  </w:tcBorders>
                  <w:vAlign w:val="center"/>
                </w:tcPr>
                <w:p w14:paraId="5A124D6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w:t>
                  </w:r>
                </w:p>
              </w:tc>
              <w:tc>
                <w:tcPr>
                  <w:tcW w:w="1065" w:type="dxa"/>
                  <w:tcBorders>
                    <w:tl2br w:val="nil"/>
                    <w:tr2bl w:val="nil"/>
                  </w:tcBorders>
                  <w:vAlign w:val="center"/>
                </w:tcPr>
                <w:p w14:paraId="4D47FEA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15859</w:t>
                  </w:r>
                </w:p>
              </w:tc>
              <w:tc>
                <w:tcPr>
                  <w:tcW w:w="1080" w:type="dxa"/>
                  <w:tcBorders>
                    <w:tl2br w:val="nil"/>
                    <w:tr2bl w:val="nil"/>
                  </w:tcBorders>
                  <w:vAlign w:val="center"/>
                </w:tcPr>
                <w:p w14:paraId="3869297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w:t>
                  </w:r>
                </w:p>
              </w:tc>
              <w:tc>
                <w:tcPr>
                  <w:tcW w:w="1082" w:type="dxa"/>
                  <w:tcBorders>
                    <w:tl2br w:val="nil"/>
                    <w:tr2bl w:val="nil"/>
                  </w:tcBorders>
                  <w:vAlign w:val="center"/>
                </w:tcPr>
                <w:p w14:paraId="3054021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w:t>
                  </w:r>
                </w:p>
              </w:tc>
            </w:tr>
          </w:tbl>
          <w:p w14:paraId="125F5B90">
            <w:pPr>
              <w:pStyle w:val="10"/>
              <w:keepNext w:val="0"/>
              <w:keepLines w:val="0"/>
              <w:pageBreakBefore w:val="0"/>
              <w:widowControl/>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504" w:firstLineChars="200"/>
              <w:textAlignment w:val="auto"/>
              <w:rPr>
                <w:rFonts w:hint="default" w:ascii="Times New Roman" w:hAnsi="Times New Roman" w:eastAsia="宋体" w:cs="Times New Roman"/>
                <w:color w:val="auto"/>
                <w:spacing w:val="6"/>
                <w:kern w:val="2"/>
                <w:sz w:val="24"/>
                <w:szCs w:val="24"/>
                <w:lang w:val="en-US" w:eastAsia="zh-CN" w:bidi="ar-SA"/>
              </w:rPr>
            </w:pPr>
            <w:r>
              <w:rPr>
                <w:rFonts w:hint="default" w:ascii="Times New Roman" w:hAnsi="Times New Roman" w:eastAsia="宋体" w:cs="Times New Roman"/>
                <w:color w:val="auto"/>
                <w:spacing w:val="6"/>
                <w:kern w:val="2"/>
                <w:sz w:val="24"/>
                <w:szCs w:val="24"/>
                <w:lang w:val="en-US" w:eastAsia="zh-CN" w:bidi="ar-SA"/>
              </w:rPr>
              <w:t>由于本火区治理区范围内，包含剥离、钻探覆盖等工程，最终治理区范围面积为669</w:t>
            </w:r>
            <w:r>
              <w:rPr>
                <w:rFonts w:hint="eastAsia" w:cs="Times New Roman"/>
                <w:color w:val="auto"/>
                <w:spacing w:val="6"/>
                <w:kern w:val="2"/>
                <w:sz w:val="24"/>
                <w:szCs w:val="24"/>
                <w:lang w:val="en-US" w:eastAsia="zh-CN" w:bidi="ar-SA"/>
              </w:rPr>
              <w:t>64</w:t>
            </w:r>
            <w:r>
              <w:rPr>
                <w:rFonts w:hint="default" w:ascii="Times New Roman" w:hAnsi="Times New Roman" w:eastAsia="宋体" w:cs="Times New Roman"/>
                <w:color w:val="auto"/>
                <w:spacing w:val="6"/>
                <w:kern w:val="2"/>
                <w:sz w:val="24"/>
                <w:szCs w:val="24"/>
                <w:lang w:val="en-US" w:eastAsia="zh-CN" w:bidi="ar-SA"/>
              </w:rPr>
              <w:t>m</w:t>
            </w:r>
            <w:r>
              <w:rPr>
                <w:rFonts w:hint="default" w:ascii="Times New Roman" w:hAnsi="Times New Roman" w:eastAsia="宋体" w:cs="Times New Roman"/>
                <w:color w:val="auto"/>
                <w:spacing w:val="6"/>
                <w:kern w:val="2"/>
                <w:sz w:val="24"/>
                <w:szCs w:val="24"/>
                <w:vertAlign w:val="superscript"/>
                <w:lang w:val="en-US" w:eastAsia="zh-CN" w:bidi="ar-SA"/>
              </w:rPr>
              <w:t>2</w:t>
            </w:r>
            <w:r>
              <w:rPr>
                <w:rFonts w:hint="default" w:ascii="Times New Roman" w:hAnsi="Times New Roman" w:eastAsia="宋体" w:cs="Times New Roman"/>
                <w:color w:val="auto"/>
                <w:spacing w:val="6"/>
                <w:kern w:val="2"/>
                <w:sz w:val="24"/>
                <w:szCs w:val="24"/>
                <w:lang w:val="en-US" w:eastAsia="zh-CN" w:bidi="ar-SA"/>
              </w:rPr>
              <w:t>，各子火区面积分别为30</w:t>
            </w:r>
            <w:r>
              <w:rPr>
                <w:rFonts w:hint="eastAsia" w:cs="Times New Roman"/>
                <w:color w:val="auto"/>
                <w:spacing w:val="6"/>
                <w:kern w:val="2"/>
                <w:sz w:val="24"/>
                <w:szCs w:val="24"/>
                <w:lang w:val="en-US" w:eastAsia="zh-CN" w:bidi="ar-SA"/>
              </w:rPr>
              <w:t>133</w:t>
            </w:r>
            <w:r>
              <w:rPr>
                <w:rFonts w:hint="default" w:ascii="Times New Roman" w:hAnsi="Times New Roman" w:eastAsia="宋体" w:cs="Times New Roman"/>
                <w:color w:val="auto"/>
                <w:spacing w:val="6"/>
                <w:kern w:val="2"/>
                <w:sz w:val="24"/>
                <w:szCs w:val="24"/>
                <w:lang w:val="en-US" w:eastAsia="zh-CN" w:bidi="ar-SA"/>
              </w:rPr>
              <w:t>m</w:t>
            </w:r>
            <w:r>
              <w:rPr>
                <w:rFonts w:hint="default" w:ascii="Times New Roman" w:hAnsi="Times New Roman" w:eastAsia="宋体" w:cs="Times New Roman"/>
                <w:color w:val="auto"/>
                <w:spacing w:val="6"/>
                <w:kern w:val="2"/>
                <w:sz w:val="24"/>
                <w:szCs w:val="24"/>
                <w:vertAlign w:val="superscript"/>
                <w:lang w:val="en-US" w:eastAsia="zh-CN" w:bidi="ar-SA"/>
              </w:rPr>
              <w:t>2</w:t>
            </w:r>
            <w:r>
              <w:rPr>
                <w:rFonts w:hint="default" w:ascii="Times New Roman" w:hAnsi="Times New Roman" w:eastAsia="宋体" w:cs="Times New Roman"/>
                <w:color w:val="auto"/>
                <w:spacing w:val="6"/>
                <w:kern w:val="2"/>
                <w:sz w:val="24"/>
                <w:szCs w:val="24"/>
                <w:lang w:val="en-US" w:eastAsia="zh-CN" w:bidi="ar-SA"/>
              </w:rPr>
              <w:t xml:space="preserve"> 、170</w:t>
            </w:r>
            <w:r>
              <w:rPr>
                <w:rFonts w:hint="eastAsia" w:cs="Times New Roman"/>
                <w:color w:val="auto"/>
                <w:spacing w:val="6"/>
                <w:kern w:val="2"/>
                <w:sz w:val="24"/>
                <w:szCs w:val="24"/>
                <w:lang w:val="en-US" w:eastAsia="zh-CN" w:bidi="ar-SA"/>
              </w:rPr>
              <w:t>55</w:t>
            </w:r>
            <w:r>
              <w:rPr>
                <w:rFonts w:hint="default" w:ascii="Times New Roman" w:hAnsi="Times New Roman" w:eastAsia="宋体" w:cs="Times New Roman"/>
                <w:color w:val="auto"/>
                <w:spacing w:val="6"/>
                <w:kern w:val="2"/>
                <w:sz w:val="24"/>
                <w:szCs w:val="24"/>
                <w:lang w:val="en-US" w:eastAsia="zh-CN" w:bidi="ar-SA"/>
              </w:rPr>
              <w:t>m</w:t>
            </w:r>
            <w:r>
              <w:rPr>
                <w:rFonts w:hint="default" w:ascii="Times New Roman" w:hAnsi="Times New Roman" w:eastAsia="宋体" w:cs="Times New Roman"/>
                <w:color w:val="auto"/>
                <w:spacing w:val="6"/>
                <w:kern w:val="2"/>
                <w:sz w:val="24"/>
                <w:szCs w:val="24"/>
                <w:vertAlign w:val="superscript"/>
                <w:lang w:val="en-US" w:eastAsia="zh-CN" w:bidi="ar-SA"/>
              </w:rPr>
              <w:t>2</w:t>
            </w:r>
            <w:r>
              <w:rPr>
                <w:rFonts w:hint="default" w:ascii="Times New Roman" w:hAnsi="Times New Roman" w:eastAsia="宋体" w:cs="Times New Roman"/>
                <w:color w:val="auto"/>
                <w:spacing w:val="6"/>
                <w:kern w:val="2"/>
                <w:sz w:val="24"/>
                <w:szCs w:val="24"/>
                <w:lang w:val="en-US" w:eastAsia="zh-CN" w:bidi="ar-SA"/>
              </w:rPr>
              <w:t>和1977</w:t>
            </w:r>
            <w:r>
              <w:rPr>
                <w:rFonts w:hint="eastAsia" w:cs="Times New Roman"/>
                <w:color w:val="auto"/>
                <w:spacing w:val="6"/>
                <w:kern w:val="2"/>
                <w:sz w:val="24"/>
                <w:szCs w:val="24"/>
                <w:lang w:val="en-US" w:eastAsia="zh-CN" w:bidi="ar-SA"/>
              </w:rPr>
              <w:t>6</w:t>
            </w:r>
            <w:r>
              <w:rPr>
                <w:rFonts w:hint="default" w:ascii="Times New Roman" w:hAnsi="Times New Roman" w:eastAsia="宋体" w:cs="Times New Roman"/>
                <w:color w:val="auto"/>
                <w:spacing w:val="6"/>
                <w:kern w:val="2"/>
                <w:sz w:val="24"/>
                <w:szCs w:val="24"/>
                <w:lang w:val="en-US" w:eastAsia="zh-CN" w:bidi="ar-SA"/>
              </w:rPr>
              <w:t>m</w:t>
            </w:r>
            <w:r>
              <w:rPr>
                <w:rFonts w:hint="default" w:ascii="Times New Roman" w:hAnsi="Times New Roman" w:eastAsia="宋体" w:cs="Times New Roman"/>
                <w:color w:val="auto"/>
                <w:spacing w:val="6"/>
                <w:kern w:val="2"/>
                <w:sz w:val="24"/>
                <w:szCs w:val="24"/>
                <w:vertAlign w:val="superscript"/>
                <w:lang w:val="en-US" w:eastAsia="zh-CN" w:bidi="ar-SA"/>
              </w:rPr>
              <w:t>2</w:t>
            </w:r>
            <w:r>
              <w:rPr>
                <w:rFonts w:hint="default" w:ascii="Times New Roman" w:hAnsi="Times New Roman" w:eastAsia="宋体" w:cs="Times New Roman"/>
                <w:color w:val="auto"/>
                <w:spacing w:val="6"/>
                <w:kern w:val="2"/>
                <w:sz w:val="24"/>
                <w:szCs w:val="24"/>
                <w:lang w:val="en-US" w:eastAsia="zh-CN" w:bidi="ar-SA"/>
              </w:rPr>
              <w:t>。坐标及范围详见表</w:t>
            </w:r>
            <w:r>
              <w:rPr>
                <w:rFonts w:hint="eastAsia" w:cs="Times New Roman"/>
                <w:color w:val="auto"/>
                <w:spacing w:val="6"/>
                <w:kern w:val="2"/>
                <w:sz w:val="24"/>
                <w:szCs w:val="24"/>
                <w:lang w:val="en-US" w:eastAsia="zh-CN" w:bidi="ar-SA"/>
              </w:rPr>
              <w:t>2-3、</w:t>
            </w:r>
            <w:r>
              <w:rPr>
                <w:rFonts w:hint="default" w:ascii="Times New Roman" w:hAnsi="Times New Roman" w:eastAsia="宋体" w:cs="Times New Roman"/>
                <w:color w:val="auto"/>
                <w:spacing w:val="6"/>
                <w:kern w:val="2"/>
                <w:sz w:val="24"/>
                <w:szCs w:val="24"/>
                <w:lang w:val="en-US" w:eastAsia="zh-CN" w:bidi="ar-SA"/>
              </w:rPr>
              <w:t>图</w:t>
            </w:r>
            <w:r>
              <w:rPr>
                <w:rFonts w:hint="eastAsia" w:cs="Times New Roman"/>
                <w:color w:val="auto"/>
                <w:spacing w:val="6"/>
                <w:kern w:val="2"/>
                <w:sz w:val="24"/>
                <w:szCs w:val="24"/>
                <w:lang w:val="en-US" w:eastAsia="zh-CN" w:bidi="ar-SA"/>
              </w:rPr>
              <w:t>2-2</w:t>
            </w:r>
            <w:r>
              <w:rPr>
                <w:rFonts w:hint="default" w:ascii="Times New Roman" w:hAnsi="Times New Roman" w:eastAsia="宋体" w:cs="Times New Roman"/>
                <w:color w:val="auto"/>
                <w:spacing w:val="6"/>
                <w:kern w:val="2"/>
                <w:sz w:val="24"/>
                <w:szCs w:val="24"/>
                <w:lang w:val="en-US" w:eastAsia="zh-CN" w:bidi="ar-SA"/>
              </w:rPr>
              <w:t>和</w:t>
            </w:r>
            <w:r>
              <w:rPr>
                <w:rFonts w:hint="eastAsia" w:cs="Times New Roman"/>
                <w:color w:val="auto"/>
                <w:spacing w:val="6"/>
                <w:kern w:val="2"/>
                <w:sz w:val="24"/>
                <w:szCs w:val="24"/>
                <w:lang w:val="en-US" w:eastAsia="zh-CN" w:bidi="ar-SA"/>
              </w:rPr>
              <w:t>图2-3</w:t>
            </w:r>
            <w:r>
              <w:rPr>
                <w:rFonts w:hint="default" w:ascii="Times New Roman" w:hAnsi="Times New Roman" w:eastAsia="宋体" w:cs="Times New Roman"/>
                <w:color w:val="auto"/>
                <w:spacing w:val="6"/>
                <w:kern w:val="2"/>
                <w:sz w:val="24"/>
                <w:szCs w:val="24"/>
                <w:lang w:val="en-US" w:eastAsia="zh-CN" w:bidi="ar-SA"/>
              </w:rPr>
              <w:t>。</w:t>
            </w:r>
          </w:p>
          <w:p w14:paraId="21DDFB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宋体"/>
                <w:b/>
                <w:bCs/>
                <w:color w:val="auto"/>
                <w:szCs w:val="21"/>
                <w:lang w:val="en-US" w:eastAsia="zh-CN"/>
              </w:rPr>
            </w:pPr>
            <w:r>
              <w:rPr>
                <w:rFonts w:hint="eastAsia" w:ascii="Times New Roman" w:hAnsi="Times New Roman" w:cs="宋体"/>
                <w:b/>
                <w:bCs/>
                <w:color w:val="auto"/>
                <w:szCs w:val="21"/>
              </w:rPr>
              <w:t>表</w:t>
            </w:r>
            <w:r>
              <w:rPr>
                <w:rFonts w:hint="eastAsia" w:ascii="Times New Roman" w:hAnsi="Times New Roman" w:cs="宋体"/>
                <w:b/>
                <w:bCs/>
                <w:color w:val="auto"/>
                <w:szCs w:val="21"/>
                <w:lang w:val="en-US" w:eastAsia="zh-CN"/>
              </w:rPr>
              <w:t>2-</w:t>
            </w:r>
            <w:r>
              <w:rPr>
                <w:rFonts w:hint="eastAsia" w:cs="宋体"/>
                <w:b/>
                <w:bCs/>
                <w:color w:val="auto"/>
                <w:szCs w:val="21"/>
                <w:lang w:val="en-US" w:eastAsia="zh-CN"/>
              </w:rPr>
              <w:t>3</w:t>
            </w:r>
            <w:r>
              <w:rPr>
                <w:rFonts w:hint="eastAsia" w:ascii="Times New Roman" w:hAnsi="Times New Roman" w:cs="宋体"/>
                <w:b/>
                <w:bCs/>
                <w:color w:val="auto"/>
                <w:szCs w:val="21"/>
              </w:rPr>
              <w:t xml:space="preserve">  </w:t>
            </w:r>
            <w:r>
              <w:rPr>
                <w:rFonts w:hint="eastAsia" w:cs="宋体"/>
                <w:b/>
                <w:bCs/>
                <w:color w:val="auto"/>
                <w:szCs w:val="21"/>
                <w:lang w:val="en-US" w:eastAsia="zh-CN"/>
              </w:rPr>
              <w:t xml:space="preserve">  阜康西沙沟火区灭火工程治理范围拐点坐标一览表</w:t>
            </w:r>
          </w:p>
          <w:tbl>
            <w:tblPr>
              <w:tblStyle w:val="27"/>
              <w:tblW w:w="8391"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908"/>
              <w:gridCol w:w="2640"/>
              <w:gridCol w:w="2746"/>
            </w:tblGrid>
            <w:tr w14:paraId="17821C6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tcBorders>
                    <w:tl2br w:val="nil"/>
                    <w:tr2bl w:val="nil"/>
                  </w:tcBorders>
                  <w:vAlign w:val="center"/>
                </w:tcPr>
                <w:p w14:paraId="460AD6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火区编号</w:t>
                  </w:r>
                </w:p>
              </w:tc>
              <w:tc>
                <w:tcPr>
                  <w:tcW w:w="908" w:type="dxa"/>
                  <w:tcBorders>
                    <w:tl2br w:val="nil"/>
                    <w:tr2bl w:val="nil"/>
                  </w:tcBorders>
                  <w:vAlign w:val="center"/>
                </w:tcPr>
                <w:p w14:paraId="6A8F51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序号</w:t>
                  </w:r>
                </w:p>
              </w:tc>
              <w:tc>
                <w:tcPr>
                  <w:tcW w:w="2640" w:type="dxa"/>
                  <w:tcBorders>
                    <w:tl2br w:val="nil"/>
                    <w:tr2bl w:val="nil"/>
                  </w:tcBorders>
                  <w:vAlign w:val="center"/>
                </w:tcPr>
                <w:p w14:paraId="383CFF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X（m）</w:t>
                  </w:r>
                </w:p>
              </w:tc>
              <w:tc>
                <w:tcPr>
                  <w:tcW w:w="2746" w:type="dxa"/>
                  <w:tcBorders>
                    <w:tl2br w:val="nil"/>
                    <w:tr2bl w:val="nil"/>
                  </w:tcBorders>
                  <w:vAlign w:val="center"/>
                </w:tcPr>
                <w:p w14:paraId="735F4E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Y（m）</w:t>
                  </w:r>
                </w:p>
              </w:tc>
            </w:tr>
            <w:tr w14:paraId="2015D7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restart"/>
                  <w:tcBorders>
                    <w:tl2br w:val="nil"/>
                    <w:tr2bl w:val="nil"/>
                  </w:tcBorders>
                  <w:vAlign w:val="center"/>
                </w:tcPr>
                <w:p w14:paraId="66911F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1号子火区</w:t>
                  </w:r>
                </w:p>
              </w:tc>
              <w:tc>
                <w:tcPr>
                  <w:tcW w:w="908" w:type="dxa"/>
                  <w:tcBorders>
                    <w:tl2br w:val="nil"/>
                    <w:tr2bl w:val="nil"/>
                  </w:tcBorders>
                  <w:vAlign w:val="center"/>
                </w:tcPr>
                <w:p w14:paraId="306F52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w:t>
                  </w:r>
                </w:p>
              </w:tc>
              <w:tc>
                <w:tcPr>
                  <w:tcW w:w="2640" w:type="dxa"/>
                  <w:tcBorders>
                    <w:tl2br w:val="nil"/>
                    <w:tr2bl w:val="nil"/>
                  </w:tcBorders>
                  <w:vAlign w:val="center"/>
                </w:tcPr>
                <w:p w14:paraId="6985B638">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34C8B981">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0497F7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2097" w:type="dxa"/>
                  <w:vMerge w:val="continue"/>
                  <w:tcBorders>
                    <w:tl2br w:val="nil"/>
                    <w:tr2bl w:val="nil"/>
                  </w:tcBorders>
                  <w:vAlign w:val="center"/>
                </w:tcPr>
                <w:p w14:paraId="1444A0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908" w:type="dxa"/>
                  <w:tcBorders>
                    <w:tl2br w:val="nil"/>
                    <w:tr2bl w:val="nil"/>
                  </w:tcBorders>
                  <w:vAlign w:val="center"/>
                </w:tcPr>
                <w:p w14:paraId="6CD5F7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w:t>
                  </w:r>
                </w:p>
              </w:tc>
              <w:tc>
                <w:tcPr>
                  <w:tcW w:w="2640" w:type="dxa"/>
                  <w:tcBorders>
                    <w:tl2br w:val="nil"/>
                    <w:tr2bl w:val="nil"/>
                  </w:tcBorders>
                  <w:vAlign w:val="center"/>
                </w:tcPr>
                <w:p w14:paraId="0AE2D498">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30C6DA93">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521E12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continue"/>
                  <w:tcBorders>
                    <w:tl2br w:val="nil"/>
                    <w:tr2bl w:val="nil"/>
                  </w:tcBorders>
                  <w:vAlign w:val="center"/>
                </w:tcPr>
                <w:p w14:paraId="61E495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908" w:type="dxa"/>
                  <w:tcBorders>
                    <w:tl2br w:val="nil"/>
                    <w:tr2bl w:val="nil"/>
                  </w:tcBorders>
                  <w:vAlign w:val="center"/>
                </w:tcPr>
                <w:p w14:paraId="57AF85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w:t>
                  </w:r>
                </w:p>
              </w:tc>
              <w:tc>
                <w:tcPr>
                  <w:tcW w:w="2640" w:type="dxa"/>
                  <w:tcBorders>
                    <w:tl2br w:val="nil"/>
                    <w:tr2bl w:val="nil"/>
                  </w:tcBorders>
                  <w:vAlign w:val="center"/>
                </w:tcPr>
                <w:p w14:paraId="4F6F2F8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4D01BA7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174C1E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continue"/>
                  <w:tcBorders>
                    <w:tl2br w:val="nil"/>
                    <w:tr2bl w:val="nil"/>
                  </w:tcBorders>
                  <w:vAlign w:val="center"/>
                </w:tcPr>
                <w:p w14:paraId="41A40B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908" w:type="dxa"/>
                  <w:tcBorders>
                    <w:tl2br w:val="nil"/>
                    <w:tr2bl w:val="nil"/>
                  </w:tcBorders>
                  <w:vAlign w:val="center"/>
                </w:tcPr>
                <w:p w14:paraId="365332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4</w:t>
                  </w:r>
                </w:p>
              </w:tc>
              <w:tc>
                <w:tcPr>
                  <w:tcW w:w="2640" w:type="dxa"/>
                  <w:tcBorders>
                    <w:tl2br w:val="nil"/>
                    <w:tr2bl w:val="nil"/>
                  </w:tcBorders>
                  <w:vAlign w:val="center"/>
                </w:tcPr>
                <w:p w14:paraId="4B4FE0A8">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24E373BB">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706609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continue"/>
                  <w:tcBorders>
                    <w:tl2br w:val="nil"/>
                    <w:tr2bl w:val="nil"/>
                  </w:tcBorders>
                  <w:vAlign w:val="center"/>
                </w:tcPr>
                <w:p w14:paraId="0D41B2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908" w:type="dxa"/>
                  <w:tcBorders>
                    <w:tl2br w:val="nil"/>
                    <w:tr2bl w:val="nil"/>
                  </w:tcBorders>
                  <w:vAlign w:val="center"/>
                </w:tcPr>
                <w:p w14:paraId="1B2F04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5</w:t>
                  </w:r>
                </w:p>
              </w:tc>
              <w:tc>
                <w:tcPr>
                  <w:tcW w:w="2640" w:type="dxa"/>
                  <w:tcBorders>
                    <w:tl2br w:val="nil"/>
                    <w:tr2bl w:val="nil"/>
                  </w:tcBorders>
                  <w:vAlign w:val="center"/>
                </w:tcPr>
                <w:p w14:paraId="061C14BB">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451B299C">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790B4C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continue"/>
                  <w:tcBorders>
                    <w:tl2br w:val="nil"/>
                    <w:tr2bl w:val="nil"/>
                  </w:tcBorders>
                  <w:vAlign w:val="center"/>
                </w:tcPr>
                <w:p w14:paraId="6123FA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908" w:type="dxa"/>
                  <w:tcBorders>
                    <w:tl2br w:val="nil"/>
                    <w:tr2bl w:val="nil"/>
                  </w:tcBorders>
                  <w:vAlign w:val="center"/>
                </w:tcPr>
                <w:p w14:paraId="570CC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6</w:t>
                  </w:r>
                </w:p>
              </w:tc>
              <w:tc>
                <w:tcPr>
                  <w:tcW w:w="2640" w:type="dxa"/>
                  <w:tcBorders>
                    <w:tl2br w:val="nil"/>
                    <w:tr2bl w:val="nil"/>
                  </w:tcBorders>
                  <w:vAlign w:val="center"/>
                </w:tcPr>
                <w:p w14:paraId="06BD3E33">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7B576F68">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26FFEE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restart"/>
                  <w:tcBorders>
                    <w:tl2br w:val="nil"/>
                    <w:tr2bl w:val="nil"/>
                  </w:tcBorders>
                  <w:vAlign w:val="center"/>
                </w:tcPr>
                <w:p w14:paraId="69C2D4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2地子火区</w:t>
                  </w:r>
                </w:p>
              </w:tc>
              <w:tc>
                <w:tcPr>
                  <w:tcW w:w="908" w:type="dxa"/>
                  <w:tcBorders>
                    <w:tl2br w:val="nil"/>
                    <w:tr2bl w:val="nil"/>
                  </w:tcBorders>
                  <w:vAlign w:val="center"/>
                </w:tcPr>
                <w:p w14:paraId="43E93F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w:t>
                  </w:r>
                </w:p>
              </w:tc>
              <w:tc>
                <w:tcPr>
                  <w:tcW w:w="2640" w:type="dxa"/>
                  <w:tcBorders>
                    <w:tl2br w:val="nil"/>
                    <w:tr2bl w:val="nil"/>
                  </w:tcBorders>
                  <w:vAlign w:val="center"/>
                </w:tcPr>
                <w:p w14:paraId="7691758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37F2CF6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55BCE9F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continue"/>
                  <w:tcBorders>
                    <w:tl2br w:val="nil"/>
                    <w:tr2bl w:val="nil"/>
                  </w:tcBorders>
                  <w:vAlign w:val="center"/>
                </w:tcPr>
                <w:p w14:paraId="23244F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908" w:type="dxa"/>
                  <w:tcBorders>
                    <w:tl2br w:val="nil"/>
                    <w:tr2bl w:val="nil"/>
                  </w:tcBorders>
                  <w:vAlign w:val="center"/>
                </w:tcPr>
                <w:p w14:paraId="23FECF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w:t>
                  </w:r>
                </w:p>
              </w:tc>
              <w:tc>
                <w:tcPr>
                  <w:tcW w:w="2640" w:type="dxa"/>
                  <w:tcBorders>
                    <w:tl2br w:val="nil"/>
                    <w:tr2bl w:val="nil"/>
                  </w:tcBorders>
                  <w:vAlign w:val="center"/>
                </w:tcPr>
                <w:p w14:paraId="390DD6BE">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373F06F1">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20B33B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continue"/>
                  <w:tcBorders>
                    <w:tl2br w:val="nil"/>
                    <w:tr2bl w:val="nil"/>
                  </w:tcBorders>
                  <w:vAlign w:val="center"/>
                </w:tcPr>
                <w:p w14:paraId="008726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908" w:type="dxa"/>
                  <w:tcBorders>
                    <w:tl2br w:val="nil"/>
                    <w:tr2bl w:val="nil"/>
                  </w:tcBorders>
                  <w:vAlign w:val="center"/>
                </w:tcPr>
                <w:p w14:paraId="5651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w:t>
                  </w:r>
                </w:p>
              </w:tc>
              <w:tc>
                <w:tcPr>
                  <w:tcW w:w="2640" w:type="dxa"/>
                  <w:tcBorders>
                    <w:tl2br w:val="nil"/>
                    <w:tr2bl w:val="nil"/>
                  </w:tcBorders>
                  <w:vAlign w:val="center"/>
                </w:tcPr>
                <w:p w14:paraId="62C5EE15">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3CAD8FEA">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48FB4A6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continue"/>
                  <w:tcBorders>
                    <w:tl2br w:val="nil"/>
                    <w:tr2bl w:val="nil"/>
                  </w:tcBorders>
                  <w:vAlign w:val="center"/>
                </w:tcPr>
                <w:p w14:paraId="315A13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908" w:type="dxa"/>
                  <w:tcBorders>
                    <w:tl2br w:val="nil"/>
                    <w:tr2bl w:val="nil"/>
                  </w:tcBorders>
                  <w:vAlign w:val="center"/>
                </w:tcPr>
                <w:p w14:paraId="148DB3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4</w:t>
                  </w:r>
                </w:p>
              </w:tc>
              <w:tc>
                <w:tcPr>
                  <w:tcW w:w="2640" w:type="dxa"/>
                  <w:tcBorders>
                    <w:tl2br w:val="nil"/>
                    <w:tr2bl w:val="nil"/>
                  </w:tcBorders>
                  <w:vAlign w:val="center"/>
                </w:tcPr>
                <w:p w14:paraId="16D4E29F">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67FC766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3D23D5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restart"/>
                  <w:tcBorders>
                    <w:tl2br w:val="nil"/>
                    <w:tr2bl w:val="nil"/>
                  </w:tcBorders>
                  <w:vAlign w:val="center"/>
                </w:tcPr>
                <w:p w14:paraId="1898F5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3号子火区</w:t>
                  </w:r>
                </w:p>
              </w:tc>
              <w:tc>
                <w:tcPr>
                  <w:tcW w:w="908" w:type="dxa"/>
                  <w:tcBorders>
                    <w:tl2br w:val="nil"/>
                    <w:tr2bl w:val="nil"/>
                  </w:tcBorders>
                  <w:vAlign w:val="center"/>
                </w:tcPr>
                <w:p w14:paraId="7818E7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w:t>
                  </w:r>
                </w:p>
              </w:tc>
              <w:tc>
                <w:tcPr>
                  <w:tcW w:w="2640" w:type="dxa"/>
                  <w:tcBorders>
                    <w:tl2br w:val="nil"/>
                    <w:tr2bl w:val="nil"/>
                  </w:tcBorders>
                  <w:vAlign w:val="center"/>
                </w:tcPr>
                <w:p w14:paraId="244E760F">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005253A1">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56845D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c>
                <w:tcPr>
                  <w:tcW w:w="2097" w:type="dxa"/>
                  <w:vMerge w:val="continue"/>
                  <w:tcBorders>
                    <w:tl2br w:val="nil"/>
                    <w:tr2bl w:val="nil"/>
                  </w:tcBorders>
                  <w:vAlign w:val="center"/>
                </w:tcPr>
                <w:p w14:paraId="2EE15A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908" w:type="dxa"/>
                  <w:tcBorders>
                    <w:tl2br w:val="nil"/>
                    <w:tr2bl w:val="nil"/>
                  </w:tcBorders>
                  <w:vAlign w:val="center"/>
                </w:tcPr>
                <w:p w14:paraId="620FA3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w:t>
                  </w:r>
                </w:p>
              </w:tc>
              <w:tc>
                <w:tcPr>
                  <w:tcW w:w="2640" w:type="dxa"/>
                  <w:tcBorders>
                    <w:tl2br w:val="nil"/>
                    <w:tr2bl w:val="nil"/>
                  </w:tcBorders>
                  <w:vAlign w:val="center"/>
                </w:tcPr>
                <w:p w14:paraId="1BE36CC5">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4CD3B72F">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56BABA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continue"/>
                  <w:tcBorders>
                    <w:tl2br w:val="nil"/>
                    <w:tr2bl w:val="nil"/>
                  </w:tcBorders>
                  <w:vAlign w:val="center"/>
                </w:tcPr>
                <w:p w14:paraId="76A14A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908" w:type="dxa"/>
                  <w:tcBorders>
                    <w:tl2br w:val="nil"/>
                    <w:tr2bl w:val="nil"/>
                  </w:tcBorders>
                  <w:vAlign w:val="center"/>
                </w:tcPr>
                <w:p w14:paraId="06B496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w:t>
                  </w:r>
                </w:p>
              </w:tc>
              <w:tc>
                <w:tcPr>
                  <w:tcW w:w="2640" w:type="dxa"/>
                  <w:tcBorders>
                    <w:tl2br w:val="nil"/>
                    <w:tr2bl w:val="nil"/>
                  </w:tcBorders>
                  <w:vAlign w:val="center"/>
                </w:tcPr>
                <w:p w14:paraId="3F37C4F4">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637E0579">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r w14:paraId="516147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7" w:type="dxa"/>
                  <w:vMerge w:val="continue"/>
                  <w:tcBorders>
                    <w:tl2br w:val="nil"/>
                    <w:tr2bl w:val="nil"/>
                  </w:tcBorders>
                  <w:vAlign w:val="center"/>
                </w:tcPr>
                <w:p w14:paraId="6ACCDA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908" w:type="dxa"/>
                  <w:tcBorders>
                    <w:tl2br w:val="nil"/>
                    <w:tr2bl w:val="nil"/>
                  </w:tcBorders>
                  <w:vAlign w:val="center"/>
                </w:tcPr>
                <w:p w14:paraId="27F3CB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4</w:t>
                  </w:r>
                </w:p>
              </w:tc>
              <w:tc>
                <w:tcPr>
                  <w:tcW w:w="2640" w:type="dxa"/>
                  <w:tcBorders>
                    <w:tl2br w:val="nil"/>
                    <w:tr2bl w:val="nil"/>
                  </w:tcBorders>
                  <w:vAlign w:val="center"/>
                </w:tcPr>
                <w:p w14:paraId="5DD19F7E">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c>
                <w:tcPr>
                  <w:tcW w:w="2746" w:type="dxa"/>
                  <w:tcBorders>
                    <w:tl2br w:val="nil"/>
                    <w:tr2bl w:val="nil"/>
                  </w:tcBorders>
                  <w:vAlign w:val="center"/>
                </w:tcPr>
                <w:p w14:paraId="6E80D16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aps w:val="0"/>
                      <w:color w:val="auto"/>
                      <w:kern w:val="2"/>
                      <w:sz w:val="21"/>
                      <w:szCs w:val="21"/>
                      <w:highlight w:val="none"/>
                      <w:lang w:val="en-US" w:eastAsia="zh-CN" w:bidi="ar-SA"/>
                    </w:rPr>
                  </w:pPr>
                </w:p>
              </w:tc>
            </w:tr>
          </w:tbl>
          <w:p w14:paraId="6441CA4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04" w:firstLineChars="200"/>
              <w:textAlignment w:val="auto"/>
              <w:rPr>
                <w:rFonts w:hint="default" w:ascii="Times New Roman" w:hAnsi="Times New Roman" w:eastAsia="宋体" w:cs="Times New Roman"/>
                <w:color w:val="auto"/>
                <w:spacing w:val="6"/>
                <w:kern w:val="2"/>
                <w:sz w:val="24"/>
                <w:szCs w:val="24"/>
                <w:lang w:val="en-US" w:eastAsia="zh-CN" w:bidi="ar-SA"/>
              </w:rPr>
            </w:pPr>
          </w:p>
          <w:p w14:paraId="0400DE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b/>
                <w:bCs/>
                <w:color w:val="auto"/>
                <w:sz w:val="24"/>
                <w:lang w:val="en-US" w:eastAsia="zh-CN"/>
              </w:rPr>
            </w:pPr>
          </w:p>
          <w:p w14:paraId="17BF4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图2-2   1号子火区治理范围示意图</w:t>
            </w:r>
          </w:p>
          <w:p w14:paraId="0E0F9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b/>
                <w:bCs/>
                <w:color w:val="auto"/>
                <w:sz w:val="24"/>
                <w:lang w:val="en-US" w:eastAsia="zh-CN"/>
              </w:rPr>
            </w:pPr>
          </w:p>
          <w:p w14:paraId="16DF87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图2-3   2地子火区、3号子火区治理范围示意图</w:t>
            </w:r>
          </w:p>
          <w:p w14:paraId="18D1CAAC">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auto"/>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5、阜康西沙沟火区灭火工程工程量</w:t>
            </w:r>
          </w:p>
          <w:p w14:paraId="2587B4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cs="宋体"/>
                <w:b w:val="0"/>
                <w:bCs w:val="0"/>
                <w:color w:val="auto"/>
                <w:sz w:val="24"/>
                <w:szCs w:val="24"/>
                <w:lang w:val="en-US" w:eastAsia="zh-CN"/>
              </w:rPr>
            </w:pPr>
            <w:r>
              <w:rPr>
                <w:rFonts w:hint="eastAsia" w:cs="宋体"/>
                <w:b w:val="0"/>
                <w:bCs w:val="0"/>
                <w:color w:val="auto"/>
                <w:sz w:val="24"/>
                <w:szCs w:val="24"/>
                <w:lang w:val="en-US" w:eastAsia="zh-CN"/>
              </w:rPr>
              <w:t>本项目采用剥离、钻探、注水、注浆及覆盖的综合灭火方法。主要工程量见表2-4。</w:t>
            </w:r>
          </w:p>
          <w:p w14:paraId="7BFDC0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cs="宋体"/>
                <w:b/>
                <w:bCs/>
                <w:color w:val="auto"/>
                <w:szCs w:val="21"/>
              </w:rPr>
            </w:pPr>
          </w:p>
          <w:p w14:paraId="17F891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宋体"/>
                <w:b/>
                <w:bCs/>
                <w:color w:val="auto"/>
                <w:szCs w:val="21"/>
                <w:lang w:val="en-US" w:eastAsia="zh-CN"/>
              </w:rPr>
            </w:pPr>
            <w:r>
              <w:rPr>
                <w:rFonts w:hint="eastAsia" w:ascii="Times New Roman" w:hAnsi="Times New Roman" w:cs="宋体"/>
                <w:b/>
                <w:bCs/>
                <w:color w:val="auto"/>
                <w:szCs w:val="21"/>
              </w:rPr>
              <w:t>表</w:t>
            </w:r>
            <w:r>
              <w:rPr>
                <w:rFonts w:hint="eastAsia" w:ascii="Times New Roman" w:hAnsi="Times New Roman" w:cs="宋体"/>
                <w:b/>
                <w:bCs/>
                <w:color w:val="auto"/>
                <w:szCs w:val="21"/>
                <w:lang w:val="en-US" w:eastAsia="zh-CN"/>
              </w:rPr>
              <w:t>2-</w:t>
            </w:r>
            <w:r>
              <w:rPr>
                <w:rFonts w:hint="eastAsia" w:cs="宋体"/>
                <w:b/>
                <w:bCs/>
                <w:color w:val="auto"/>
                <w:szCs w:val="21"/>
                <w:lang w:val="en-US" w:eastAsia="zh-CN"/>
              </w:rPr>
              <w:t>4</w:t>
            </w:r>
            <w:r>
              <w:rPr>
                <w:rFonts w:hint="eastAsia" w:ascii="Times New Roman" w:hAnsi="Times New Roman" w:cs="宋体"/>
                <w:b/>
                <w:bCs/>
                <w:color w:val="auto"/>
                <w:szCs w:val="21"/>
              </w:rPr>
              <w:t xml:space="preserve">  </w:t>
            </w:r>
            <w:r>
              <w:rPr>
                <w:rFonts w:hint="eastAsia" w:cs="宋体"/>
                <w:b/>
                <w:bCs/>
                <w:color w:val="auto"/>
                <w:szCs w:val="21"/>
                <w:lang w:val="en-US" w:eastAsia="zh-CN"/>
              </w:rPr>
              <w:t xml:space="preserve">  阜康西沙沟火区灭火工程工程量一览表</w:t>
            </w:r>
          </w:p>
          <w:tbl>
            <w:tblPr>
              <w:tblStyle w:val="27"/>
              <w:tblW w:w="8347"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665"/>
              <w:gridCol w:w="1875"/>
              <w:gridCol w:w="1860"/>
              <w:gridCol w:w="1530"/>
            </w:tblGrid>
            <w:tr w14:paraId="2C6F7C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7" w:type="dxa"/>
                  <w:tcBorders>
                    <w:tl2br w:val="nil"/>
                    <w:tr2bl w:val="nil"/>
                  </w:tcBorders>
                </w:tcPr>
                <w:p w14:paraId="6A4036D0">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项目</w:t>
                  </w:r>
                </w:p>
              </w:tc>
              <w:tc>
                <w:tcPr>
                  <w:tcW w:w="1665" w:type="dxa"/>
                  <w:tcBorders>
                    <w:tl2br w:val="nil"/>
                    <w:tr2bl w:val="nil"/>
                  </w:tcBorders>
                </w:tcPr>
                <w:p w14:paraId="209CBE99">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1号子火区</w:t>
                  </w:r>
                </w:p>
              </w:tc>
              <w:tc>
                <w:tcPr>
                  <w:tcW w:w="1875" w:type="dxa"/>
                  <w:tcBorders>
                    <w:tl2br w:val="nil"/>
                    <w:tr2bl w:val="nil"/>
                  </w:tcBorders>
                </w:tcPr>
                <w:p w14:paraId="5B41DD80">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2地子火区</w:t>
                  </w:r>
                </w:p>
              </w:tc>
              <w:tc>
                <w:tcPr>
                  <w:tcW w:w="1860" w:type="dxa"/>
                  <w:tcBorders>
                    <w:tl2br w:val="nil"/>
                    <w:tr2bl w:val="nil"/>
                  </w:tcBorders>
                </w:tcPr>
                <w:p w14:paraId="142803B4">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3号子火区</w:t>
                  </w:r>
                </w:p>
              </w:tc>
              <w:tc>
                <w:tcPr>
                  <w:tcW w:w="1530" w:type="dxa"/>
                  <w:tcBorders>
                    <w:tl2br w:val="nil"/>
                    <w:tr2bl w:val="nil"/>
                  </w:tcBorders>
                </w:tcPr>
                <w:p w14:paraId="7F0E2B89">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合计</w:t>
                  </w:r>
                </w:p>
              </w:tc>
            </w:tr>
            <w:tr w14:paraId="73B9A9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7" w:type="dxa"/>
                  <w:tcBorders>
                    <w:tl2br w:val="nil"/>
                    <w:tr2bl w:val="nil"/>
                  </w:tcBorders>
                </w:tcPr>
                <w:p w14:paraId="6FEBC381">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剥离</w:t>
                  </w:r>
                </w:p>
              </w:tc>
              <w:tc>
                <w:tcPr>
                  <w:tcW w:w="3540" w:type="dxa"/>
                  <w:gridSpan w:val="2"/>
                  <w:tcBorders>
                    <w:tl2br w:val="nil"/>
                    <w:tr2bl w:val="nil"/>
                  </w:tcBorders>
                </w:tcPr>
                <w:p w14:paraId="4D364C3E">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30000m</w:t>
                  </w:r>
                  <w:r>
                    <w:rPr>
                      <w:rFonts w:hint="eastAsia" w:cs="Times New Roman"/>
                      <w:b w:val="0"/>
                      <w:bCs w:val="0"/>
                      <w:color w:val="auto"/>
                      <w:sz w:val="21"/>
                      <w:szCs w:val="21"/>
                      <w:vertAlign w:val="superscript"/>
                      <w:lang w:val="en-US" w:eastAsia="zh-CN"/>
                    </w:rPr>
                    <w:t>3</w:t>
                  </w:r>
                </w:p>
              </w:tc>
              <w:tc>
                <w:tcPr>
                  <w:tcW w:w="1860" w:type="dxa"/>
                  <w:tcBorders>
                    <w:tl2br w:val="nil"/>
                    <w:tr2bl w:val="nil"/>
                  </w:tcBorders>
                </w:tcPr>
                <w:p w14:paraId="157A9491">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1530" w:type="dxa"/>
                  <w:tcBorders>
                    <w:tl2br w:val="nil"/>
                    <w:tr2bl w:val="nil"/>
                  </w:tcBorders>
                </w:tcPr>
                <w:p w14:paraId="61EBBD66">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30000m</w:t>
                  </w:r>
                  <w:r>
                    <w:rPr>
                      <w:rFonts w:hint="eastAsia" w:cs="Times New Roman"/>
                      <w:b w:val="0"/>
                      <w:bCs w:val="0"/>
                      <w:color w:val="auto"/>
                      <w:sz w:val="21"/>
                      <w:szCs w:val="21"/>
                      <w:vertAlign w:val="superscript"/>
                      <w:lang w:val="en-US" w:eastAsia="zh-CN"/>
                    </w:rPr>
                    <w:t>3</w:t>
                  </w:r>
                </w:p>
              </w:tc>
            </w:tr>
            <w:tr w14:paraId="08DCD8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7" w:type="dxa"/>
                  <w:tcBorders>
                    <w:tl2br w:val="nil"/>
                    <w:tr2bl w:val="nil"/>
                  </w:tcBorders>
                </w:tcPr>
                <w:p w14:paraId="45514DF0">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钻探</w:t>
                  </w:r>
                </w:p>
              </w:tc>
              <w:tc>
                <w:tcPr>
                  <w:tcW w:w="1665" w:type="dxa"/>
                  <w:tcBorders>
                    <w:tl2br w:val="nil"/>
                    <w:tr2bl w:val="nil"/>
                  </w:tcBorders>
                </w:tcPr>
                <w:p w14:paraId="4C2A1069">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795m</w:t>
                  </w:r>
                </w:p>
              </w:tc>
              <w:tc>
                <w:tcPr>
                  <w:tcW w:w="1875" w:type="dxa"/>
                  <w:tcBorders>
                    <w:tl2br w:val="nil"/>
                    <w:tr2bl w:val="nil"/>
                  </w:tcBorders>
                </w:tcPr>
                <w:p w14:paraId="19B3C525">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1027m</w:t>
                  </w:r>
                </w:p>
              </w:tc>
              <w:tc>
                <w:tcPr>
                  <w:tcW w:w="1860" w:type="dxa"/>
                  <w:tcBorders>
                    <w:tl2br w:val="nil"/>
                    <w:tr2bl w:val="nil"/>
                  </w:tcBorders>
                </w:tcPr>
                <w:p w14:paraId="7557F685">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280m</w:t>
                  </w:r>
                </w:p>
              </w:tc>
              <w:tc>
                <w:tcPr>
                  <w:tcW w:w="1530" w:type="dxa"/>
                  <w:tcBorders>
                    <w:tl2br w:val="nil"/>
                    <w:tr2bl w:val="nil"/>
                  </w:tcBorders>
                </w:tcPr>
                <w:p w14:paraId="25219452">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2602m</w:t>
                  </w:r>
                </w:p>
              </w:tc>
            </w:tr>
            <w:tr w14:paraId="41540D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7" w:type="dxa"/>
                  <w:tcBorders>
                    <w:tl2br w:val="nil"/>
                    <w:tr2bl w:val="nil"/>
                  </w:tcBorders>
                </w:tcPr>
                <w:p w14:paraId="5F00CF69">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注水</w:t>
                  </w:r>
                </w:p>
              </w:tc>
              <w:tc>
                <w:tcPr>
                  <w:tcW w:w="1665" w:type="dxa"/>
                  <w:tcBorders>
                    <w:tl2br w:val="nil"/>
                    <w:tr2bl w:val="nil"/>
                  </w:tcBorders>
                </w:tcPr>
                <w:p w14:paraId="66F885EA">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399m</w:t>
                  </w:r>
                  <w:r>
                    <w:rPr>
                      <w:rFonts w:hint="eastAsia" w:cs="Times New Roman"/>
                      <w:b w:val="0"/>
                      <w:bCs w:val="0"/>
                      <w:color w:val="auto"/>
                      <w:sz w:val="21"/>
                      <w:szCs w:val="21"/>
                      <w:vertAlign w:val="superscript"/>
                      <w:lang w:val="en-US" w:eastAsia="zh-CN"/>
                    </w:rPr>
                    <w:t>3</w:t>
                  </w:r>
                </w:p>
              </w:tc>
              <w:tc>
                <w:tcPr>
                  <w:tcW w:w="1875" w:type="dxa"/>
                  <w:tcBorders>
                    <w:tl2br w:val="nil"/>
                    <w:tr2bl w:val="nil"/>
                  </w:tcBorders>
                </w:tcPr>
                <w:p w14:paraId="2E04FE64">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1256m</w:t>
                  </w:r>
                  <w:r>
                    <w:rPr>
                      <w:rFonts w:hint="eastAsia" w:cs="Times New Roman"/>
                      <w:b w:val="0"/>
                      <w:bCs w:val="0"/>
                      <w:color w:val="auto"/>
                      <w:sz w:val="21"/>
                      <w:szCs w:val="21"/>
                      <w:vertAlign w:val="superscript"/>
                      <w:lang w:val="en-US" w:eastAsia="zh-CN"/>
                    </w:rPr>
                    <w:t>3</w:t>
                  </w:r>
                </w:p>
              </w:tc>
              <w:tc>
                <w:tcPr>
                  <w:tcW w:w="1860" w:type="dxa"/>
                  <w:tcBorders>
                    <w:tl2br w:val="nil"/>
                    <w:tr2bl w:val="nil"/>
                  </w:tcBorders>
                </w:tcPr>
                <w:p w14:paraId="5C80F12E">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106m</w:t>
                  </w:r>
                  <w:r>
                    <w:rPr>
                      <w:rFonts w:hint="eastAsia" w:cs="Times New Roman"/>
                      <w:b w:val="0"/>
                      <w:bCs w:val="0"/>
                      <w:color w:val="auto"/>
                      <w:sz w:val="21"/>
                      <w:szCs w:val="21"/>
                      <w:vertAlign w:val="superscript"/>
                      <w:lang w:val="en-US" w:eastAsia="zh-CN"/>
                    </w:rPr>
                    <w:t>3</w:t>
                  </w:r>
                </w:p>
              </w:tc>
              <w:tc>
                <w:tcPr>
                  <w:tcW w:w="1530" w:type="dxa"/>
                  <w:tcBorders>
                    <w:tl2br w:val="nil"/>
                    <w:tr2bl w:val="nil"/>
                  </w:tcBorders>
                </w:tcPr>
                <w:p w14:paraId="32C4BA30">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1760m</w:t>
                  </w:r>
                  <w:r>
                    <w:rPr>
                      <w:rFonts w:hint="eastAsia" w:cs="Times New Roman"/>
                      <w:b w:val="0"/>
                      <w:bCs w:val="0"/>
                      <w:color w:val="auto"/>
                      <w:sz w:val="21"/>
                      <w:szCs w:val="21"/>
                      <w:vertAlign w:val="superscript"/>
                      <w:lang w:val="en-US" w:eastAsia="zh-CN"/>
                    </w:rPr>
                    <w:t>3</w:t>
                  </w:r>
                </w:p>
              </w:tc>
            </w:tr>
            <w:tr w14:paraId="5EA68C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7" w:type="dxa"/>
                  <w:tcBorders>
                    <w:tl2br w:val="nil"/>
                    <w:tr2bl w:val="nil"/>
                  </w:tcBorders>
                </w:tcPr>
                <w:p w14:paraId="6FDB1C06">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注浆</w:t>
                  </w:r>
                </w:p>
              </w:tc>
              <w:tc>
                <w:tcPr>
                  <w:tcW w:w="1665" w:type="dxa"/>
                  <w:tcBorders>
                    <w:tl2br w:val="nil"/>
                    <w:tr2bl w:val="nil"/>
                  </w:tcBorders>
                </w:tcPr>
                <w:p w14:paraId="418B82B0">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9098m</w:t>
                  </w:r>
                  <w:r>
                    <w:rPr>
                      <w:rFonts w:hint="eastAsia" w:cs="Times New Roman"/>
                      <w:b w:val="0"/>
                      <w:bCs w:val="0"/>
                      <w:color w:val="auto"/>
                      <w:sz w:val="21"/>
                      <w:szCs w:val="21"/>
                      <w:vertAlign w:val="superscript"/>
                      <w:lang w:val="en-US" w:eastAsia="zh-CN"/>
                    </w:rPr>
                    <w:t>3</w:t>
                  </w:r>
                </w:p>
              </w:tc>
              <w:tc>
                <w:tcPr>
                  <w:tcW w:w="1875" w:type="dxa"/>
                  <w:tcBorders>
                    <w:tl2br w:val="nil"/>
                    <w:tr2bl w:val="nil"/>
                  </w:tcBorders>
                </w:tcPr>
                <w:p w14:paraId="3DD92D06">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9960m</w:t>
                  </w:r>
                  <w:r>
                    <w:rPr>
                      <w:rFonts w:hint="eastAsia" w:cs="Times New Roman"/>
                      <w:b w:val="0"/>
                      <w:bCs w:val="0"/>
                      <w:color w:val="auto"/>
                      <w:sz w:val="21"/>
                      <w:szCs w:val="21"/>
                      <w:vertAlign w:val="superscript"/>
                      <w:lang w:val="en-US" w:eastAsia="zh-CN"/>
                    </w:rPr>
                    <w:t>3</w:t>
                  </w:r>
                </w:p>
              </w:tc>
              <w:tc>
                <w:tcPr>
                  <w:tcW w:w="1860" w:type="dxa"/>
                  <w:tcBorders>
                    <w:tl2br w:val="nil"/>
                    <w:tr2bl w:val="nil"/>
                  </w:tcBorders>
                </w:tcPr>
                <w:p w14:paraId="535FFBD0">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2628m</w:t>
                  </w:r>
                  <w:r>
                    <w:rPr>
                      <w:rFonts w:hint="eastAsia" w:cs="Times New Roman"/>
                      <w:b w:val="0"/>
                      <w:bCs w:val="0"/>
                      <w:color w:val="auto"/>
                      <w:sz w:val="21"/>
                      <w:szCs w:val="21"/>
                      <w:vertAlign w:val="superscript"/>
                      <w:lang w:val="en-US" w:eastAsia="zh-CN"/>
                    </w:rPr>
                    <w:t>3</w:t>
                  </w:r>
                </w:p>
              </w:tc>
              <w:tc>
                <w:tcPr>
                  <w:tcW w:w="1530" w:type="dxa"/>
                  <w:tcBorders>
                    <w:tl2br w:val="nil"/>
                    <w:tr2bl w:val="nil"/>
                  </w:tcBorders>
                </w:tcPr>
                <w:p w14:paraId="2283580B">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21686m</w:t>
                  </w:r>
                  <w:r>
                    <w:rPr>
                      <w:rFonts w:hint="eastAsia" w:cs="Times New Roman"/>
                      <w:b w:val="0"/>
                      <w:bCs w:val="0"/>
                      <w:color w:val="auto"/>
                      <w:sz w:val="21"/>
                      <w:szCs w:val="21"/>
                      <w:vertAlign w:val="superscript"/>
                      <w:lang w:val="en-US" w:eastAsia="zh-CN"/>
                    </w:rPr>
                    <w:t>3</w:t>
                  </w:r>
                </w:p>
              </w:tc>
            </w:tr>
            <w:tr w14:paraId="639BE4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7" w:type="dxa"/>
                  <w:tcBorders>
                    <w:tl2br w:val="nil"/>
                    <w:tr2bl w:val="nil"/>
                  </w:tcBorders>
                </w:tcPr>
                <w:p w14:paraId="7F233AD1">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覆盖</w:t>
                  </w:r>
                </w:p>
              </w:tc>
              <w:tc>
                <w:tcPr>
                  <w:tcW w:w="1665" w:type="dxa"/>
                  <w:tcBorders>
                    <w:tl2br w:val="nil"/>
                    <w:tr2bl w:val="nil"/>
                  </w:tcBorders>
                </w:tcPr>
                <w:p w14:paraId="4CD1DA46">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15640m</w:t>
                  </w:r>
                  <w:r>
                    <w:rPr>
                      <w:rFonts w:hint="eastAsia" w:cs="Times New Roman"/>
                      <w:b w:val="0"/>
                      <w:bCs w:val="0"/>
                      <w:color w:val="auto"/>
                      <w:sz w:val="21"/>
                      <w:szCs w:val="21"/>
                      <w:vertAlign w:val="superscript"/>
                      <w:lang w:val="en-US" w:eastAsia="zh-CN"/>
                    </w:rPr>
                    <w:t>3</w:t>
                  </w:r>
                </w:p>
              </w:tc>
              <w:tc>
                <w:tcPr>
                  <w:tcW w:w="1875" w:type="dxa"/>
                  <w:tcBorders>
                    <w:tl2br w:val="nil"/>
                    <w:tr2bl w:val="nil"/>
                  </w:tcBorders>
                </w:tcPr>
                <w:p w14:paraId="5218263F">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7821m</w:t>
                  </w:r>
                  <w:r>
                    <w:rPr>
                      <w:rFonts w:hint="eastAsia" w:cs="Times New Roman"/>
                      <w:b w:val="0"/>
                      <w:bCs w:val="0"/>
                      <w:color w:val="auto"/>
                      <w:sz w:val="21"/>
                      <w:szCs w:val="21"/>
                      <w:vertAlign w:val="superscript"/>
                      <w:lang w:val="en-US" w:eastAsia="zh-CN"/>
                    </w:rPr>
                    <w:t>3</w:t>
                  </w:r>
                </w:p>
              </w:tc>
              <w:tc>
                <w:tcPr>
                  <w:tcW w:w="1860" w:type="dxa"/>
                  <w:tcBorders>
                    <w:tl2br w:val="nil"/>
                    <w:tr2bl w:val="nil"/>
                  </w:tcBorders>
                </w:tcPr>
                <w:p w14:paraId="51D10DF0">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6549m</w:t>
                  </w:r>
                  <w:r>
                    <w:rPr>
                      <w:rFonts w:hint="eastAsia" w:cs="Times New Roman"/>
                      <w:b w:val="0"/>
                      <w:bCs w:val="0"/>
                      <w:color w:val="auto"/>
                      <w:sz w:val="21"/>
                      <w:szCs w:val="21"/>
                      <w:vertAlign w:val="superscript"/>
                      <w:lang w:val="en-US" w:eastAsia="zh-CN"/>
                    </w:rPr>
                    <w:t>3</w:t>
                  </w:r>
                </w:p>
              </w:tc>
              <w:tc>
                <w:tcPr>
                  <w:tcW w:w="1530" w:type="dxa"/>
                  <w:tcBorders>
                    <w:tl2br w:val="nil"/>
                    <w:tr2bl w:val="nil"/>
                  </w:tcBorders>
                </w:tcPr>
                <w:p w14:paraId="7DD29E20">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30000m</w:t>
                  </w:r>
                  <w:r>
                    <w:rPr>
                      <w:rFonts w:hint="eastAsia" w:cs="Times New Roman"/>
                      <w:b w:val="0"/>
                      <w:bCs w:val="0"/>
                      <w:color w:val="auto"/>
                      <w:sz w:val="21"/>
                      <w:szCs w:val="21"/>
                      <w:vertAlign w:val="superscript"/>
                      <w:lang w:val="en-US" w:eastAsia="zh-CN"/>
                    </w:rPr>
                    <w:t>3</w:t>
                  </w:r>
                </w:p>
              </w:tc>
            </w:tr>
          </w:tbl>
          <w:p w14:paraId="4CFEFE94">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b/>
                <w:bCs/>
                <w:color w:val="auto"/>
                <w:sz w:val="24"/>
                <w:highlight w:val="none"/>
                <w:lang w:val="en-US" w:eastAsia="zh-CN"/>
              </w:rPr>
            </w:pPr>
          </w:p>
          <w:p w14:paraId="7FE635A3">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eastAsia="宋体" w:cs="Times New Roman"/>
                <w:b/>
                <w:bCs/>
                <w:color w:val="auto"/>
                <w:sz w:val="24"/>
                <w:highlight w:val="none"/>
                <w:lang w:val="en-US" w:eastAsia="zh-CN"/>
              </w:rPr>
            </w:pPr>
            <w:r>
              <w:rPr>
                <w:rFonts w:hint="eastAsia" w:cs="Times New Roman"/>
                <w:b/>
                <w:bCs/>
                <w:color w:val="auto"/>
                <w:sz w:val="24"/>
                <w:highlight w:val="none"/>
                <w:lang w:val="en-US" w:eastAsia="zh-CN"/>
              </w:rPr>
              <w:t>5</w:t>
            </w:r>
            <w:r>
              <w:rPr>
                <w:rFonts w:hint="eastAsia" w:ascii="Times New Roman" w:hAnsi="Times New Roman" w:eastAsia="宋体" w:cs="Times New Roman"/>
                <w:b/>
                <w:bCs/>
                <w:color w:val="auto"/>
                <w:sz w:val="24"/>
                <w:highlight w:val="none"/>
                <w:lang w:val="en-US" w:eastAsia="zh-CN"/>
              </w:rPr>
              <w:t>、主要设备</w:t>
            </w:r>
          </w:p>
          <w:p w14:paraId="45B57BAE">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本项目主要生产设备见表</w:t>
            </w:r>
            <w:r>
              <w:rPr>
                <w:rFonts w:hint="eastAsia"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rPr>
              <w:t>。</w:t>
            </w:r>
          </w:p>
          <w:p w14:paraId="601D9020">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szCs w:val="21"/>
                <w:highlight w:val="none"/>
              </w:rPr>
            </w:pPr>
            <w:r>
              <w:rPr>
                <w:rFonts w:hint="eastAsia" w:ascii="Times New Roman" w:hAnsi="Times New Roman" w:cs="Times New Roman"/>
                <w:b/>
                <w:bCs/>
                <w:color w:val="auto"/>
                <w:szCs w:val="21"/>
                <w:highlight w:val="none"/>
              </w:rPr>
              <w:t>表</w:t>
            </w:r>
            <w:r>
              <w:rPr>
                <w:rFonts w:hint="eastAsia" w:ascii="Times New Roman" w:hAnsi="Times New Roman" w:cs="Times New Roman"/>
                <w:b/>
                <w:bCs/>
                <w:color w:val="auto"/>
                <w:szCs w:val="21"/>
                <w:highlight w:val="none"/>
                <w:lang w:val="en-US" w:eastAsia="zh-CN"/>
              </w:rPr>
              <w:t>2-</w:t>
            </w:r>
            <w:r>
              <w:rPr>
                <w:rFonts w:hint="eastAsia" w:cs="Times New Roman"/>
                <w:b/>
                <w:bCs/>
                <w:color w:val="auto"/>
                <w:szCs w:val="21"/>
                <w:highlight w:val="none"/>
                <w:lang w:val="en-US" w:eastAsia="zh-CN"/>
              </w:rPr>
              <w:t>5</w:t>
            </w:r>
            <w:r>
              <w:rPr>
                <w:rFonts w:hint="eastAsia" w:ascii="Times New Roman" w:hAnsi="Times New Roman" w:cs="Times New Roman"/>
                <w:b/>
                <w:bCs/>
                <w:color w:val="auto"/>
                <w:szCs w:val="21"/>
                <w:highlight w:val="none"/>
              </w:rPr>
              <w:t xml:space="preserve">  主要设备一览表</w:t>
            </w:r>
          </w:p>
          <w:tbl>
            <w:tblPr>
              <w:tblStyle w:val="26"/>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370"/>
              <w:gridCol w:w="2956"/>
              <w:gridCol w:w="990"/>
              <w:gridCol w:w="1349"/>
            </w:tblGrid>
            <w:tr w14:paraId="48E63D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blHeader/>
              </w:trPr>
              <w:tc>
                <w:tcPr>
                  <w:tcW w:w="432" w:type="pct"/>
                  <w:tcBorders>
                    <w:tl2br w:val="nil"/>
                    <w:tr2bl w:val="nil"/>
                  </w:tcBorders>
                  <w:noWrap w:val="0"/>
                  <w:vAlign w:val="center"/>
                </w:tcPr>
                <w:p w14:paraId="7CAC5F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1"/>
                      <w:sz w:val="21"/>
                      <w:szCs w:val="21"/>
                      <w:highlight w:val="none"/>
                      <w:lang w:val="en-US" w:eastAsia="zh-CN"/>
                    </w:rPr>
                  </w:pPr>
                  <w:r>
                    <w:rPr>
                      <w:rFonts w:hint="default" w:ascii="Times New Roman" w:hAnsi="Times New Roman" w:eastAsia="宋体" w:cs="Times New Roman"/>
                      <w:color w:val="auto"/>
                      <w:spacing w:val="1"/>
                      <w:sz w:val="21"/>
                      <w:szCs w:val="21"/>
                      <w:highlight w:val="none"/>
                      <w:lang w:val="en-US" w:eastAsia="zh-CN"/>
                    </w:rPr>
                    <w:t>序号</w:t>
                  </w:r>
                </w:p>
              </w:tc>
              <w:tc>
                <w:tcPr>
                  <w:tcW w:w="1412" w:type="pct"/>
                  <w:tcBorders>
                    <w:tl2br w:val="nil"/>
                    <w:tr2bl w:val="nil"/>
                  </w:tcBorders>
                  <w:noWrap w:val="0"/>
                  <w:vAlign w:val="center"/>
                </w:tcPr>
                <w:p w14:paraId="7AD07F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1"/>
                      <w:sz w:val="21"/>
                      <w:szCs w:val="21"/>
                      <w:highlight w:val="none"/>
                    </w:rPr>
                  </w:pPr>
                  <w:r>
                    <w:rPr>
                      <w:rFonts w:hint="default" w:ascii="Times New Roman" w:hAnsi="Times New Roman" w:eastAsia="宋体" w:cs="Times New Roman"/>
                      <w:color w:val="auto"/>
                      <w:spacing w:val="1"/>
                      <w:sz w:val="21"/>
                      <w:szCs w:val="21"/>
                      <w:highlight w:val="none"/>
                    </w:rPr>
                    <w:t>设备名称</w:t>
                  </w:r>
                </w:p>
              </w:tc>
              <w:tc>
                <w:tcPr>
                  <w:tcW w:w="1761" w:type="pct"/>
                  <w:tcBorders>
                    <w:tl2br w:val="nil"/>
                    <w:tr2bl w:val="nil"/>
                  </w:tcBorders>
                  <w:noWrap w:val="0"/>
                  <w:vAlign w:val="center"/>
                </w:tcPr>
                <w:p w14:paraId="0E7DF0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1"/>
                      <w:sz w:val="21"/>
                      <w:szCs w:val="21"/>
                      <w:highlight w:val="none"/>
                    </w:rPr>
                  </w:pPr>
                  <w:r>
                    <w:rPr>
                      <w:rFonts w:hint="default" w:ascii="Times New Roman" w:hAnsi="Times New Roman" w:eastAsia="宋体" w:cs="Times New Roman"/>
                      <w:color w:val="auto"/>
                      <w:spacing w:val="1"/>
                      <w:sz w:val="21"/>
                      <w:szCs w:val="21"/>
                      <w:highlight w:val="none"/>
                    </w:rPr>
                    <w:t>型号</w:t>
                  </w:r>
                </w:p>
              </w:tc>
              <w:tc>
                <w:tcPr>
                  <w:tcW w:w="589" w:type="pct"/>
                  <w:tcBorders>
                    <w:tl2br w:val="nil"/>
                    <w:tr2bl w:val="nil"/>
                  </w:tcBorders>
                  <w:noWrap w:val="0"/>
                  <w:vAlign w:val="center"/>
                </w:tcPr>
                <w:p w14:paraId="6BB0EE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1"/>
                      <w:sz w:val="21"/>
                      <w:szCs w:val="21"/>
                      <w:highlight w:val="none"/>
                      <w:lang w:val="en-US" w:eastAsia="zh-CN"/>
                    </w:rPr>
                  </w:pPr>
                  <w:r>
                    <w:rPr>
                      <w:rFonts w:hint="default" w:ascii="Times New Roman" w:hAnsi="Times New Roman" w:eastAsia="宋体" w:cs="Times New Roman"/>
                      <w:color w:val="auto"/>
                      <w:spacing w:val="1"/>
                      <w:sz w:val="21"/>
                      <w:szCs w:val="21"/>
                      <w:highlight w:val="none"/>
                      <w:lang w:val="en-US" w:eastAsia="zh-CN"/>
                    </w:rPr>
                    <w:t>单位</w:t>
                  </w:r>
                </w:p>
              </w:tc>
              <w:tc>
                <w:tcPr>
                  <w:tcW w:w="803" w:type="pct"/>
                  <w:tcBorders>
                    <w:tl2br w:val="nil"/>
                    <w:tr2bl w:val="nil"/>
                  </w:tcBorders>
                  <w:noWrap w:val="0"/>
                  <w:vAlign w:val="center"/>
                </w:tcPr>
                <w:p w14:paraId="490AE8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1"/>
                      <w:sz w:val="21"/>
                      <w:szCs w:val="21"/>
                      <w:highlight w:val="none"/>
                    </w:rPr>
                  </w:pPr>
                  <w:r>
                    <w:rPr>
                      <w:rFonts w:hint="default" w:ascii="Times New Roman" w:hAnsi="Times New Roman" w:eastAsia="宋体" w:cs="Times New Roman"/>
                      <w:color w:val="auto"/>
                      <w:spacing w:val="1"/>
                      <w:sz w:val="21"/>
                      <w:szCs w:val="21"/>
                      <w:highlight w:val="none"/>
                    </w:rPr>
                    <w:t>数量</w:t>
                  </w:r>
                </w:p>
              </w:tc>
            </w:tr>
            <w:tr w14:paraId="02B7312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2" w:type="pct"/>
                  <w:tcBorders>
                    <w:tl2br w:val="nil"/>
                    <w:tr2bl w:val="nil"/>
                  </w:tcBorders>
                  <w:noWrap w:val="0"/>
                  <w:vAlign w:val="center"/>
                </w:tcPr>
                <w:p w14:paraId="5398BC0E">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1"/>
                      <w:sz w:val="21"/>
                      <w:szCs w:val="21"/>
                      <w:highlight w:val="none"/>
                      <w:lang w:val="en-US" w:eastAsia="zh-CN"/>
                    </w:rPr>
                  </w:pPr>
                  <w:r>
                    <w:rPr>
                      <w:rFonts w:hint="eastAsia" w:ascii="Times New Roman" w:hAnsi="Times New Roman" w:eastAsia="宋体" w:cs="Times New Roman"/>
                      <w:color w:val="auto"/>
                      <w:spacing w:val="1"/>
                      <w:sz w:val="21"/>
                      <w:szCs w:val="21"/>
                      <w:highlight w:val="none"/>
                      <w:lang w:val="en-US" w:eastAsia="zh-CN"/>
                    </w:rPr>
                    <w:t>1</w:t>
                  </w:r>
                </w:p>
              </w:tc>
              <w:tc>
                <w:tcPr>
                  <w:tcW w:w="1412" w:type="pct"/>
                  <w:tcBorders>
                    <w:tl2br w:val="nil"/>
                    <w:tr2bl w:val="nil"/>
                  </w:tcBorders>
                  <w:shd w:val="clear" w:color="auto" w:fill="auto"/>
                  <w:noWrap w:val="0"/>
                  <w:vAlign w:val="center"/>
                </w:tcPr>
                <w:p w14:paraId="36FA2253">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spacing w:val="-7"/>
                      <w:sz w:val="21"/>
                      <w:szCs w:val="21"/>
                      <w:highlight w:val="none"/>
                    </w:rPr>
                    <w:t>推土机</w:t>
                  </w:r>
                </w:p>
              </w:tc>
              <w:tc>
                <w:tcPr>
                  <w:tcW w:w="1761" w:type="pct"/>
                  <w:tcBorders>
                    <w:tl2br w:val="nil"/>
                    <w:tr2bl w:val="nil"/>
                  </w:tcBorders>
                  <w:shd w:val="clear" w:color="auto" w:fill="auto"/>
                  <w:noWrap w:val="0"/>
                  <w:vAlign w:val="center"/>
                </w:tcPr>
                <w:p w14:paraId="12E98A71">
                  <w:pPr>
                    <w:pStyle w:val="106"/>
                    <w:keepNext w:val="0"/>
                    <w:keepLines w:val="0"/>
                    <w:pageBreakBefore w:val="0"/>
                    <w:widowControl w:val="0"/>
                    <w:suppressLineNumbers w:val="0"/>
                    <w:kinsoku/>
                    <w:wordWrap/>
                    <w:overflowPunct/>
                    <w:topLinePunct w:val="0"/>
                    <w:autoSpaceDE/>
                    <w:autoSpaceDN/>
                    <w:bidi w:val="0"/>
                    <w:adjustRightInd/>
                    <w:snapToGrid/>
                    <w:spacing w:before="102" w:beforeAutospacing="0" w:after="0" w:afterAutospacing="0" w:line="240" w:lineRule="auto"/>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6"/>
                      <w:sz w:val="21"/>
                      <w:szCs w:val="21"/>
                      <w:highlight w:val="none"/>
                    </w:rPr>
                    <w:t>320</w:t>
                  </w:r>
                  <w:r>
                    <w:rPr>
                      <w:rFonts w:hint="default" w:ascii="Times New Roman" w:hAnsi="Times New Roman" w:eastAsia="宋体" w:cs="Times New Roman"/>
                      <w:sz w:val="21"/>
                      <w:szCs w:val="21"/>
                      <w:highlight w:val="none"/>
                    </w:rPr>
                    <w:t>HP</w:t>
                  </w:r>
                </w:p>
              </w:tc>
              <w:tc>
                <w:tcPr>
                  <w:tcW w:w="589" w:type="pct"/>
                  <w:tcBorders>
                    <w:tl2br w:val="nil"/>
                    <w:tr2bl w:val="nil"/>
                  </w:tcBorders>
                  <w:shd w:val="clear" w:color="auto" w:fill="auto"/>
                  <w:noWrap w:val="0"/>
                  <w:vAlign w:val="center"/>
                </w:tcPr>
                <w:p w14:paraId="2E9774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803" w:type="pct"/>
                  <w:tcBorders>
                    <w:tl2br w:val="nil"/>
                    <w:tr2bl w:val="nil"/>
                  </w:tcBorders>
                  <w:shd w:val="clear" w:color="auto" w:fill="auto"/>
                  <w:noWrap w:val="0"/>
                  <w:vAlign w:val="center"/>
                </w:tcPr>
                <w:p w14:paraId="420950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p>
              </w:tc>
            </w:tr>
            <w:tr w14:paraId="707366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2" w:type="pct"/>
                  <w:tcBorders>
                    <w:tl2br w:val="nil"/>
                    <w:tr2bl w:val="nil"/>
                  </w:tcBorders>
                  <w:noWrap w:val="0"/>
                  <w:vAlign w:val="center"/>
                </w:tcPr>
                <w:p w14:paraId="7ED5C3F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1"/>
                      <w:sz w:val="21"/>
                      <w:szCs w:val="21"/>
                      <w:highlight w:val="none"/>
                      <w:lang w:val="en-US" w:eastAsia="zh-CN"/>
                    </w:rPr>
                  </w:pPr>
                  <w:r>
                    <w:rPr>
                      <w:rFonts w:hint="eastAsia" w:ascii="Times New Roman" w:hAnsi="Times New Roman" w:eastAsia="宋体" w:cs="Times New Roman"/>
                      <w:color w:val="auto"/>
                      <w:spacing w:val="1"/>
                      <w:sz w:val="21"/>
                      <w:szCs w:val="21"/>
                      <w:highlight w:val="none"/>
                      <w:lang w:val="en-US" w:eastAsia="zh-CN"/>
                    </w:rPr>
                    <w:t>2</w:t>
                  </w:r>
                </w:p>
              </w:tc>
              <w:tc>
                <w:tcPr>
                  <w:tcW w:w="1412" w:type="pct"/>
                  <w:tcBorders>
                    <w:tl2br w:val="nil"/>
                    <w:tr2bl w:val="nil"/>
                  </w:tcBorders>
                  <w:shd w:val="clear" w:color="auto" w:fill="auto"/>
                  <w:noWrap w:val="0"/>
                  <w:vAlign w:val="center"/>
                </w:tcPr>
                <w:p w14:paraId="075C35C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spacing w:val="-8"/>
                      <w:sz w:val="21"/>
                      <w:szCs w:val="21"/>
                      <w:highlight w:val="none"/>
                    </w:rPr>
                    <w:t>挖掘机</w:t>
                  </w:r>
                </w:p>
              </w:tc>
              <w:tc>
                <w:tcPr>
                  <w:tcW w:w="1761" w:type="pct"/>
                  <w:tcBorders>
                    <w:tl2br w:val="nil"/>
                    <w:tr2bl w:val="nil"/>
                  </w:tcBorders>
                  <w:shd w:val="clear" w:color="auto" w:fill="auto"/>
                  <w:noWrap w:val="0"/>
                  <w:vAlign w:val="center"/>
                </w:tcPr>
                <w:p w14:paraId="3C5A48F8">
                  <w:pPr>
                    <w:keepNext w:val="0"/>
                    <w:keepLines w:val="0"/>
                    <w:pageBreakBefore w:val="0"/>
                    <w:widowControl w:val="0"/>
                    <w:suppressLineNumbers w:val="0"/>
                    <w:kinsoku/>
                    <w:wordWrap/>
                    <w:overflowPunct/>
                    <w:topLinePunct w:val="0"/>
                    <w:autoSpaceDE/>
                    <w:autoSpaceDN/>
                    <w:bidi w:val="0"/>
                    <w:adjustRightInd/>
                    <w:snapToGrid/>
                    <w:spacing w:before="70" w:beforeAutospacing="0" w:after="0" w:afterAutospacing="0" w:line="240" w:lineRule="auto"/>
                    <w:ind w:left="0" w:right="0"/>
                    <w:jc w:val="center"/>
                    <w:textAlignment w:val="auto"/>
                    <w:rPr>
                      <w:rFonts w:hint="eastAsia"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pacing w:val="1"/>
                      <w:position w:val="-1"/>
                      <w:sz w:val="21"/>
                      <w:szCs w:val="21"/>
                      <w:highlight w:val="none"/>
                    </w:rPr>
                    <w:t>5.0m</w:t>
                  </w:r>
                  <w:r>
                    <w:rPr>
                      <w:rFonts w:hint="eastAsia" w:ascii="Times New Roman" w:hAnsi="Times New Roman" w:eastAsia="宋体" w:cs="Times New Roman"/>
                      <w:spacing w:val="1"/>
                      <w:position w:val="-1"/>
                      <w:sz w:val="21"/>
                      <w:szCs w:val="21"/>
                      <w:highlight w:val="none"/>
                      <w:vertAlign w:val="superscript"/>
                      <w:lang w:val="en-US" w:eastAsia="zh-CN"/>
                    </w:rPr>
                    <w:t>3</w:t>
                  </w:r>
                </w:p>
              </w:tc>
              <w:tc>
                <w:tcPr>
                  <w:tcW w:w="589" w:type="pct"/>
                  <w:tcBorders>
                    <w:tl2br w:val="nil"/>
                    <w:tr2bl w:val="nil"/>
                  </w:tcBorders>
                  <w:shd w:val="clear" w:color="auto" w:fill="auto"/>
                  <w:noWrap w:val="0"/>
                  <w:vAlign w:val="center"/>
                </w:tcPr>
                <w:p w14:paraId="265745B1">
                  <w:pPr>
                    <w:pStyle w:val="106"/>
                    <w:keepNext w:val="0"/>
                    <w:keepLines w:val="0"/>
                    <w:pageBreakBefore w:val="0"/>
                    <w:widowControl w:val="0"/>
                    <w:suppressLineNumbers w:val="0"/>
                    <w:kinsoku/>
                    <w:wordWrap/>
                    <w:overflowPunct/>
                    <w:topLinePunct w:val="0"/>
                    <w:autoSpaceDE/>
                    <w:autoSpaceDN/>
                    <w:bidi w:val="0"/>
                    <w:adjustRightInd/>
                    <w:snapToGrid/>
                    <w:spacing w:before="34" w:beforeAutospacing="0" w:after="0" w:afterAutospacing="0" w:line="240" w:lineRule="auto"/>
                    <w:ind w:left="0" w:right="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803" w:type="pct"/>
                  <w:tcBorders>
                    <w:tl2br w:val="nil"/>
                    <w:tr2bl w:val="nil"/>
                  </w:tcBorders>
                  <w:shd w:val="clear" w:color="auto" w:fill="auto"/>
                  <w:noWrap w:val="0"/>
                  <w:vAlign w:val="center"/>
                </w:tcPr>
                <w:p w14:paraId="2F37DA5C">
                  <w:pPr>
                    <w:keepNext w:val="0"/>
                    <w:keepLines w:val="0"/>
                    <w:pageBreakBefore w:val="0"/>
                    <w:widowControl w:val="0"/>
                    <w:suppressLineNumbers w:val="0"/>
                    <w:kinsoku/>
                    <w:wordWrap/>
                    <w:overflowPunct/>
                    <w:topLinePunct w:val="0"/>
                    <w:autoSpaceDE/>
                    <w:autoSpaceDN/>
                    <w:bidi w:val="0"/>
                    <w:adjustRightInd/>
                    <w:snapToGrid/>
                    <w:spacing w:before="70" w:beforeAutospacing="0" w:after="0" w:afterAutospacing="0" w:line="240" w:lineRule="auto"/>
                    <w:ind w:left="0" w:right="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pacing w:val="1"/>
                      <w:sz w:val="21"/>
                      <w:szCs w:val="21"/>
                      <w:highlight w:val="none"/>
                      <w:lang w:val="en-US" w:eastAsia="zh-CN"/>
                    </w:rPr>
                    <w:t>3</w:t>
                  </w:r>
                </w:p>
              </w:tc>
            </w:tr>
            <w:tr w14:paraId="025DFA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2" w:type="pct"/>
                  <w:tcBorders>
                    <w:tl2br w:val="nil"/>
                    <w:tr2bl w:val="nil"/>
                  </w:tcBorders>
                  <w:shd w:val="clear" w:color="auto" w:fill="auto"/>
                  <w:noWrap w:val="0"/>
                  <w:vAlign w:val="center"/>
                </w:tcPr>
                <w:p w14:paraId="2C9C42F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1"/>
                      <w:kern w:val="2"/>
                      <w:sz w:val="21"/>
                      <w:szCs w:val="21"/>
                      <w:highlight w:val="none"/>
                      <w:lang w:val="en-US" w:eastAsia="zh-CN" w:bidi="ar-SA"/>
                    </w:rPr>
                  </w:pPr>
                  <w:r>
                    <w:rPr>
                      <w:rFonts w:hint="eastAsia" w:ascii="Times New Roman" w:hAnsi="Times New Roman" w:eastAsia="宋体" w:cs="Times New Roman"/>
                      <w:color w:val="auto"/>
                      <w:spacing w:val="1"/>
                      <w:sz w:val="21"/>
                      <w:szCs w:val="21"/>
                      <w:highlight w:val="none"/>
                      <w:lang w:val="en-US" w:eastAsia="zh-CN"/>
                    </w:rPr>
                    <w:t>3</w:t>
                  </w:r>
                </w:p>
              </w:tc>
              <w:tc>
                <w:tcPr>
                  <w:tcW w:w="1412" w:type="pct"/>
                  <w:tcBorders>
                    <w:tl2br w:val="nil"/>
                    <w:tr2bl w:val="nil"/>
                  </w:tcBorders>
                  <w:shd w:val="clear" w:color="auto" w:fill="auto"/>
                  <w:noWrap w:val="0"/>
                  <w:vAlign w:val="center"/>
                </w:tcPr>
                <w:p w14:paraId="674FAF5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spacing w:val="-8"/>
                      <w:sz w:val="21"/>
                      <w:szCs w:val="21"/>
                      <w:highlight w:val="none"/>
                      <w:lang w:val="en-US" w:eastAsia="zh-CN"/>
                    </w:rPr>
                  </w:pPr>
                  <w:r>
                    <w:rPr>
                      <w:rFonts w:hint="eastAsia" w:ascii="Times New Roman" w:hAnsi="Times New Roman" w:eastAsia="宋体" w:cs="Times New Roman"/>
                      <w:spacing w:val="-8"/>
                      <w:sz w:val="21"/>
                      <w:szCs w:val="21"/>
                      <w:highlight w:val="none"/>
                      <w:lang w:val="en-US" w:eastAsia="zh-CN"/>
                    </w:rPr>
                    <w:t>装载机</w:t>
                  </w:r>
                </w:p>
              </w:tc>
              <w:tc>
                <w:tcPr>
                  <w:tcW w:w="1761" w:type="pct"/>
                  <w:tcBorders>
                    <w:tl2br w:val="nil"/>
                    <w:tr2bl w:val="nil"/>
                  </w:tcBorders>
                  <w:shd w:val="clear" w:color="auto" w:fill="auto"/>
                  <w:noWrap w:val="0"/>
                  <w:vAlign w:val="center"/>
                </w:tcPr>
                <w:p w14:paraId="016D8130">
                  <w:pPr>
                    <w:keepNext w:val="0"/>
                    <w:keepLines w:val="0"/>
                    <w:pageBreakBefore w:val="0"/>
                    <w:widowControl w:val="0"/>
                    <w:suppressLineNumbers w:val="0"/>
                    <w:kinsoku/>
                    <w:wordWrap/>
                    <w:overflowPunct/>
                    <w:topLinePunct w:val="0"/>
                    <w:autoSpaceDE/>
                    <w:autoSpaceDN/>
                    <w:bidi w:val="0"/>
                    <w:adjustRightInd/>
                    <w:snapToGrid/>
                    <w:spacing w:before="70" w:beforeAutospacing="0" w:after="0" w:afterAutospacing="0" w:line="240" w:lineRule="auto"/>
                    <w:ind w:left="0" w:right="0"/>
                    <w:jc w:val="center"/>
                    <w:textAlignment w:val="auto"/>
                    <w:rPr>
                      <w:rFonts w:hint="eastAsia" w:ascii="Times New Roman" w:hAnsi="Times New Roman" w:eastAsia="宋体" w:cs="Times New Roman"/>
                      <w:spacing w:val="1"/>
                      <w:position w:val="-1"/>
                      <w:sz w:val="21"/>
                      <w:szCs w:val="21"/>
                      <w:highlight w:val="none"/>
                      <w:lang w:val="en-US" w:eastAsia="zh-CN"/>
                    </w:rPr>
                  </w:pPr>
                  <w:r>
                    <w:rPr>
                      <w:rFonts w:hint="eastAsia" w:ascii="Times New Roman" w:hAnsi="Times New Roman" w:eastAsia="宋体" w:cs="Times New Roman"/>
                      <w:spacing w:val="1"/>
                      <w:position w:val="-1"/>
                      <w:sz w:val="21"/>
                      <w:szCs w:val="21"/>
                      <w:highlight w:val="none"/>
                      <w:lang w:val="en-US" w:eastAsia="zh-CN"/>
                    </w:rPr>
                    <w:t>/</w:t>
                  </w:r>
                </w:p>
              </w:tc>
              <w:tc>
                <w:tcPr>
                  <w:tcW w:w="589" w:type="pct"/>
                  <w:tcBorders>
                    <w:tl2br w:val="nil"/>
                    <w:tr2bl w:val="nil"/>
                  </w:tcBorders>
                  <w:shd w:val="clear" w:color="auto" w:fill="auto"/>
                  <w:noWrap w:val="0"/>
                  <w:vAlign w:val="center"/>
                </w:tcPr>
                <w:p w14:paraId="54F32EAF">
                  <w:pPr>
                    <w:pStyle w:val="106"/>
                    <w:keepNext w:val="0"/>
                    <w:keepLines w:val="0"/>
                    <w:pageBreakBefore w:val="0"/>
                    <w:widowControl w:val="0"/>
                    <w:suppressLineNumbers w:val="0"/>
                    <w:kinsoku/>
                    <w:wordWrap/>
                    <w:overflowPunct/>
                    <w:topLinePunct w:val="0"/>
                    <w:autoSpaceDE/>
                    <w:autoSpaceDN/>
                    <w:bidi w:val="0"/>
                    <w:adjustRightInd/>
                    <w:snapToGrid/>
                    <w:spacing w:before="34" w:beforeAutospacing="0" w:after="0" w:afterAutospacing="0" w:line="240" w:lineRule="auto"/>
                    <w:ind w:left="0" w:right="0"/>
                    <w:jc w:val="center"/>
                    <w:textAlignment w:val="auto"/>
                    <w:rPr>
                      <w:rFonts w:hint="eastAsia"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台</w:t>
                  </w:r>
                </w:p>
              </w:tc>
              <w:tc>
                <w:tcPr>
                  <w:tcW w:w="803" w:type="pct"/>
                  <w:tcBorders>
                    <w:tl2br w:val="nil"/>
                    <w:tr2bl w:val="nil"/>
                  </w:tcBorders>
                  <w:shd w:val="clear" w:color="auto" w:fill="auto"/>
                  <w:noWrap w:val="0"/>
                  <w:vAlign w:val="center"/>
                </w:tcPr>
                <w:p w14:paraId="34B219D2">
                  <w:pPr>
                    <w:keepNext w:val="0"/>
                    <w:keepLines w:val="0"/>
                    <w:pageBreakBefore w:val="0"/>
                    <w:widowControl w:val="0"/>
                    <w:suppressLineNumbers w:val="0"/>
                    <w:kinsoku/>
                    <w:wordWrap/>
                    <w:overflowPunct/>
                    <w:topLinePunct w:val="0"/>
                    <w:autoSpaceDE/>
                    <w:autoSpaceDN/>
                    <w:bidi w:val="0"/>
                    <w:adjustRightInd/>
                    <w:snapToGrid/>
                    <w:spacing w:before="70" w:beforeAutospacing="0" w:after="0" w:afterAutospacing="0" w:line="240" w:lineRule="auto"/>
                    <w:ind w:left="0" w:right="0"/>
                    <w:jc w:val="center"/>
                    <w:textAlignment w:val="auto"/>
                    <w:rPr>
                      <w:rFonts w:hint="default" w:ascii="Times New Roman" w:hAnsi="Times New Roman" w:eastAsia="宋体" w:cs="Times New Roman"/>
                      <w:spacing w:val="1"/>
                      <w:sz w:val="21"/>
                      <w:szCs w:val="21"/>
                      <w:highlight w:val="none"/>
                      <w:lang w:val="en-US" w:eastAsia="zh-CN"/>
                    </w:rPr>
                  </w:pPr>
                  <w:r>
                    <w:rPr>
                      <w:rFonts w:hint="eastAsia" w:ascii="Times New Roman" w:hAnsi="Times New Roman" w:eastAsia="宋体" w:cs="Times New Roman"/>
                      <w:spacing w:val="1"/>
                      <w:sz w:val="21"/>
                      <w:szCs w:val="21"/>
                      <w:highlight w:val="none"/>
                      <w:lang w:val="en-US" w:eastAsia="zh-CN"/>
                    </w:rPr>
                    <w:t>3</w:t>
                  </w:r>
                </w:p>
              </w:tc>
            </w:tr>
            <w:tr w14:paraId="0DFC1E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2" w:type="pct"/>
                  <w:tcBorders>
                    <w:tl2br w:val="nil"/>
                    <w:tr2bl w:val="nil"/>
                  </w:tcBorders>
                  <w:shd w:val="clear" w:color="auto" w:fill="auto"/>
                  <w:noWrap w:val="0"/>
                  <w:vAlign w:val="center"/>
                </w:tcPr>
                <w:p w14:paraId="167A95A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1"/>
                      <w:kern w:val="2"/>
                      <w:sz w:val="21"/>
                      <w:szCs w:val="21"/>
                      <w:highlight w:val="none"/>
                      <w:lang w:val="en-US" w:eastAsia="zh-CN" w:bidi="ar-SA"/>
                    </w:rPr>
                  </w:pPr>
                  <w:r>
                    <w:rPr>
                      <w:rFonts w:hint="eastAsia" w:ascii="Times New Roman" w:hAnsi="Times New Roman" w:eastAsia="宋体" w:cs="Times New Roman"/>
                      <w:color w:val="auto"/>
                      <w:spacing w:val="1"/>
                      <w:sz w:val="21"/>
                      <w:szCs w:val="21"/>
                      <w:highlight w:val="none"/>
                      <w:lang w:val="en-US" w:eastAsia="zh-CN"/>
                    </w:rPr>
                    <w:t>4</w:t>
                  </w:r>
                </w:p>
              </w:tc>
              <w:tc>
                <w:tcPr>
                  <w:tcW w:w="1412" w:type="pct"/>
                  <w:tcBorders>
                    <w:tl2br w:val="nil"/>
                    <w:tr2bl w:val="nil"/>
                  </w:tcBorders>
                  <w:shd w:val="clear" w:color="auto" w:fill="auto"/>
                  <w:noWrap w:val="0"/>
                  <w:vAlign w:val="center"/>
                </w:tcPr>
                <w:p w14:paraId="5C2FAAD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spacing w:val="-8"/>
                      <w:sz w:val="21"/>
                      <w:szCs w:val="21"/>
                      <w:highlight w:val="none"/>
                    </w:rPr>
                    <w:t>自卸汽车</w:t>
                  </w:r>
                </w:p>
              </w:tc>
              <w:tc>
                <w:tcPr>
                  <w:tcW w:w="1761" w:type="pct"/>
                  <w:tcBorders>
                    <w:tl2br w:val="nil"/>
                    <w:tr2bl w:val="nil"/>
                  </w:tcBorders>
                  <w:shd w:val="clear" w:color="auto" w:fill="auto"/>
                  <w:noWrap w:val="0"/>
                  <w:vAlign w:val="center"/>
                </w:tcPr>
                <w:p w14:paraId="63BDBECA">
                  <w:pPr>
                    <w:pStyle w:val="106"/>
                    <w:keepNext w:val="0"/>
                    <w:keepLines w:val="0"/>
                    <w:pageBreakBefore w:val="0"/>
                    <w:widowControl w:val="0"/>
                    <w:suppressLineNumbers w:val="0"/>
                    <w:kinsoku/>
                    <w:wordWrap/>
                    <w:overflowPunct/>
                    <w:topLinePunct w:val="0"/>
                    <w:autoSpaceDE/>
                    <w:autoSpaceDN/>
                    <w:bidi w:val="0"/>
                    <w:adjustRightInd/>
                    <w:snapToGrid/>
                    <w:spacing w:before="102" w:beforeAutospacing="0" w:after="0" w:afterAutospacing="0" w:line="240" w:lineRule="auto"/>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3"/>
                      <w:sz w:val="21"/>
                      <w:szCs w:val="21"/>
                      <w:highlight w:val="none"/>
                    </w:rPr>
                    <w:t>15t自卸卡车</w:t>
                  </w:r>
                </w:p>
              </w:tc>
              <w:tc>
                <w:tcPr>
                  <w:tcW w:w="589" w:type="pct"/>
                  <w:tcBorders>
                    <w:tl2br w:val="nil"/>
                    <w:tr2bl w:val="nil"/>
                  </w:tcBorders>
                  <w:shd w:val="clear" w:color="auto" w:fill="auto"/>
                  <w:noWrap w:val="0"/>
                  <w:vAlign w:val="center"/>
                </w:tcPr>
                <w:p w14:paraId="7B4670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803" w:type="pct"/>
                  <w:tcBorders>
                    <w:tl2br w:val="nil"/>
                    <w:tr2bl w:val="nil"/>
                  </w:tcBorders>
                  <w:shd w:val="clear" w:color="auto" w:fill="auto"/>
                  <w:noWrap w:val="0"/>
                  <w:vAlign w:val="center"/>
                </w:tcPr>
                <w:p w14:paraId="112DE247">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p>
              </w:tc>
            </w:tr>
            <w:tr w14:paraId="62624E5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2" w:type="pct"/>
                  <w:tcBorders>
                    <w:tl2br w:val="nil"/>
                    <w:tr2bl w:val="nil"/>
                  </w:tcBorders>
                  <w:shd w:val="clear" w:color="auto" w:fill="auto"/>
                  <w:noWrap w:val="0"/>
                  <w:vAlign w:val="center"/>
                </w:tcPr>
                <w:p w14:paraId="56D87697">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1"/>
                      <w:kern w:val="2"/>
                      <w:sz w:val="21"/>
                      <w:szCs w:val="21"/>
                      <w:highlight w:val="none"/>
                      <w:lang w:val="en-US" w:eastAsia="zh-CN" w:bidi="ar-SA"/>
                    </w:rPr>
                  </w:pPr>
                  <w:r>
                    <w:rPr>
                      <w:rFonts w:hint="eastAsia" w:ascii="Times New Roman" w:hAnsi="Times New Roman" w:eastAsia="宋体" w:cs="Times New Roman"/>
                      <w:color w:val="auto"/>
                      <w:spacing w:val="1"/>
                      <w:sz w:val="21"/>
                      <w:szCs w:val="21"/>
                      <w:highlight w:val="none"/>
                      <w:lang w:val="en-US" w:eastAsia="zh-CN"/>
                    </w:rPr>
                    <w:t>5</w:t>
                  </w:r>
                </w:p>
              </w:tc>
              <w:tc>
                <w:tcPr>
                  <w:tcW w:w="1412" w:type="pct"/>
                  <w:tcBorders>
                    <w:tl2br w:val="nil"/>
                    <w:tr2bl w:val="nil"/>
                  </w:tcBorders>
                  <w:shd w:val="clear" w:color="auto" w:fill="auto"/>
                  <w:noWrap w:val="0"/>
                  <w:vAlign w:val="center"/>
                </w:tcPr>
                <w:p w14:paraId="2CD203F8">
                  <w:pPr>
                    <w:keepNext w:val="0"/>
                    <w:keepLines w:val="0"/>
                    <w:pageBreakBefore w:val="0"/>
                    <w:widowControl w:val="0"/>
                    <w:suppressLineNumbers w:val="0"/>
                    <w:kinsoku/>
                    <w:wordWrap/>
                    <w:overflowPunct/>
                    <w:topLinePunct w:val="0"/>
                    <w:autoSpaceDE/>
                    <w:autoSpaceDN/>
                    <w:bidi w:val="0"/>
                    <w:adjustRightInd/>
                    <w:snapToGrid/>
                    <w:spacing w:before="85" w:beforeAutospacing="0" w:after="0" w:afterAutospacing="0" w:line="240" w:lineRule="auto"/>
                    <w:ind w:left="0" w:right="0"/>
                    <w:jc w:val="center"/>
                    <w:textAlignment w:val="auto"/>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潜孔钻机</w:t>
                  </w:r>
                </w:p>
              </w:tc>
              <w:tc>
                <w:tcPr>
                  <w:tcW w:w="1761" w:type="pct"/>
                  <w:tcBorders>
                    <w:tl2br w:val="nil"/>
                    <w:tr2bl w:val="nil"/>
                  </w:tcBorders>
                  <w:shd w:val="clear" w:color="auto" w:fill="auto"/>
                  <w:noWrap w:val="0"/>
                  <w:vAlign w:val="center"/>
                </w:tcPr>
                <w:p w14:paraId="732F8E57">
                  <w:pPr>
                    <w:pStyle w:val="106"/>
                    <w:keepNext w:val="0"/>
                    <w:keepLines w:val="0"/>
                    <w:pageBreakBefore w:val="0"/>
                    <w:widowControl w:val="0"/>
                    <w:suppressLineNumbers w:val="0"/>
                    <w:kinsoku/>
                    <w:wordWrap/>
                    <w:overflowPunct/>
                    <w:topLinePunct w:val="0"/>
                    <w:autoSpaceDE/>
                    <w:autoSpaceDN/>
                    <w:bidi w:val="0"/>
                    <w:adjustRightInd/>
                    <w:snapToGrid/>
                    <w:spacing w:before="102" w:beforeAutospacing="0" w:after="0" w:afterAutospacing="0" w:line="240" w:lineRule="auto"/>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1"/>
                      <w:sz w:val="21"/>
                      <w:szCs w:val="21"/>
                      <w:highlight w:val="none"/>
                    </w:rPr>
                    <w:t>150</w:t>
                  </w:r>
                  <w:r>
                    <w:rPr>
                      <w:rFonts w:hint="default" w:ascii="Times New Roman" w:hAnsi="Times New Roman" w:eastAsia="宋体" w:cs="Times New Roman"/>
                      <w:sz w:val="21"/>
                      <w:szCs w:val="21"/>
                      <w:highlight w:val="none"/>
                    </w:rPr>
                    <w:t>mm</w:t>
                  </w:r>
                </w:p>
              </w:tc>
              <w:tc>
                <w:tcPr>
                  <w:tcW w:w="589" w:type="pct"/>
                  <w:tcBorders>
                    <w:tl2br w:val="nil"/>
                    <w:tr2bl w:val="nil"/>
                  </w:tcBorders>
                  <w:shd w:val="clear" w:color="auto" w:fill="auto"/>
                  <w:noWrap w:val="0"/>
                  <w:vAlign w:val="center"/>
                </w:tcPr>
                <w:p w14:paraId="45A6A9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803" w:type="pct"/>
                  <w:tcBorders>
                    <w:tl2br w:val="nil"/>
                    <w:tr2bl w:val="nil"/>
                  </w:tcBorders>
                  <w:shd w:val="clear" w:color="auto" w:fill="auto"/>
                  <w:noWrap w:val="0"/>
                  <w:vAlign w:val="center"/>
                </w:tcPr>
                <w:p w14:paraId="49483E89">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p>
              </w:tc>
            </w:tr>
            <w:tr w14:paraId="602315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2" w:type="pct"/>
                  <w:tcBorders>
                    <w:tl2br w:val="nil"/>
                    <w:tr2bl w:val="nil"/>
                  </w:tcBorders>
                  <w:shd w:val="clear" w:color="auto" w:fill="auto"/>
                  <w:noWrap w:val="0"/>
                  <w:vAlign w:val="center"/>
                </w:tcPr>
                <w:p w14:paraId="3FE50FD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1"/>
                      <w:kern w:val="2"/>
                      <w:sz w:val="21"/>
                      <w:szCs w:val="21"/>
                      <w:highlight w:val="none"/>
                      <w:lang w:val="en-US" w:eastAsia="zh-CN" w:bidi="ar-SA"/>
                    </w:rPr>
                  </w:pPr>
                  <w:r>
                    <w:rPr>
                      <w:rFonts w:hint="eastAsia" w:ascii="Times New Roman" w:hAnsi="Times New Roman" w:eastAsia="宋体" w:cs="Times New Roman"/>
                      <w:color w:val="auto"/>
                      <w:spacing w:val="1"/>
                      <w:sz w:val="21"/>
                      <w:szCs w:val="21"/>
                      <w:highlight w:val="none"/>
                      <w:lang w:val="en-US" w:eastAsia="zh-CN"/>
                    </w:rPr>
                    <w:t>6</w:t>
                  </w:r>
                </w:p>
              </w:tc>
              <w:tc>
                <w:tcPr>
                  <w:tcW w:w="1412" w:type="pct"/>
                  <w:tcBorders>
                    <w:tl2br w:val="nil"/>
                    <w:tr2bl w:val="nil"/>
                  </w:tcBorders>
                  <w:shd w:val="clear" w:color="auto" w:fill="auto"/>
                  <w:noWrap w:val="0"/>
                  <w:vAlign w:val="center"/>
                </w:tcPr>
                <w:p w14:paraId="26C9BC4B">
                  <w:pPr>
                    <w:keepNext w:val="0"/>
                    <w:keepLines w:val="0"/>
                    <w:pageBreakBefore w:val="0"/>
                    <w:widowControl w:val="0"/>
                    <w:suppressLineNumbers w:val="0"/>
                    <w:kinsoku/>
                    <w:wordWrap/>
                    <w:overflowPunct/>
                    <w:topLinePunct w:val="0"/>
                    <w:autoSpaceDE/>
                    <w:autoSpaceDN/>
                    <w:bidi w:val="0"/>
                    <w:adjustRightInd/>
                    <w:snapToGrid/>
                    <w:spacing w:before="85"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spacing w:val="7"/>
                      <w:sz w:val="21"/>
                      <w:szCs w:val="21"/>
                      <w:highlight w:val="none"/>
                    </w:rPr>
                    <w:t>泥浆搅拌机</w:t>
                  </w:r>
                </w:p>
              </w:tc>
              <w:tc>
                <w:tcPr>
                  <w:tcW w:w="1761" w:type="pct"/>
                  <w:tcBorders>
                    <w:tl2br w:val="nil"/>
                    <w:tr2bl w:val="nil"/>
                  </w:tcBorders>
                  <w:shd w:val="clear" w:color="auto" w:fill="auto"/>
                  <w:noWrap w:val="0"/>
                  <w:vAlign w:val="center"/>
                </w:tcPr>
                <w:p w14:paraId="542AA49C">
                  <w:pPr>
                    <w:pStyle w:val="106"/>
                    <w:keepNext w:val="0"/>
                    <w:keepLines w:val="0"/>
                    <w:pageBreakBefore w:val="0"/>
                    <w:widowControl w:val="0"/>
                    <w:suppressLineNumbers w:val="0"/>
                    <w:kinsoku/>
                    <w:wordWrap/>
                    <w:overflowPunct/>
                    <w:topLinePunct w:val="0"/>
                    <w:autoSpaceDE/>
                    <w:autoSpaceDN/>
                    <w:bidi w:val="0"/>
                    <w:adjustRightInd/>
                    <w:snapToGrid/>
                    <w:spacing w:before="102"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sz w:val="21"/>
                      <w:szCs w:val="21"/>
                      <w:highlight w:val="none"/>
                    </w:rPr>
                    <w:t>ZHJ</w:t>
                  </w:r>
                  <w:r>
                    <w:rPr>
                      <w:rFonts w:hint="default" w:ascii="Times New Roman" w:hAnsi="Times New Roman" w:eastAsia="宋体" w:cs="Times New Roman"/>
                      <w:spacing w:val="5"/>
                      <w:sz w:val="21"/>
                      <w:szCs w:val="21"/>
                      <w:highlight w:val="none"/>
                    </w:rPr>
                    <w:t>-80/1.2</w:t>
                  </w:r>
                </w:p>
              </w:tc>
              <w:tc>
                <w:tcPr>
                  <w:tcW w:w="589" w:type="pct"/>
                  <w:tcBorders>
                    <w:tl2br w:val="nil"/>
                    <w:tr2bl w:val="nil"/>
                  </w:tcBorders>
                  <w:shd w:val="clear" w:color="auto" w:fill="auto"/>
                  <w:noWrap w:val="0"/>
                  <w:vAlign w:val="center"/>
                </w:tcPr>
                <w:p w14:paraId="16C753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803" w:type="pct"/>
                  <w:tcBorders>
                    <w:tl2br w:val="nil"/>
                    <w:tr2bl w:val="nil"/>
                  </w:tcBorders>
                  <w:shd w:val="clear" w:color="auto" w:fill="auto"/>
                  <w:noWrap w:val="0"/>
                  <w:vAlign w:val="center"/>
                </w:tcPr>
                <w:p w14:paraId="5F976DC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w:t>
                  </w:r>
                </w:p>
              </w:tc>
            </w:tr>
            <w:tr w14:paraId="6B671C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2" w:type="pct"/>
                  <w:tcBorders>
                    <w:tl2br w:val="nil"/>
                    <w:tr2bl w:val="nil"/>
                  </w:tcBorders>
                  <w:shd w:val="clear" w:color="auto" w:fill="auto"/>
                  <w:noWrap w:val="0"/>
                  <w:vAlign w:val="center"/>
                </w:tcPr>
                <w:p w14:paraId="49C0DFD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1"/>
                      <w:kern w:val="2"/>
                      <w:sz w:val="21"/>
                      <w:szCs w:val="21"/>
                      <w:highlight w:val="none"/>
                      <w:lang w:val="en-US" w:eastAsia="zh-CN" w:bidi="ar-SA"/>
                    </w:rPr>
                  </w:pPr>
                  <w:r>
                    <w:rPr>
                      <w:rFonts w:hint="eastAsia" w:ascii="Times New Roman" w:hAnsi="Times New Roman" w:eastAsia="宋体" w:cs="Times New Roman"/>
                      <w:color w:val="auto"/>
                      <w:spacing w:val="1"/>
                      <w:sz w:val="21"/>
                      <w:szCs w:val="21"/>
                      <w:highlight w:val="none"/>
                      <w:lang w:val="en-US" w:eastAsia="zh-CN"/>
                    </w:rPr>
                    <w:t>7</w:t>
                  </w:r>
                </w:p>
              </w:tc>
              <w:tc>
                <w:tcPr>
                  <w:tcW w:w="1412" w:type="pct"/>
                  <w:tcBorders>
                    <w:tl2br w:val="nil"/>
                    <w:tr2bl w:val="nil"/>
                  </w:tcBorders>
                  <w:shd w:val="clear" w:color="auto" w:fill="auto"/>
                  <w:noWrap w:val="0"/>
                  <w:vAlign w:val="center"/>
                </w:tcPr>
                <w:p w14:paraId="0C929634">
                  <w:pPr>
                    <w:keepNext w:val="0"/>
                    <w:keepLines w:val="0"/>
                    <w:pageBreakBefore w:val="0"/>
                    <w:widowControl w:val="0"/>
                    <w:suppressLineNumbers w:val="0"/>
                    <w:kinsoku/>
                    <w:wordWrap/>
                    <w:overflowPunct/>
                    <w:topLinePunct w:val="0"/>
                    <w:autoSpaceDE/>
                    <w:autoSpaceDN/>
                    <w:bidi w:val="0"/>
                    <w:adjustRightInd/>
                    <w:snapToGrid/>
                    <w:spacing w:before="95"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spacing w:val="5"/>
                      <w:sz w:val="21"/>
                      <w:szCs w:val="21"/>
                      <w:highlight w:val="none"/>
                    </w:rPr>
                    <w:t>泥浆泵</w:t>
                  </w:r>
                </w:p>
              </w:tc>
              <w:tc>
                <w:tcPr>
                  <w:tcW w:w="1761" w:type="pct"/>
                  <w:tcBorders>
                    <w:tl2br w:val="nil"/>
                    <w:tr2bl w:val="nil"/>
                  </w:tcBorders>
                  <w:shd w:val="clear" w:color="auto" w:fill="auto"/>
                  <w:noWrap w:val="0"/>
                  <w:vAlign w:val="center"/>
                </w:tcPr>
                <w:p w14:paraId="2DCE846B">
                  <w:pPr>
                    <w:pStyle w:val="106"/>
                    <w:keepNext w:val="0"/>
                    <w:keepLines w:val="0"/>
                    <w:pageBreakBefore w:val="0"/>
                    <w:widowControl w:val="0"/>
                    <w:suppressLineNumbers w:val="0"/>
                    <w:kinsoku/>
                    <w:wordWrap/>
                    <w:overflowPunct/>
                    <w:topLinePunct w:val="0"/>
                    <w:autoSpaceDE/>
                    <w:autoSpaceDN/>
                    <w:bidi w:val="0"/>
                    <w:adjustRightInd/>
                    <w:snapToGrid/>
                    <w:spacing w:before="11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sz w:val="21"/>
                      <w:szCs w:val="21"/>
                      <w:highlight w:val="none"/>
                    </w:rPr>
                    <w:t>WB</w:t>
                  </w:r>
                  <w:r>
                    <w:rPr>
                      <w:rFonts w:hint="default" w:ascii="Times New Roman" w:hAnsi="Times New Roman" w:eastAsia="宋体" w:cs="Times New Roman"/>
                      <w:spacing w:val="6"/>
                      <w:sz w:val="21"/>
                      <w:szCs w:val="21"/>
                      <w:highlight w:val="none"/>
                    </w:rPr>
                    <w:t>-250/60</w:t>
                  </w:r>
                </w:p>
              </w:tc>
              <w:tc>
                <w:tcPr>
                  <w:tcW w:w="589" w:type="pct"/>
                  <w:tcBorders>
                    <w:tl2br w:val="nil"/>
                    <w:tr2bl w:val="nil"/>
                  </w:tcBorders>
                  <w:shd w:val="clear" w:color="auto" w:fill="auto"/>
                  <w:noWrap w:val="0"/>
                  <w:vAlign w:val="center"/>
                </w:tcPr>
                <w:p w14:paraId="3CDA1798">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台</w:t>
                  </w:r>
                </w:p>
              </w:tc>
              <w:tc>
                <w:tcPr>
                  <w:tcW w:w="803" w:type="pct"/>
                  <w:tcBorders>
                    <w:tl2br w:val="nil"/>
                    <w:tr2bl w:val="nil"/>
                  </w:tcBorders>
                  <w:shd w:val="clear" w:color="auto" w:fill="auto"/>
                  <w:noWrap w:val="0"/>
                  <w:vAlign w:val="center"/>
                </w:tcPr>
                <w:p w14:paraId="3C818408">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p>
              </w:tc>
            </w:tr>
            <w:tr w14:paraId="7EA933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2" w:type="pct"/>
                  <w:tcBorders>
                    <w:tl2br w:val="nil"/>
                    <w:tr2bl w:val="nil"/>
                  </w:tcBorders>
                  <w:noWrap w:val="0"/>
                  <w:vAlign w:val="center"/>
                </w:tcPr>
                <w:p w14:paraId="0C9D17BF">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1"/>
                      <w:sz w:val="21"/>
                      <w:szCs w:val="21"/>
                      <w:highlight w:val="none"/>
                      <w:lang w:val="en-US" w:eastAsia="zh-CN"/>
                    </w:rPr>
                  </w:pPr>
                  <w:r>
                    <w:rPr>
                      <w:rFonts w:hint="eastAsia" w:ascii="Times New Roman" w:hAnsi="Times New Roman" w:eastAsia="宋体" w:cs="Times New Roman"/>
                      <w:color w:val="auto"/>
                      <w:spacing w:val="1"/>
                      <w:sz w:val="21"/>
                      <w:szCs w:val="21"/>
                      <w:highlight w:val="none"/>
                      <w:lang w:val="en-US" w:eastAsia="zh-CN"/>
                    </w:rPr>
                    <w:t>8</w:t>
                  </w:r>
                </w:p>
              </w:tc>
              <w:tc>
                <w:tcPr>
                  <w:tcW w:w="1412" w:type="pct"/>
                  <w:tcBorders>
                    <w:tl2br w:val="nil"/>
                    <w:tr2bl w:val="nil"/>
                  </w:tcBorders>
                  <w:shd w:val="clear" w:color="auto" w:fill="auto"/>
                  <w:noWrap w:val="0"/>
                  <w:vAlign w:val="center"/>
                </w:tcPr>
                <w:p w14:paraId="3539BCA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spacing w:val="3"/>
                      <w:sz w:val="21"/>
                      <w:szCs w:val="21"/>
                      <w:highlight w:val="none"/>
                    </w:rPr>
                    <w:t>卡车</w:t>
                  </w:r>
                </w:p>
              </w:tc>
              <w:tc>
                <w:tcPr>
                  <w:tcW w:w="1761" w:type="pct"/>
                  <w:tcBorders>
                    <w:tl2br w:val="nil"/>
                    <w:tr2bl w:val="nil"/>
                  </w:tcBorders>
                  <w:shd w:val="clear" w:color="auto" w:fill="auto"/>
                  <w:noWrap w:val="0"/>
                  <w:vAlign w:val="center"/>
                </w:tcPr>
                <w:p w14:paraId="61F8D944">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spacing w:val="4"/>
                      <w:sz w:val="21"/>
                      <w:szCs w:val="21"/>
                      <w:highlight w:val="none"/>
                    </w:rPr>
                    <w:t>65t</w:t>
                  </w:r>
                </w:p>
              </w:tc>
              <w:tc>
                <w:tcPr>
                  <w:tcW w:w="589" w:type="pct"/>
                  <w:tcBorders>
                    <w:tl2br w:val="nil"/>
                    <w:tr2bl w:val="nil"/>
                  </w:tcBorders>
                  <w:shd w:val="clear" w:color="auto" w:fill="auto"/>
                  <w:noWrap w:val="0"/>
                  <w:vAlign w:val="center"/>
                </w:tcPr>
                <w:p w14:paraId="74749313">
                  <w:pPr>
                    <w:pStyle w:val="106"/>
                    <w:keepNext w:val="0"/>
                    <w:keepLines w:val="0"/>
                    <w:pageBreakBefore w:val="0"/>
                    <w:widowControl w:val="0"/>
                    <w:suppressLineNumbers w:val="0"/>
                    <w:kinsoku/>
                    <w:wordWrap/>
                    <w:overflowPunct/>
                    <w:topLinePunct w:val="0"/>
                    <w:autoSpaceDE/>
                    <w:autoSpaceDN/>
                    <w:bidi w:val="0"/>
                    <w:adjustRightInd/>
                    <w:snapToGrid/>
                    <w:spacing w:before="33"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803" w:type="pct"/>
                  <w:tcBorders>
                    <w:tl2br w:val="nil"/>
                    <w:tr2bl w:val="nil"/>
                  </w:tcBorders>
                  <w:shd w:val="clear" w:color="auto" w:fill="auto"/>
                  <w:noWrap w:val="0"/>
                  <w:vAlign w:val="center"/>
                </w:tcPr>
                <w:p w14:paraId="133AB0B1">
                  <w:pPr>
                    <w:keepNext w:val="0"/>
                    <w:keepLines w:val="0"/>
                    <w:pageBreakBefore w:val="0"/>
                    <w:widowControl w:val="0"/>
                    <w:suppressLineNumbers w:val="0"/>
                    <w:kinsoku/>
                    <w:wordWrap/>
                    <w:overflowPunct/>
                    <w:topLinePunct w:val="0"/>
                    <w:autoSpaceDE/>
                    <w:autoSpaceDN/>
                    <w:bidi w:val="0"/>
                    <w:adjustRightInd/>
                    <w:snapToGrid/>
                    <w:spacing w:before="68"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spacing w:val="2"/>
                      <w:sz w:val="21"/>
                      <w:szCs w:val="21"/>
                      <w:highlight w:val="none"/>
                      <w:lang w:val="en-US" w:eastAsia="zh-CN"/>
                    </w:rPr>
                    <w:t>10</w:t>
                  </w:r>
                </w:p>
              </w:tc>
            </w:tr>
            <w:tr w14:paraId="4D7FFB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2" w:type="pct"/>
                  <w:tcBorders>
                    <w:tl2br w:val="nil"/>
                    <w:tr2bl w:val="nil"/>
                  </w:tcBorders>
                  <w:noWrap w:val="0"/>
                  <w:vAlign w:val="center"/>
                </w:tcPr>
                <w:p w14:paraId="7A26AE2A">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pacing w:val="-8"/>
                      <w:sz w:val="21"/>
                      <w:szCs w:val="21"/>
                      <w:highlight w:val="none"/>
                      <w:lang w:val="en-US" w:eastAsia="zh-CN"/>
                    </w:rPr>
                  </w:pPr>
                  <w:r>
                    <w:rPr>
                      <w:rFonts w:hint="eastAsia" w:ascii="Times New Roman" w:hAnsi="Times New Roman" w:cs="Times New Roman"/>
                      <w:spacing w:val="-8"/>
                      <w:sz w:val="21"/>
                      <w:szCs w:val="21"/>
                      <w:highlight w:val="none"/>
                      <w:lang w:val="en-US" w:eastAsia="zh-CN"/>
                    </w:rPr>
                    <w:t>9</w:t>
                  </w:r>
                </w:p>
              </w:tc>
              <w:tc>
                <w:tcPr>
                  <w:tcW w:w="1412" w:type="pct"/>
                  <w:tcBorders>
                    <w:tl2br w:val="nil"/>
                    <w:tr2bl w:val="nil"/>
                  </w:tcBorders>
                  <w:shd w:val="clear" w:color="auto" w:fill="auto"/>
                  <w:noWrap w:val="0"/>
                  <w:vAlign w:val="center"/>
                </w:tcPr>
                <w:p w14:paraId="406CCEFA">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pacing w:val="-8"/>
                      <w:sz w:val="21"/>
                      <w:szCs w:val="21"/>
                      <w:highlight w:val="none"/>
                      <w:lang w:val="en-US" w:eastAsia="en-US"/>
                    </w:rPr>
                  </w:pPr>
                  <w:r>
                    <w:rPr>
                      <w:rFonts w:hint="default" w:ascii="Times New Roman" w:hAnsi="Times New Roman" w:eastAsia="宋体" w:cs="Times New Roman"/>
                      <w:spacing w:val="-8"/>
                      <w:sz w:val="21"/>
                      <w:szCs w:val="21"/>
                      <w:highlight w:val="none"/>
                      <w:lang w:val="en-US" w:eastAsia="zh-CN"/>
                    </w:rPr>
                    <w:t>洒水车</w:t>
                  </w:r>
                </w:p>
              </w:tc>
              <w:tc>
                <w:tcPr>
                  <w:tcW w:w="1761" w:type="pct"/>
                  <w:tcBorders>
                    <w:tl2br w:val="nil"/>
                    <w:tr2bl w:val="nil"/>
                  </w:tcBorders>
                  <w:shd w:val="clear" w:color="auto" w:fill="auto"/>
                  <w:noWrap w:val="0"/>
                  <w:vAlign w:val="center"/>
                </w:tcPr>
                <w:p w14:paraId="6FAA9C43">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pacing w:val="-8"/>
                      <w:sz w:val="21"/>
                      <w:szCs w:val="21"/>
                      <w:highlight w:val="none"/>
                      <w:lang w:val="en-US" w:eastAsia="en-US"/>
                    </w:rPr>
                  </w:pPr>
                  <w:r>
                    <w:rPr>
                      <w:rFonts w:hint="eastAsia" w:ascii="Times New Roman" w:hAnsi="Times New Roman" w:eastAsia="宋体" w:cs="Times New Roman"/>
                      <w:spacing w:val="-8"/>
                      <w:sz w:val="21"/>
                      <w:szCs w:val="21"/>
                      <w:highlight w:val="none"/>
                      <w:lang w:val="en-US" w:eastAsia="zh-CN"/>
                    </w:rPr>
                    <w:t>40t</w:t>
                  </w:r>
                </w:p>
              </w:tc>
              <w:tc>
                <w:tcPr>
                  <w:tcW w:w="589" w:type="pct"/>
                  <w:tcBorders>
                    <w:tl2br w:val="nil"/>
                    <w:tr2bl w:val="nil"/>
                  </w:tcBorders>
                  <w:shd w:val="clear" w:color="auto" w:fill="auto"/>
                  <w:noWrap w:val="0"/>
                  <w:vAlign w:val="center"/>
                </w:tcPr>
                <w:p w14:paraId="15E8F0B8">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pacing w:val="-8"/>
                      <w:sz w:val="21"/>
                      <w:szCs w:val="21"/>
                      <w:highlight w:val="none"/>
                      <w:lang w:val="en-US" w:eastAsia="zh-CN"/>
                    </w:rPr>
                  </w:pPr>
                  <w:r>
                    <w:rPr>
                      <w:rFonts w:hint="default" w:ascii="Times New Roman" w:hAnsi="Times New Roman" w:eastAsia="宋体" w:cs="Times New Roman"/>
                      <w:spacing w:val="-8"/>
                      <w:sz w:val="21"/>
                      <w:szCs w:val="21"/>
                      <w:highlight w:val="none"/>
                      <w:lang w:val="en-US" w:eastAsia="zh-CN"/>
                    </w:rPr>
                    <w:t>台</w:t>
                  </w:r>
                </w:p>
              </w:tc>
              <w:tc>
                <w:tcPr>
                  <w:tcW w:w="803" w:type="pct"/>
                  <w:tcBorders>
                    <w:tl2br w:val="nil"/>
                    <w:tr2bl w:val="nil"/>
                  </w:tcBorders>
                  <w:shd w:val="clear" w:color="auto" w:fill="auto"/>
                  <w:noWrap w:val="0"/>
                  <w:vAlign w:val="center"/>
                </w:tcPr>
                <w:p w14:paraId="1F6418F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spacing w:val="-8"/>
                      <w:sz w:val="21"/>
                      <w:szCs w:val="21"/>
                      <w:highlight w:val="none"/>
                      <w:lang w:val="en-US" w:eastAsia="zh-CN"/>
                    </w:rPr>
                  </w:pPr>
                  <w:r>
                    <w:rPr>
                      <w:rFonts w:hint="eastAsia" w:ascii="Times New Roman" w:hAnsi="Times New Roman" w:eastAsia="宋体" w:cs="Times New Roman"/>
                      <w:spacing w:val="-8"/>
                      <w:sz w:val="21"/>
                      <w:szCs w:val="21"/>
                      <w:highlight w:val="none"/>
                      <w:lang w:val="en-US" w:eastAsia="zh-CN"/>
                    </w:rPr>
                    <w:t>3</w:t>
                  </w:r>
                </w:p>
              </w:tc>
            </w:tr>
          </w:tbl>
          <w:p w14:paraId="1948846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auto"/>
              <w:rPr>
                <w:rFonts w:hint="default" w:ascii="Times New Roman" w:hAnsi="Times New Roman" w:cs="Times New Roman"/>
                <w:b/>
                <w:bCs/>
                <w:color w:val="auto"/>
                <w:sz w:val="24"/>
                <w:lang w:val="en-US"/>
              </w:rPr>
            </w:pPr>
            <w:r>
              <w:rPr>
                <w:rFonts w:hint="eastAsia" w:cs="Times New Roman"/>
                <w:b/>
                <w:bCs/>
                <w:color w:val="auto"/>
                <w:sz w:val="24"/>
                <w:lang w:val="en-US" w:eastAsia="zh-CN"/>
              </w:rPr>
              <w:t>6</w:t>
            </w:r>
            <w:r>
              <w:rPr>
                <w:rFonts w:hint="eastAsia" w:ascii="Times New Roman" w:hAnsi="Times New Roman" w:cs="Times New Roman"/>
                <w:b/>
                <w:bCs/>
                <w:color w:val="auto"/>
                <w:sz w:val="24"/>
                <w:lang w:val="en-US" w:eastAsia="zh-CN"/>
              </w:rPr>
              <w:t>、</w:t>
            </w:r>
            <w:r>
              <w:rPr>
                <w:rFonts w:hint="eastAsia" w:ascii="Times New Roman" w:hAnsi="Times New Roman" w:cs="Times New Roman"/>
                <w:b/>
                <w:bCs/>
                <w:color w:val="auto"/>
                <w:sz w:val="24"/>
              </w:rPr>
              <w:t>劳动定员及工作制度</w:t>
            </w:r>
          </w:p>
          <w:p w14:paraId="46D673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s="Times New Roman"/>
                <w:bCs/>
                <w:color w:val="auto"/>
                <w:kern w:val="2"/>
                <w:sz w:val="24"/>
                <w:szCs w:val="20"/>
                <w:highlight w:val="none"/>
                <w:lang w:val="en-US" w:eastAsia="zh-CN" w:bidi="ar-SA"/>
              </w:rPr>
            </w:pPr>
            <w:r>
              <w:rPr>
                <w:rFonts w:hint="eastAsia" w:cs="Times New Roman"/>
                <w:bCs/>
                <w:color w:val="auto"/>
                <w:kern w:val="2"/>
                <w:sz w:val="24"/>
                <w:szCs w:val="20"/>
                <w:highlight w:val="none"/>
                <w:lang w:val="en-US" w:eastAsia="zh-CN" w:bidi="ar-SA"/>
              </w:rPr>
              <w:t>项目施工期劳动定员45人，工期240天，每天1班，每班8h。</w:t>
            </w:r>
          </w:p>
          <w:p w14:paraId="3867FA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lang w:val="en-US" w:eastAsia="zh-CN"/>
              </w:rPr>
            </w:pPr>
            <w:r>
              <w:rPr>
                <w:rFonts w:hint="eastAsia" w:cs="Times New Roman"/>
                <w:b/>
                <w:bCs/>
                <w:color w:val="auto"/>
                <w:sz w:val="24"/>
                <w:lang w:val="en-US" w:eastAsia="zh-CN"/>
              </w:rPr>
              <w:t>7、</w:t>
            </w:r>
            <w:r>
              <w:rPr>
                <w:rFonts w:hint="eastAsia" w:ascii="Times New Roman" w:hAnsi="Times New Roman" w:eastAsia="宋体" w:cs="Times New Roman"/>
                <w:b/>
                <w:bCs/>
                <w:color w:val="auto"/>
                <w:sz w:val="24"/>
                <w:lang w:val="en-US" w:eastAsia="zh-CN"/>
              </w:rPr>
              <w:t>公用工程</w:t>
            </w:r>
          </w:p>
          <w:p w14:paraId="3CE416B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7.1给水</w:t>
            </w:r>
          </w:p>
          <w:p w14:paraId="7A3AC8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本项目用水主要包括灭火用水和生活用水。</w:t>
            </w:r>
          </w:p>
          <w:p w14:paraId="0A3FA4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default" w:ascii="Times New Roman" w:hAnsi="Times New Roman" w:eastAsia="宋体" w:cs="Times New Roman"/>
                <w:b/>
                <w:bCs/>
                <w:color w:val="000000"/>
                <w:kern w:val="0"/>
                <w:sz w:val="24"/>
                <w:szCs w:val="24"/>
                <w:lang w:val="en-US" w:eastAsia="zh-CN" w:bidi="ar"/>
              </w:rPr>
            </w:pPr>
            <w:r>
              <w:rPr>
                <w:rFonts w:hint="eastAsia" w:ascii="Times New Roman" w:hAnsi="Times New Roman" w:eastAsia="宋体" w:cs="Times New Roman"/>
                <w:b/>
                <w:bCs/>
                <w:color w:val="000000"/>
                <w:kern w:val="0"/>
                <w:sz w:val="24"/>
                <w:szCs w:val="24"/>
                <w:lang w:val="en-US" w:eastAsia="zh-CN" w:bidi="ar"/>
              </w:rPr>
              <w:t>7.1.1灭火用水</w:t>
            </w:r>
          </w:p>
          <w:p w14:paraId="06FF3A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w:t>
            </w:r>
            <w:r>
              <w:rPr>
                <w:rFonts w:hint="eastAsia" w:ascii="Times New Roman" w:hAnsi="Times New Roman" w:eastAsia="宋体" w:cs="Times New Roman"/>
                <w:color w:val="auto"/>
                <w:sz w:val="24"/>
                <w:szCs w:val="24"/>
                <w:lang w:val="en-US" w:eastAsia="zh-CN"/>
              </w:rPr>
              <w:t>灭火用水</w:t>
            </w:r>
            <w:r>
              <w:rPr>
                <w:rFonts w:hint="eastAsia" w:ascii="Times New Roman" w:hAnsi="Times New Roman" w:eastAsia="宋体" w:cs="Times New Roman"/>
                <w:color w:val="000000"/>
                <w:kern w:val="0"/>
                <w:sz w:val="24"/>
                <w:szCs w:val="24"/>
                <w:lang w:val="en-US" w:eastAsia="zh-CN" w:bidi="ar"/>
              </w:rPr>
              <w:t>水源</w:t>
            </w:r>
          </w:p>
          <w:p w14:paraId="2D488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本项目矿界范围外西北侧有一坑积水，总水量约20万m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。本次灭火工程用水以水坑积水作为灭火水源，水源供给充足，水量能满足灭火用水需求，水源可靠。</w:t>
            </w:r>
          </w:p>
          <w:p w14:paraId="1A5B5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auto"/>
                <w:sz w:val="24"/>
                <w:szCs w:val="24"/>
                <w:lang w:val="en-US" w:eastAsia="zh-CN"/>
              </w:rPr>
              <w:t>2）灭火用水量</w:t>
            </w:r>
          </w:p>
          <w:p w14:paraId="390EAE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灭火用水量由火区注水量、注浆用水量和钻探用水量三部分组成。</w:t>
            </w:r>
          </w:p>
          <w:p w14:paraId="4D208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eastAsia" w:ascii="仿宋_GB2312" w:hAnsi="仿宋_GB2312" w:eastAsia="仿宋_GB2312" w:cs="仿宋_GB2312"/>
                <w:color w:val="auto"/>
                <w:sz w:val="24"/>
                <w:szCs w:val="24"/>
                <w:lang w:val="en-US" w:eastAsia="zh-CN"/>
              </w:rPr>
              <w:t>①</w:t>
            </w:r>
            <w:r>
              <w:rPr>
                <w:rFonts w:hint="eastAsia" w:ascii="Times New Roman" w:hAnsi="Times New Roman" w:eastAsia="宋体" w:cs="Times New Roman"/>
                <w:color w:val="auto"/>
                <w:sz w:val="24"/>
                <w:szCs w:val="24"/>
                <w:lang w:val="en-US" w:eastAsia="zh-CN"/>
              </w:rPr>
              <w:t>火区注水量</w:t>
            </w:r>
          </w:p>
          <w:p w14:paraId="73133B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利用常温的水跟火区高温煤岩体作用通过水的升温和汽化将火区内的热量吸收后带出地表，从而达到降温和灭火的目的。火区注水量的计算首先在火区地表布设剖面线，计算出剖面线上温度异常体的平均截面积，再计算出火区温度异常体的体积。通过火区温度异常体温度降至灭火设计的目标温度（</w:t>
            </w:r>
            <w:r>
              <w:rPr>
                <w:rFonts w:hint="default" w:ascii="Times New Roman" w:hAnsi="Times New Roman" w:eastAsia="宋体" w:cs="Times New Roman"/>
                <w:color w:val="000000"/>
                <w:kern w:val="0"/>
                <w:sz w:val="24"/>
                <w:szCs w:val="24"/>
                <w:lang w:val="en-US" w:eastAsia="zh-CN" w:bidi="ar"/>
              </w:rPr>
              <w:t>100℃</w:t>
            </w:r>
            <w:r>
              <w:rPr>
                <w:rFonts w:hint="eastAsia" w:ascii="宋体" w:hAnsi="宋体" w:eastAsia="宋体" w:cs="宋体"/>
                <w:color w:val="000000"/>
                <w:kern w:val="0"/>
                <w:sz w:val="24"/>
                <w:szCs w:val="24"/>
                <w:lang w:val="en-US" w:eastAsia="zh-CN" w:bidi="ar"/>
              </w:rPr>
              <w:t>）所放出的热量与注水温度从常温升至</w:t>
            </w:r>
            <w:r>
              <w:rPr>
                <w:rFonts w:hint="default" w:ascii="Times New Roman" w:hAnsi="Times New Roman" w:eastAsia="宋体" w:cs="Times New Roman"/>
                <w:color w:val="000000"/>
                <w:kern w:val="0"/>
                <w:sz w:val="24"/>
                <w:szCs w:val="24"/>
                <w:lang w:val="en-US" w:eastAsia="zh-CN" w:bidi="ar"/>
              </w:rPr>
              <w:t>100℃</w:t>
            </w:r>
            <w:r>
              <w:rPr>
                <w:rFonts w:hint="eastAsia" w:ascii="宋体" w:hAnsi="宋体" w:eastAsia="宋体" w:cs="宋体"/>
                <w:color w:val="000000"/>
                <w:kern w:val="0"/>
                <w:sz w:val="24"/>
                <w:szCs w:val="24"/>
                <w:lang w:val="en-US" w:eastAsia="zh-CN" w:bidi="ar"/>
              </w:rPr>
              <w:t>或汽化所吸收得热量的等量关系来计算火区注水量。</w:t>
            </w:r>
          </w:p>
          <w:p w14:paraId="0F804E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根据本火区灭火方法确定，本火区注水主要为地表注水降温用水，因此需按照火区范围等情况重新对其用水量进行计算。根据详细报告按照火区燃烧平均温度进行计算。</w:t>
            </w:r>
          </w:p>
          <w:p w14:paraId="249B0B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rPr>
            </w:pPr>
            <w:r>
              <w:rPr>
                <w:rFonts w:hint="eastAsia" w:ascii="宋体" w:hAnsi="宋体" w:eastAsia="宋体" w:cs="宋体"/>
                <w:color w:val="000000"/>
                <w:kern w:val="0"/>
                <w:sz w:val="24"/>
                <w:szCs w:val="24"/>
                <w:lang w:val="en-US" w:eastAsia="zh-CN" w:bidi="ar"/>
              </w:rPr>
              <w:t>火区岩石平均温度降至灭火设计降温目标温度计算公式如下：</w:t>
            </w:r>
          </w:p>
          <w:p w14:paraId="1D32A1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position w:val="-4"/>
              </w:rPr>
            </w:pPr>
            <w:r>
              <w:rPr>
                <w:rFonts w:hint="default"/>
              </w:rPr>
              <w:drawing>
                <wp:inline distT="0" distB="0" distL="114300" distR="114300">
                  <wp:extent cx="1990725" cy="247650"/>
                  <wp:effectExtent l="0" t="0" r="9525" b="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6"/>
                          <a:stretch>
                            <a:fillRect/>
                          </a:stretch>
                        </pic:blipFill>
                        <pic:spPr>
                          <a:xfrm>
                            <a:off x="0" y="0"/>
                            <a:ext cx="1990725" cy="247650"/>
                          </a:xfrm>
                          <a:prstGeom prst="rect">
                            <a:avLst/>
                          </a:prstGeom>
                          <a:noFill/>
                          <a:ln>
                            <a:noFill/>
                          </a:ln>
                        </pic:spPr>
                      </pic:pic>
                    </a:graphicData>
                  </a:graphic>
                </wp:inline>
              </w:drawing>
            </w:r>
          </w:p>
          <w:p w14:paraId="65B53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rPr>
            </w:pPr>
            <w:r>
              <w:rPr>
                <w:rFonts w:hint="eastAsia" w:ascii="宋体" w:hAnsi="宋体" w:eastAsia="宋体" w:cs="宋体"/>
                <w:color w:val="000000"/>
                <w:kern w:val="0"/>
                <w:sz w:val="24"/>
                <w:szCs w:val="24"/>
                <w:lang w:val="en-US" w:eastAsia="zh-CN" w:bidi="ar"/>
              </w:rPr>
              <w:t>式中：</w:t>
            </w:r>
            <w:r>
              <w:rPr>
                <w:rFonts w:hint="default" w:ascii="Times New Roman" w:hAnsi="Times New Roman" w:eastAsia="宋体" w:cs="Times New Roman"/>
                <w:color w:val="000000"/>
                <w:kern w:val="0"/>
                <w:sz w:val="24"/>
                <w:szCs w:val="24"/>
                <w:lang w:val="en-US" w:eastAsia="zh-CN" w:bidi="ar"/>
              </w:rPr>
              <w:t>Q—</w:t>
            </w:r>
            <w:r>
              <w:rPr>
                <w:rFonts w:hint="eastAsia" w:ascii="宋体" w:hAnsi="宋体" w:eastAsia="宋体" w:cs="宋体"/>
                <w:color w:val="000000"/>
                <w:kern w:val="0"/>
                <w:sz w:val="24"/>
                <w:szCs w:val="24"/>
                <w:lang w:val="en-US" w:eastAsia="zh-CN" w:bidi="ar"/>
              </w:rPr>
              <w:t>火区注水量（</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 xml:space="preserve">）； </w:t>
            </w:r>
          </w:p>
          <w:p w14:paraId="0B111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L—</w:t>
            </w:r>
            <w:r>
              <w:rPr>
                <w:rFonts w:hint="eastAsia" w:ascii="宋体" w:hAnsi="宋体" w:eastAsia="宋体" w:cs="宋体"/>
                <w:color w:val="000000"/>
                <w:kern w:val="0"/>
                <w:sz w:val="24"/>
                <w:szCs w:val="24"/>
                <w:lang w:val="en-US" w:eastAsia="zh-CN" w:bidi="ar"/>
              </w:rPr>
              <w:t>火区沿燃烧煤层走向的长度（</w:t>
            </w:r>
            <w:r>
              <w:rPr>
                <w:rFonts w:hint="default" w:ascii="Times New Roman" w:hAnsi="Times New Roman" w:eastAsia="宋体" w:cs="Times New Roman"/>
                <w:color w:val="000000"/>
                <w:kern w:val="0"/>
                <w:sz w:val="24"/>
                <w:szCs w:val="24"/>
                <w:lang w:val="en-US" w:eastAsia="zh-CN" w:bidi="ar"/>
              </w:rPr>
              <w:t>m</w:t>
            </w:r>
            <w:r>
              <w:rPr>
                <w:rFonts w:hint="eastAsia" w:ascii="宋体" w:hAnsi="宋体" w:eastAsia="宋体" w:cs="宋体"/>
                <w:color w:val="000000"/>
                <w:kern w:val="0"/>
                <w:sz w:val="24"/>
                <w:szCs w:val="24"/>
                <w:lang w:val="en-US" w:eastAsia="zh-CN" w:bidi="ar"/>
              </w:rPr>
              <w:t xml:space="preserve">）； </w:t>
            </w:r>
          </w:p>
          <w:p w14:paraId="79B9C4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S—</w:t>
            </w:r>
            <w:r>
              <w:rPr>
                <w:rFonts w:hint="eastAsia" w:ascii="宋体" w:hAnsi="宋体" w:eastAsia="宋体" w:cs="宋体"/>
                <w:color w:val="000000"/>
                <w:kern w:val="0"/>
                <w:sz w:val="24"/>
                <w:szCs w:val="24"/>
                <w:lang w:val="en-US" w:eastAsia="zh-CN" w:bidi="ar"/>
              </w:rPr>
              <w:t>火区内煤层倾向上温度异常体截面平均面积（</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vertAlign w:val="superscript"/>
                <w:lang w:val="en-US" w:eastAsia="zh-CN" w:bidi="ar"/>
              </w:rPr>
              <w:t>2</w:t>
            </w:r>
            <w:r>
              <w:rPr>
                <w:rFonts w:hint="eastAsia" w:ascii="宋体" w:hAnsi="宋体" w:eastAsia="宋体" w:cs="宋体"/>
                <w:color w:val="000000"/>
                <w:kern w:val="0"/>
                <w:sz w:val="24"/>
                <w:szCs w:val="24"/>
                <w:lang w:val="en-US" w:eastAsia="zh-CN" w:bidi="ar"/>
              </w:rPr>
              <w:t xml:space="preserve">）； </w:t>
            </w:r>
          </w:p>
          <w:p w14:paraId="57154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k—</w:t>
            </w:r>
            <w:r>
              <w:rPr>
                <w:rFonts w:hint="eastAsia" w:ascii="宋体" w:hAnsi="宋体" w:eastAsia="宋体" w:cs="宋体"/>
                <w:color w:val="000000"/>
                <w:kern w:val="0"/>
                <w:sz w:val="24"/>
                <w:szCs w:val="24"/>
                <w:lang w:val="en-US" w:eastAsia="zh-CN" w:bidi="ar"/>
              </w:rPr>
              <w:t>水的流失系数，取</w:t>
            </w:r>
            <w:r>
              <w:rPr>
                <w:rFonts w:hint="default" w:ascii="Times New Roman" w:hAnsi="Times New Roman" w:eastAsia="宋体" w:cs="Times New Roman"/>
                <w:color w:val="000000"/>
                <w:kern w:val="0"/>
                <w:sz w:val="24"/>
                <w:szCs w:val="24"/>
                <w:lang w:val="en-US" w:eastAsia="zh-CN" w:bidi="ar"/>
              </w:rPr>
              <w:t>k=0.05</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0.20</w:t>
            </w:r>
            <w:r>
              <w:rPr>
                <w:rFonts w:hint="eastAsia" w:ascii="宋体" w:hAnsi="宋体" w:eastAsia="宋体" w:cs="宋体"/>
                <w:color w:val="000000"/>
                <w:kern w:val="0"/>
                <w:sz w:val="24"/>
                <w:szCs w:val="24"/>
                <w:lang w:val="en-US" w:eastAsia="zh-CN" w:bidi="ar"/>
              </w:rPr>
              <w:t xml:space="preserve">。 </w:t>
            </w:r>
          </w:p>
          <w:p w14:paraId="7AAEF9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k</w:t>
            </w:r>
            <w:r>
              <w:rPr>
                <w:rFonts w:hint="default" w:ascii="Times New Roman" w:hAnsi="Times New Roman" w:eastAsia="宋体" w:cs="Times New Roman"/>
                <w:color w:val="000000"/>
                <w:kern w:val="0"/>
                <w:sz w:val="15"/>
                <w:szCs w:val="15"/>
                <w:lang w:val="en-US" w:eastAsia="zh-CN" w:bidi="ar"/>
              </w:rPr>
              <w:t>1</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第一注水系数，岩石温度由</w:t>
            </w:r>
            <w:r>
              <w:rPr>
                <w:rFonts w:hint="default" w:ascii="Times New Roman" w:hAnsi="Times New Roman" w:eastAsia="宋体" w:cs="Times New Roman"/>
                <w:color w:val="000000"/>
                <w:kern w:val="0"/>
                <w:sz w:val="24"/>
                <w:szCs w:val="24"/>
                <w:lang w:val="en-US" w:eastAsia="zh-CN" w:bidi="ar"/>
              </w:rPr>
              <w:t>T</w:t>
            </w:r>
            <w:r>
              <w:rPr>
                <w:rFonts w:hint="eastAsia" w:ascii="宋体" w:hAnsi="宋体" w:eastAsia="宋体" w:cs="宋体"/>
                <w:color w:val="000000"/>
                <w:kern w:val="0"/>
                <w:sz w:val="24"/>
                <w:szCs w:val="24"/>
                <w:lang w:val="en-US" w:eastAsia="zh-CN" w:bidi="ar"/>
              </w:rPr>
              <w:t>降至</w:t>
            </w:r>
            <w:r>
              <w:rPr>
                <w:rFonts w:hint="default" w:ascii="Times New Roman" w:hAnsi="Times New Roman" w:eastAsia="宋体" w:cs="Times New Roman"/>
                <w:color w:val="000000"/>
                <w:kern w:val="0"/>
                <w:sz w:val="24"/>
                <w:szCs w:val="24"/>
                <w:lang w:val="en-US" w:eastAsia="zh-CN" w:bidi="ar"/>
              </w:rPr>
              <w:t>100℃</w:t>
            </w:r>
            <w:r>
              <w:rPr>
                <w:rFonts w:hint="eastAsia" w:ascii="宋体" w:hAnsi="宋体" w:eastAsia="宋体" w:cs="宋体"/>
                <w:color w:val="000000"/>
                <w:kern w:val="0"/>
                <w:sz w:val="24"/>
                <w:szCs w:val="24"/>
                <w:lang w:val="en-US" w:eastAsia="zh-CN" w:bidi="ar"/>
              </w:rPr>
              <w:t xml:space="preserve">； </w:t>
            </w:r>
          </w:p>
          <w:p w14:paraId="413FF3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k</w:t>
            </w:r>
            <w:r>
              <w:rPr>
                <w:rFonts w:hint="default" w:ascii="Times New Roman" w:hAnsi="Times New Roman" w:eastAsia="宋体" w:cs="Times New Roman"/>
                <w:color w:val="000000"/>
                <w:kern w:val="0"/>
                <w:sz w:val="15"/>
                <w:szCs w:val="15"/>
                <w:lang w:val="en-US" w:eastAsia="zh-CN" w:bidi="ar"/>
              </w:rPr>
              <w:t>2</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第二注水系数，岩石温度由</w:t>
            </w:r>
            <w:r>
              <w:rPr>
                <w:rFonts w:hint="default" w:ascii="Times New Roman" w:hAnsi="Times New Roman" w:eastAsia="宋体" w:cs="Times New Roman"/>
                <w:color w:val="000000"/>
                <w:kern w:val="0"/>
                <w:sz w:val="24"/>
                <w:szCs w:val="24"/>
                <w:lang w:val="en-US" w:eastAsia="zh-CN" w:bidi="ar"/>
              </w:rPr>
              <w:t>100℃</w:t>
            </w:r>
            <w:r>
              <w:rPr>
                <w:rFonts w:hint="eastAsia" w:ascii="宋体" w:hAnsi="宋体" w:eastAsia="宋体" w:cs="宋体"/>
                <w:color w:val="000000"/>
                <w:kern w:val="0"/>
                <w:sz w:val="24"/>
                <w:szCs w:val="24"/>
                <w:lang w:val="en-US" w:eastAsia="zh-CN" w:bidi="ar"/>
              </w:rPr>
              <w:t>降至设计目标温度</w:t>
            </w:r>
            <w:r>
              <w:rPr>
                <w:rFonts w:hint="default" w:ascii="Times New Roman" w:hAnsi="Times New Roman" w:eastAsia="宋体" w:cs="Times New Roman"/>
                <w:color w:val="000000"/>
                <w:kern w:val="0"/>
                <w:sz w:val="24"/>
                <w:szCs w:val="24"/>
                <w:lang w:val="en-US" w:eastAsia="zh-CN" w:bidi="ar"/>
              </w:rPr>
              <w:t>t</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t=100</w:t>
            </w:r>
            <w:r>
              <w:rPr>
                <w:rFonts w:hint="eastAsia" w:ascii="宋体" w:hAnsi="宋体" w:eastAsia="宋体" w:cs="宋体"/>
                <w:color w:val="000000"/>
                <w:kern w:val="0"/>
                <w:sz w:val="24"/>
                <w:szCs w:val="24"/>
                <w:lang w:val="en-US" w:eastAsia="zh-CN" w:bidi="ar"/>
              </w:rPr>
              <w:t xml:space="preserve">； </w:t>
            </w:r>
          </w:p>
          <w:p w14:paraId="3FFEA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k</w:t>
            </w:r>
            <w:r>
              <w:rPr>
                <w:rFonts w:hint="default" w:ascii="Times New Roman" w:hAnsi="Times New Roman" w:eastAsia="宋体" w:cs="Times New Roman"/>
                <w:color w:val="000000"/>
                <w:kern w:val="0"/>
                <w:sz w:val="15"/>
                <w:szCs w:val="15"/>
                <w:lang w:val="en-US" w:eastAsia="zh-CN" w:bidi="ar"/>
              </w:rPr>
              <w:t>1</w:t>
            </w:r>
            <w:r>
              <w:rPr>
                <w:rFonts w:hint="default" w:ascii="Times New Roman" w:hAnsi="Times New Roman" w:eastAsia="宋体" w:cs="Times New Roman"/>
                <w:color w:val="000000"/>
                <w:kern w:val="0"/>
                <w:sz w:val="24"/>
                <w:szCs w:val="24"/>
                <w:lang w:val="en-US" w:eastAsia="zh-CN" w:bidi="ar"/>
              </w:rPr>
              <w:t>=[2214.82</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T-100</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]/[4186.8</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100-t</w:t>
            </w:r>
            <w:r>
              <w:rPr>
                <w:rFonts w:hint="default" w:ascii="Times New Roman" w:hAnsi="Times New Roman" w:eastAsia="宋体" w:cs="Times New Roman"/>
                <w:color w:val="000000"/>
                <w:kern w:val="0"/>
                <w:sz w:val="15"/>
                <w:szCs w:val="15"/>
                <w:lang w:val="en-US" w:eastAsia="zh-CN" w:bidi="ar"/>
              </w:rPr>
              <w:t>0</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+2256685]</w:t>
            </w:r>
            <w:r>
              <w:rPr>
                <w:rFonts w:hint="eastAsia" w:ascii="宋体" w:hAnsi="宋体" w:eastAsia="宋体" w:cs="宋体"/>
                <w:color w:val="000000"/>
                <w:kern w:val="0"/>
                <w:sz w:val="24"/>
                <w:szCs w:val="24"/>
                <w:lang w:val="en-US" w:eastAsia="zh-CN" w:bidi="ar"/>
              </w:rPr>
              <w:t xml:space="preserve">； </w:t>
            </w:r>
          </w:p>
          <w:p w14:paraId="2355CA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k</w:t>
            </w:r>
            <w:r>
              <w:rPr>
                <w:rFonts w:hint="default" w:ascii="Times New Roman" w:hAnsi="Times New Roman" w:eastAsia="宋体" w:cs="Times New Roman"/>
                <w:color w:val="000000"/>
                <w:kern w:val="0"/>
                <w:sz w:val="15"/>
                <w:szCs w:val="15"/>
                <w:lang w:val="en-US" w:eastAsia="zh-CN" w:bidi="ar"/>
              </w:rPr>
              <w:t>2</w:t>
            </w:r>
            <w:r>
              <w:rPr>
                <w:rFonts w:hint="default" w:ascii="Times New Roman" w:hAnsi="Times New Roman" w:eastAsia="宋体" w:cs="Times New Roman"/>
                <w:color w:val="000000"/>
                <w:kern w:val="0"/>
                <w:sz w:val="24"/>
                <w:szCs w:val="24"/>
                <w:lang w:val="en-US" w:eastAsia="zh-CN" w:bidi="ar"/>
              </w:rPr>
              <w:t>=[0.529(100-t)]/[50+t/2-t</w:t>
            </w:r>
            <w:r>
              <w:rPr>
                <w:rFonts w:hint="default" w:ascii="Times New Roman" w:hAnsi="Times New Roman" w:eastAsia="宋体" w:cs="Times New Roman"/>
                <w:color w:val="000000"/>
                <w:kern w:val="0"/>
                <w:sz w:val="15"/>
                <w:szCs w:val="15"/>
                <w:lang w:val="en-US" w:eastAsia="zh-CN" w:bidi="ar"/>
              </w:rPr>
              <w:t>0</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k</w:t>
            </w:r>
            <w:r>
              <w:rPr>
                <w:rFonts w:hint="default" w:ascii="Times New Roman" w:hAnsi="Times New Roman" w:eastAsia="宋体" w:cs="Times New Roman"/>
                <w:color w:val="000000"/>
                <w:kern w:val="0"/>
                <w:sz w:val="15"/>
                <w:szCs w:val="15"/>
                <w:lang w:val="en-US" w:eastAsia="zh-CN" w:bidi="ar"/>
              </w:rPr>
              <w:t>2</w:t>
            </w:r>
            <w:r>
              <w:rPr>
                <w:rFonts w:hint="default" w:ascii="Times New Roman" w:hAnsi="Times New Roman" w:eastAsia="宋体" w:cs="Times New Roman"/>
                <w:color w:val="000000"/>
                <w:kern w:val="0"/>
                <w:sz w:val="24"/>
                <w:szCs w:val="24"/>
                <w:lang w:val="en-US" w:eastAsia="zh-CN" w:bidi="ar"/>
              </w:rPr>
              <w:t>=0</w:t>
            </w:r>
            <w:r>
              <w:rPr>
                <w:rFonts w:hint="eastAsia" w:ascii="宋体" w:hAnsi="宋体" w:eastAsia="宋体" w:cs="宋体"/>
                <w:color w:val="000000"/>
                <w:kern w:val="0"/>
                <w:sz w:val="24"/>
                <w:szCs w:val="24"/>
                <w:lang w:val="en-US" w:eastAsia="zh-CN" w:bidi="ar"/>
              </w:rPr>
              <w:t xml:space="preserve">。 </w:t>
            </w:r>
          </w:p>
          <w:p w14:paraId="450A68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rPr>
            </w:pPr>
            <w:r>
              <w:rPr>
                <w:rFonts w:hint="eastAsia" w:ascii="宋体" w:hAnsi="宋体" w:eastAsia="宋体" w:cs="宋体"/>
                <w:color w:val="000000"/>
                <w:kern w:val="0"/>
                <w:sz w:val="24"/>
                <w:szCs w:val="24"/>
                <w:lang w:val="en-US" w:eastAsia="zh-CN" w:bidi="ar"/>
              </w:rPr>
              <w:t>式中：</w:t>
            </w:r>
            <w:r>
              <w:rPr>
                <w:rFonts w:hint="default" w:ascii="Times New Roman" w:hAnsi="Times New Roman" w:eastAsia="宋体" w:cs="Times New Roman"/>
                <w:color w:val="000000"/>
                <w:kern w:val="0"/>
                <w:sz w:val="24"/>
                <w:szCs w:val="24"/>
                <w:lang w:val="en-US" w:eastAsia="zh-CN" w:bidi="ar"/>
              </w:rPr>
              <w:t>T—</w:t>
            </w:r>
            <w:r>
              <w:rPr>
                <w:rFonts w:hint="eastAsia" w:ascii="宋体" w:hAnsi="宋体" w:eastAsia="宋体" w:cs="宋体"/>
                <w:color w:val="000000"/>
                <w:kern w:val="0"/>
                <w:sz w:val="24"/>
                <w:szCs w:val="24"/>
                <w:lang w:val="en-US" w:eastAsia="zh-CN" w:bidi="ar"/>
              </w:rPr>
              <w:t>火区岩石平均温度（</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 xml:space="preserve">）。 </w:t>
            </w:r>
          </w:p>
          <w:p w14:paraId="103B59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t</w:t>
            </w:r>
            <w:r>
              <w:rPr>
                <w:rFonts w:hint="default" w:ascii="Times New Roman" w:hAnsi="Times New Roman" w:eastAsia="宋体" w:cs="Times New Roman"/>
                <w:color w:val="000000"/>
                <w:kern w:val="0"/>
                <w:sz w:val="15"/>
                <w:szCs w:val="15"/>
                <w:lang w:val="en-US" w:eastAsia="zh-CN" w:bidi="ar"/>
              </w:rPr>
              <w:t>0</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供水温度，</w:t>
            </w:r>
            <w:r>
              <w:rPr>
                <w:rFonts w:hint="default" w:ascii="Times New Roman" w:hAnsi="Times New Roman" w:eastAsia="宋体" w:cs="Times New Roman"/>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 xml:space="preserve">。 </w:t>
            </w:r>
          </w:p>
          <w:p w14:paraId="36F857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rPr>
            </w:pPr>
            <w:r>
              <w:rPr>
                <w:rFonts w:hint="eastAsia" w:ascii="宋体" w:hAnsi="宋体" w:eastAsia="宋体" w:cs="宋体"/>
                <w:color w:val="000000"/>
                <w:kern w:val="0"/>
                <w:sz w:val="24"/>
                <w:szCs w:val="24"/>
                <w:lang w:val="en-US" w:eastAsia="zh-CN" w:bidi="ar"/>
              </w:rPr>
              <w:t>经计算，火区注</w:t>
            </w:r>
            <w:r>
              <w:rPr>
                <w:rFonts w:hint="eastAsia" w:ascii="Times New Roman" w:hAnsi="Times New Roman" w:eastAsia="宋体" w:cs="Times New Roman"/>
                <w:color w:val="000000"/>
                <w:kern w:val="0"/>
                <w:sz w:val="24"/>
                <w:szCs w:val="24"/>
                <w:lang w:val="en-US" w:eastAsia="zh-CN" w:bidi="ar"/>
              </w:rPr>
              <w:t>水量为1761</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各区域注水量见表</w:t>
            </w:r>
            <w:r>
              <w:rPr>
                <w:rFonts w:hint="default" w:ascii="Times New Roman" w:hAnsi="Times New Roman" w:eastAsia="宋体" w:cs="Times New Roman"/>
                <w:color w:val="000000"/>
                <w:kern w:val="0"/>
                <w:sz w:val="24"/>
                <w:szCs w:val="24"/>
                <w:lang w:val="en-US" w:eastAsia="zh-CN" w:bidi="ar"/>
              </w:rPr>
              <w:t>2-</w:t>
            </w:r>
            <w:r>
              <w:rPr>
                <w:rFonts w:hint="eastAsia"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w:t>
            </w:r>
          </w:p>
          <w:p w14:paraId="0CD8D7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宋体"/>
                <w:b/>
                <w:bCs/>
                <w:color w:val="auto"/>
                <w:szCs w:val="21"/>
                <w:lang w:val="en-US" w:eastAsia="zh-CN"/>
              </w:rPr>
            </w:pPr>
            <w:r>
              <w:rPr>
                <w:rFonts w:hint="eastAsia" w:ascii="Times New Roman" w:hAnsi="Times New Roman" w:cs="宋体"/>
                <w:b/>
                <w:bCs/>
                <w:color w:val="auto"/>
                <w:szCs w:val="21"/>
              </w:rPr>
              <w:t>表</w:t>
            </w:r>
            <w:r>
              <w:rPr>
                <w:rFonts w:hint="eastAsia" w:ascii="Times New Roman" w:hAnsi="Times New Roman" w:cs="宋体"/>
                <w:b/>
                <w:bCs/>
                <w:color w:val="auto"/>
                <w:szCs w:val="21"/>
                <w:lang w:val="en-US" w:eastAsia="zh-CN"/>
              </w:rPr>
              <w:t>2-</w:t>
            </w:r>
            <w:r>
              <w:rPr>
                <w:rFonts w:hint="eastAsia" w:cs="宋体"/>
                <w:b/>
                <w:bCs/>
                <w:color w:val="auto"/>
                <w:szCs w:val="21"/>
                <w:lang w:val="en-US" w:eastAsia="zh-CN"/>
              </w:rPr>
              <w:t>6</w:t>
            </w:r>
            <w:r>
              <w:rPr>
                <w:rFonts w:hint="eastAsia" w:ascii="Times New Roman" w:hAnsi="Times New Roman" w:cs="宋体"/>
                <w:b/>
                <w:bCs/>
                <w:color w:val="auto"/>
                <w:szCs w:val="21"/>
              </w:rPr>
              <w:t xml:space="preserve">  </w:t>
            </w:r>
            <w:r>
              <w:rPr>
                <w:rFonts w:hint="eastAsia" w:cs="宋体"/>
                <w:b/>
                <w:bCs/>
                <w:color w:val="auto"/>
                <w:szCs w:val="21"/>
                <w:lang w:val="en-US" w:eastAsia="zh-CN"/>
              </w:rPr>
              <w:t xml:space="preserve"> 各区域注水量</w:t>
            </w:r>
          </w:p>
          <w:tbl>
            <w:tblPr>
              <w:tblStyle w:val="27"/>
              <w:tblW w:w="8391"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1710"/>
              <w:gridCol w:w="1288"/>
              <w:gridCol w:w="1399"/>
              <w:gridCol w:w="1399"/>
              <w:gridCol w:w="1399"/>
            </w:tblGrid>
            <w:tr w14:paraId="3B3B6A1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96" w:type="dxa"/>
                  <w:tcBorders>
                    <w:tl2br w:val="nil"/>
                    <w:tr2bl w:val="nil"/>
                  </w:tcBorders>
                  <w:vAlign w:val="center"/>
                </w:tcPr>
                <w:p w14:paraId="00F9DA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区域</w:t>
                  </w:r>
                </w:p>
              </w:tc>
              <w:tc>
                <w:tcPr>
                  <w:tcW w:w="1710" w:type="dxa"/>
                  <w:tcBorders>
                    <w:tl2br w:val="nil"/>
                    <w:tr2bl w:val="nil"/>
                  </w:tcBorders>
                  <w:vAlign w:val="center"/>
                </w:tcPr>
                <w:p w14:paraId="12FE2B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截面面积（m</w:t>
                  </w:r>
                  <w:r>
                    <w:rPr>
                      <w:rFonts w:hint="eastAsia"/>
                      <w:position w:val="-4"/>
                      <w:sz w:val="21"/>
                      <w:szCs w:val="21"/>
                      <w:vertAlign w:val="superscript"/>
                      <w:lang w:val="en-US" w:eastAsia="zh-CN"/>
                    </w:rPr>
                    <w:t>2</w:t>
                  </w:r>
                  <w:r>
                    <w:rPr>
                      <w:rFonts w:hint="eastAsia"/>
                      <w:position w:val="-4"/>
                      <w:sz w:val="21"/>
                      <w:szCs w:val="21"/>
                      <w:vertAlign w:val="baseline"/>
                      <w:lang w:val="en-US" w:eastAsia="zh-CN"/>
                    </w:rPr>
                    <w:t>）</w:t>
                  </w:r>
                </w:p>
              </w:tc>
              <w:tc>
                <w:tcPr>
                  <w:tcW w:w="1288" w:type="dxa"/>
                  <w:tcBorders>
                    <w:tl2br w:val="nil"/>
                    <w:tr2bl w:val="nil"/>
                  </w:tcBorders>
                  <w:vAlign w:val="center"/>
                </w:tcPr>
                <w:p w14:paraId="654DB0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长度（m）</w:t>
                  </w:r>
                </w:p>
              </w:tc>
              <w:tc>
                <w:tcPr>
                  <w:tcW w:w="1399" w:type="dxa"/>
                  <w:tcBorders>
                    <w:tl2br w:val="nil"/>
                    <w:tr2bl w:val="nil"/>
                  </w:tcBorders>
                  <w:vAlign w:val="center"/>
                </w:tcPr>
                <w:p w14:paraId="1067C2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流失系数</w:t>
                  </w:r>
                </w:p>
              </w:tc>
              <w:tc>
                <w:tcPr>
                  <w:tcW w:w="1399" w:type="dxa"/>
                  <w:tcBorders>
                    <w:tl2br w:val="nil"/>
                    <w:tr2bl w:val="nil"/>
                  </w:tcBorders>
                  <w:vAlign w:val="center"/>
                </w:tcPr>
                <w:p w14:paraId="7DC70C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k</w:t>
                  </w:r>
                  <w:r>
                    <w:rPr>
                      <w:rFonts w:hint="eastAsia"/>
                      <w:position w:val="-4"/>
                      <w:sz w:val="21"/>
                      <w:szCs w:val="21"/>
                      <w:vertAlign w:val="subscript"/>
                      <w:lang w:val="en-US" w:eastAsia="zh-CN"/>
                    </w:rPr>
                    <w:t>1</w:t>
                  </w:r>
                </w:p>
              </w:tc>
              <w:tc>
                <w:tcPr>
                  <w:tcW w:w="1399" w:type="dxa"/>
                  <w:tcBorders>
                    <w:tl2br w:val="nil"/>
                    <w:tr2bl w:val="nil"/>
                  </w:tcBorders>
                  <w:vAlign w:val="center"/>
                </w:tcPr>
                <w:p w14:paraId="531031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注水量（m</w:t>
                  </w:r>
                  <w:r>
                    <w:rPr>
                      <w:rFonts w:hint="eastAsia"/>
                      <w:position w:val="-4"/>
                      <w:sz w:val="21"/>
                      <w:szCs w:val="21"/>
                      <w:vertAlign w:val="superscript"/>
                      <w:lang w:val="en-US" w:eastAsia="zh-CN"/>
                    </w:rPr>
                    <w:t>3</w:t>
                  </w:r>
                  <w:r>
                    <w:rPr>
                      <w:rFonts w:hint="eastAsia"/>
                      <w:position w:val="-4"/>
                      <w:sz w:val="21"/>
                      <w:szCs w:val="21"/>
                      <w:vertAlign w:val="baseline"/>
                      <w:lang w:val="en-US" w:eastAsia="zh-CN"/>
                    </w:rPr>
                    <w:t>）</w:t>
                  </w:r>
                </w:p>
              </w:tc>
            </w:tr>
            <w:tr w14:paraId="1AE395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96" w:type="dxa"/>
                  <w:tcBorders>
                    <w:tl2br w:val="nil"/>
                    <w:tr2bl w:val="nil"/>
                  </w:tcBorders>
                  <w:vAlign w:val="center"/>
                </w:tcPr>
                <w:p w14:paraId="42B7B2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1号子火区</w:t>
                  </w:r>
                </w:p>
              </w:tc>
              <w:tc>
                <w:tcPr>
                  <w:tcW w:w="1710" w:type="dxa"/>
                  <w:tcBorders>
                    <w:tl2br w:val="nil"/>
                    <w:tr2bl w:val="nil"/>
                  </w:tcBorders>
                  <w:vAlign w:val="center"/>
                </w:tcPr>
                <w:p w14:paraId="2422EC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347</w:t>
                  </w:r>
                </w:p>
              </w:tc>
              <w:tc>
                <w:tcPr>
                  <w:tcW w:w="1288" w:type="dxa"/>
                  <w:tcBorders>
                    <w:tl2br w:val="nil"/>
                    <w:tr2bl w:val="nil"/>
                  </w:tcBorders>
                  <w:vAlign w:val="center"/>
                </w:tcPr>
                <w:p w14:paraId="3CC847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114</w:t>
                  </w:r>
                </w:p>
              </w:tc>
              <w:tc>
                <w:tcPr>
                  <w:tcW w:w="1399" w:type="dxa"/>
                  <w:tcBorders>
                    <w:tl2br w:val="nil"/>
                    <w:tr2bl w:val="nil"/>
                  </w:tcBorders>
                  <w:vAlign w:val="center"/>
                </w:tcPr>
                <w:p w14:paraId="5990FB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1.2</w:t>
                  </w:r>
                </w:p>
              </w:tc>
              <w:tc>
                <w:tcPr>
                  <w:tcW w:w="1399" w:type="dxa"/>
                  <w:tcBorders>
                    <w:tl2br w:val="nil"/>
                    <w:tr2bl w:val="nil"/>
                  </w:tcBorders>
                  <w:vAlign w:val="center"/>
                </w:tcPr>
                <w:p w14:paraId="397C0D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0.0084</w:t>
                  </w:r>
                </w:p>
              </w:tc>
              <w:tc>
                <w:tcPr>
                  <w:tcW w:w="1399" w:type="dxa"/>
                  <w:tcBorders>
                    <w:tl2br w:val="nil"/>
                    <w:tr2bl w:val="nil"/>
                  </w:tcBorders>
                  <w:vAlign w:val="center"/>
                </w:tcPr>
                <w:p w14:paraId="5DD0D0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399</w:t>
                  </w:r>
                </w:p>
              </w:tc>
            </w:tr>
            <w:tr w14:paraId="30A108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96" w:type="dxa"/>
                  <w:tcBorders>
                    <w:tl2br w:val="nil"/>
                    <w:tr2bl w:val="nil"/>
                  </w:tcBorders>
                  <w:vAlign w:val="center"/>
                </w:tcPr>
                <w:p w14:paraId="7025D3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2地子火区</w:t>
                  </w:r>
                </w:p>
              </w:tc>
              <w:tc>
                <w:tcPr>
                  <w:tcW w:w="1710" w:type="dxa"/>
                  <w:tcBorders>
                    <w:tl2br w:val="nil"/>
                    <w:tr2bl w:val="nil"/>
                  </w:tcBorders>
                  <w:vAlign w:val="center"/>
                </w:tcPr>
                <w:p w14:paraId="79D4BA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261</w:t>
                  </w:r>
                </w:p>
              </w:tc>
              <w:tc>
                <w:tcPr>
                  <w:tcW w:w="1288" w:type="dxa"/>
                  <w:tcBorders>
                    <w:tl2br w:val="nil"/>
                    <w:tr2bl w:val="nil"/>
                  </w:tcBorders>
                  <w:vAlign w:val="center"/>
                </w:tcPr>
                <w:p w14:paraId="54450B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94</w:t>
                  </w:r>
                </w:p>
              </w:tc>
              <w:tc>
                <w:tcPr>
                  <w:tcW w:w="1399" w:type="dxa"/>
                  <w:tcBorders>
                    <w:tl2br w:val="nil"/>
                    <w:tr2bl w:val="nil"/>
                  </w:tcBorders>
                  <w:vAlign w:val="center"/>
                </w:tcPr>
                <w:p w14:paraId="3B9D68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1.2</w:t>
                  </w:r>
                </w:p>
              </w:tc>
              <w:tc>
                <w:tcPr>
                  <w:tcW w:w="1399" w:type="dxa"/>
                  <w:tcBorders>
                    <w:tl2br w:val="nil"/>
                    <w:tr2bl w:val="nil"/>
                  </w:tcBorders>
                  <w:vAlign w:val="center"/>
                </w:tcPr>
                <w:p w14:paraId="655429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0.0252</w:t>
                  </w:r>
                </w:p>
              </w:tc>
              <w:tc>
                <w:tcPr>
                  <w:tcW w:w="1399" w:type="dxa"/>
                  <w:tcBorders>
                    <w:tl2br w:val="nil"/>
                    <w:tr2bl w:val="nil"/>
                  </w:tcBorders>
                  <w:vAlign w:val="center"/>
                </w:tcPr>
                <w:p w14:paraId="2FA502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1256</w:t>
                  </w:r>
                </w:p>
              </w:tc>
            </w:tr>
            <w:tr w14:paraId="413D10D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96" w:type="dxa"/>
                  <w:tcBorders>
                    <w:tl2br w:val="nil"/>
                    <w:tr2bl w:val="nil"/>
                  </w:tcBorders>
                  <w:vAlign w:val="center"/>
                </w:tcPr>
                <w:p w14:paraId="2ADC6C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3号子火区</w:t>
                  </w:r>
                </w:p>
              </w:tc>
              <w:tc>
                <w:tcPr>
                  <w:tcW w:w="1710" w:type="dxa"/>
                  <w:tcBorders>
                    <w:tl2br w:val="nil"/>
                    <w:tr2bl w:val="nil"/>
                  </w:tcBorders>
                  <w:vAlign w:val="center"/>
                </w:tcPr>
                <w:p w14:paraId="6197ED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84</w:t>
                  </w:r>
                </w:p>
              </w:tc>
              <w:tc>
                <w:tcPr>
                  <w:tcW w:w="1288" w:type="dxa"/>
                  <w:tcBorders>
                    <w:tl2br w:val="nil"/>
                    <w:tr2bl w:val="nil"/>
                  </w:tcBorders>
                  <w:vAlign w:val="center"/>
                </w:tcPr>
                <w:p w14:paraId="4DACC7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136</w:t>
                  </w:r>
                </w:p>
              </w:tc>
              <w:tc>
                <w:tcPr>
                  <w:tcW w:w="1399" w:type="dxa"/>
                  <w:tcBorders>
                    <w:tl2br w:val="nil"/>
                    <w:tr2bl w:val="nil"/>
                  </w:tcBorders>
                  <w:vAlign w:val="center"/>
                </w:tcPr>
                <w:p w14:paraId="60BB46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1.1</w:t>
                  </w:r>
                </w:p>
              </w:tc>
              <w:tc>
                <w:tcPr>
                  <w:tcW w:w="1399" w:type="dxa"/>
                  <w:tcBorders>
                    <w:tl2br w:val="nil"/>
                    <w:tr2bl w:val="nil"/>
                  </w:tcBorders>
                  <w:vAlign w:val="center"/>
                </w:tcPr>
                <w:p w14:paraId="56477E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0.0084</w:t>
                  </w:r>
                </w:p>
              </w:tc>
              <w:tc>
                <w:tcPr>
                  <w:tcW w:w="1399" w:type="dxa"/>
                  <w:tcBorders>
                    <w:tl2br w:val="nil"/>
                    <w:tr2bl w:val="nil"/>
                  </w:tcBorders>
                  <w:vAlign w:val="center"/>
                </w:tcPr>
                <w:p w14:paraId="33F992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106</w:t>
                  </w:r>
                </w:p>
              </w:tc>
            </w:tr>
            <w:tr w14:paraId="0AF040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96" w:type="dxa"/>
                  <w:tcBorders>
                    <w:tl2br w:val="nil"/>
                    <w:tr2bl w:val="nil"/>
                  </w:tcBorders>
                  <w:vAlign w:val="center"/>
                </w:tcPr>
                <w:p w14:paraId="356D11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合计</w:t>
                  </w:r>
                </w:p>
              </w:tc>
              <w:tc>
                <w:tcPr>
                  <w:tcW w:w="1710" w:type="dxa"/>
                  <w:tcBorders>
                    <w:tl2br w:val="nil"/>
                    <w:tr2bl w:val="nil"/>
                  </w:tcBorders>
                  <w:vAlign w:val="center"/>
                </w:tcPr>
                <w:p w14:paraId="3B3F01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w:t>
                  </w:r>
                </w:p>
              </w:tc>
              <w:tc>
                <w:tcPr>
                  <w:tcW w:w="1288" w:type="dxa"/>
                  <w:tcBorders>
                    <w:tl2br w:val="nil"/>
                    <w:tr2bl w:val="nil"/>
                  </w:tcBorders>
                  <w:vAlign w:val="center"/>
                </w:tcPr>
                <w:p w14:paraId="49A229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w:t>
                  </w:r>
                </w:p>
              </w:tc>
              <w:tc>
                <w:tcPr>
                  <w:tcW w:w="1399" w:type="dxa"/>
                  <w:tcBorders>
                    <w:tl2br w:val="nil"/>
                    <w:tr2bl w:val="nil"/>
                  </w:tcBorders>
                  <w:vAlign w:val="center"/>
                </w:tcPr>
                <w:p w14:paraId="6FD0D9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w:t>
                  </w:r>
                </w:p>
              </w:tc>
              <w:tc>
                <w:tcPr>
                  <w:tcW w:w="1399" w:type="dxa"/>
                  <w:tcBorders>
                    <w:tl2br w:val="nil"/>
                    <w:tr2bl w:val="nil"/>
                  </w:tcBorders>
                  <w:vAlign w:val="center"/>
                </w:tcPr>
                <w:p w14:paraId="7A7D35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w:t>
                  </w:r>
                </w:p>
              </w:tc>
              <w:tc>
                <w:tcPr>
                  <w:tcW w:w="1399" w:type="dxa"/>
                  <w:tcBorders>
                    <w:tl2br w:val="nil"/>
                    <w:tr2bl w:val="nil"/>
                  </w:tcBorders>
                  <w:vAlign w:val="center"/>
                </w:tcPr>
                <w:p w14:paraId="1C0D77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position w:val="-4"/>
                      <w:sz w:val="21"/>
                      <w:szCs w:val="21"/>
                      <w:vertAlign w:val="baseline"/>
                      <w:lang w:val="en-US" w:eastAsia="zh-CN"/>
                    </w:rPr>
                  </w:pPr>
                  <w:r>
                    <w:rPr>
                      <w:rFonts w:hint="eastAsia"/>
                      <w:position w:val="-4"/>
                      <w:sz w:val="21"/>
                      <w:szCs w:val="21"/>
                      <w:vertAlign w:val="baseline"/>
                      <w:lang w:val="en-US" w:eastAsia="zh-CN"/>
                    </w:rPr>
                    <w:t>1760</w:t>
                  </w:r>
                </w:p>
              </w:tc>
            </w:tr>
          </w:tbl>
          <w:p w14:paraId="214696A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eastAsia" w:ascii="仿宋_GB2312" w:hAnsi="仿宋_GB2312" w:eastAsia="仿宋_GB2312" w:cs="仿宋_GB2312"/>
                <w:color w:val="auto"/>
                <w:sz w:val="24"/>
                <w:szCs w:val="24"/>
                <w:lang w:val="en-US" w:eastAsia="zh-CN"/>
              </w:rPr>
              <w:t>②</w:t>
            </w:r>
            <w:r>
              <w:rPr>
                <w:rFonts w:hint="eastAsia" w:ascii="Times New Roman" w:hAnsi="Times New Roman" w:eastAsia="宋体" w:cs="Times New Roman"/>
                <w:color w:val="auto"/>
                <w:sz w:val="24"/>
                <w:szCs w:val="24"/>
                <w:lang w:val="en-US" w:eastAsia="zh-CN"/>
              </w:rPr>
              <w:t>注浆用水量</w:t>
            </w:r>
          </w:p>
          <w:p w14:paraId="3028C6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根据火区现状及实际燃烧情况，为达到火区的治理目标，防止溃浆事故发生，设计火区选用浓度（水土比）为</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的普通黄泥浆灌注。</w:t>
            </w:r>
          </w:p>
          <w:p w14:paraId="735BEA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注浆用水量的计算方法是首先计算出火区注浆量，再用泥浆中水土比的关系计算出用水量。先在火区布设的剖面线上计算出温度异常体截面平均面积，再求出火区温度异常体的体积，然后利用下面公式计算注浆量。</w:t>
            </w:r>
          </w:p>
          <w:p w14:paraId="0E4255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000000"/>
                <w:kern w:val="0"/>
                <w:sz w:val="24"/>
                <w:szCs w:val="24"/>
                <w:lang w:val="en-US" w:eastAsia="zh-CN" w:bidi="ar"/>
              </w:rPr>
            </w:pPr>
            <w:r>
              <w:rPr>
                <w:rFonts w:hint="default"/>
              </w:rPr>
              <w:drawing>
                <wp:inline distT="0" distB="0" distL="114300" distR="114300">
                  <wp:extent cx="1152525" cy="219075"/>
                  <wp:effectExtent l="0" t="0" r="9525" b="952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7"/>
                          <a:stretch>
                            <a:fillRect/>
                          </a:stretch>
                        </pic:blipFill>
                        <pic:spPr>
                          <a:xfrm>
                            <a:off x="0" y="0"/>
                            <a:ext cx="1152525" cy="219075"/>
                          </a:xfrm>
                          <a:prstGeom prst="rect">
                            <a:avLst/>
                          </a:prstGeom>
                          <a:noFill/>
                          <a:ln>
                            <a:noFill/>
                          </a:ln>
                        </pic:spPr>
                      </pic:pic>
                    </a:graphicData>
                  </a:graphic>
                </wp:inline>
              </w:drawing>
            </w:r>
          </w:p>
          <w:p w14:paraId="59AB3F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rPr>
            </w:pPr>
            <w:r>
              <w:rPr>
                <w:rFonts w:hint="eastAsia" w:ascii="宋体" w:hAnsi="宋体" w:eastAsia="宋体" w:cs="宋体"/>
                <w:color w:val="000000"/>
                <w:kern w:val="0"/>
                <w:sz w:val="24"/>
                <w:szCs w:val="24"/>
                <w:lang w:val="en-US" w:eastAsia="zh-CN" w:bidi="ar"/>
              </w:rPr>
              <w:t>式中：</w:t>
            </w:r>
            <w:r>
              <w:rPr>
                <w:rFonts w:hint="default" w:ascii="Times New Roman" w:hAnsi="Times New Roman" w:eastAsia="宋体" w:cs="Times New Roman"/>
                <w:i/>
                <w:iCs/>
                <w:color w:val="000000"/>
                <w:kern w:val="0"/>
                <w:sz w:val="27"/>
                <w:szCs w:val="27"/>
                <w:lang w:val="en-US" w:eastAsia="zh-CN" w:bidi="ar"/>
              </w:rPr>
              <w:t>Q</w:t>
            </w:r>
            <w:r>
              <w:rPr>
                <w:rFonts w:hint="eastAsia" w:ascii="宋体" w:hAnsi="宋体" w:eastAsia="宋体" w:cs="宋体"/>
                <w:color w:val="000000"/>
                <w:kern w:val="0"/>
                <w:sz w:val="16"/>
                <w:szCs w:val="16"/>
                <w:lang w:val="en-US" w:eastAsia="zh-CN" w:bidi="ar"/>
              </w:rPr>
              <w:t xml:space="preserve">浆 </w:t>
            </w:r>
            <w:r>
              <w:rPr>
                <w:rFonts w:hint="default" w:ascii="Times New Roman" w:hAnsi="Times New Roman" w:eastAsia="宋体" w:cs="Times New Roman"/>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注浆量（</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 xml:space="preserve">）； </w:t>
            </w:r>
          </w:p>
          <w:p w14:paraId="47C959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K′—</w:t>
            </w:r>
            <w:r>
              <w:rPr>
                <w:rFonts w:hint="eastAsia" w:ascii="宋体" w:hAnsi="宋体" w:eastAsia="宋体" w:cs="宋体"/>
                <w:color w:val="000000"/>
                <w:kern w:val="0"/>
                <w:sz w:val="24"/>
                <w:szCs w:val="24"/>
                <w:lang w:val="en-US" w:eastAsia="zh-CN" w:bidi="ar"/>
              </w:rPr>
              <w:t>注浆备用系数，取</w:t>
            </w:r>
            <w:r>
              <w:rPr>
                <w:rFonts w:hint="default" w:ascii="Times New Roman" w:hAnsi="Times New Roman" w:eastAsia="宋体" w:cs="Times New Roman"/>
                <w:color w:val="000000"/>
                <w:kern w:val="0"/>
                <w:sz w:val="24"/>
                <w:szCs w:val="24"/>
                <w:lang w:val="en-US" w:eastAsia="zh-CN" w:bidi="ar"/>
              </w:rPr>
              <w:t>1.05</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1.20</w:t>
            </w:r>
            <w:r>
              <w:rPr>
                <w:rFonts w:hint="eastAsia" w:ascii="宋体" w:hAnsi="宋体" w:eastAsia="宋体" w:cs="宋体"/>
                <w:color w:val="000000"/>
                <w:kern w:val="0"/>
                <w:sz w:val="24"/>
                <w:szCs w:val="24"/>
                <w:lang w:val="en-US" w:eastAsia="zh-CN" w:bidi="ar"/>
              </w:rPr>
              <w:t xml:space="preserve">。 </w:t>
            </w:r>
          </w:p>
          <w:p w14:paraId="7A5C94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L—</w:t>
            </w:r>
            <w:r>
              <w:rPr>
                <w:rFonts w:hint="eastAsia" w:ascii="宋体" w:hAnsi="宋体" w:eastAsia="宋体" w:cs="宋体"/>
                <w:color w:val="000000"/>
                <w:kern w:val="0"/>
                <w:sz w:val="24"/>
                <w:szCs w:val="24"/>
                <w:lang w:val="en-US" w:eastAsia="zh-CN" w:bidi="ar"/>
              </w:rPr>
              <w:t>火区燃烧煤层走向长度（</w:t>
            </w:r>
            <w:r>
              <w:rPr>
                <w:rFonts w:hint="default" w:ascii="Times New Roman" w:hAnsi="Times New Roman" w:eastAsia="宋体" w:cs="Times New Roman"/>
                <w:color w:val="000000"/>
                <w:kern w:val="0"/>
                <w:sz w:val="24"/>
                <w:szCs w:val="24"/>
                <w:lang w:val="en-US" w:eastAsia="zh-CN" w:bidi="ar"/>
              </w:rPr>
              <w:t>m</w:t>
            </w:r>
            <w:r>
              <w:rPr>
                <w:rFonts w:hint="eastAsia" w:ascii="宋体" w:hAnsi="宋体" w:eastAsia="宋体" w:cs="宋体"/>
                <w:color w:val="000000"/>
                <w:kern w:val="0"/>
                <w:sz w:val="24"/>
                <w:szCs w:val="24"/>
                <w:lang w:val="en-US" w:eastAsia="zh-CN" w:bidi="ar"/>
              </w:rPr>
              <w:t xml:space="preserve">）； </w:t>
            </w:r>
          </w:p>
          <w:p w14:paraId="462A38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S—</w:t>
            </w:r>
            <w:r>
              <w:rPr>
                <w:rFonts w:hint="eastAsia" w:ascii="宋体" w:hAnsi="宋体" w:eastAsia="宋体" w:cs="宋体"/>
                <w:color w:val="000000"/>
                <w:kern w:val="0"/>
                <w:sz w:val="24"/>
                <w:szCs w:val="24"/>
                <w:lang w:val="en-US" w:eastAsia="zh-CN" w:bidi="ar"/>
              </w:rPr>
              <w:t>火区内沿煤层倾向烧变岩体截面的平均面积（</w:t>
            </w:r>
            <w:r>
              <w:rPr>
                <w:rFonts w:hint="default" w:ascii="Times New Roman" w:hAnsi="Times New Roman" w:eastAsia="宋体" w:cs="Times New Roman"/>
                <w:color w:val="000000"/>
                <w:kern w:val="0"/>
                <w:sz w:val="24"/>
                <w:szCs w:val="24"/>
                <w:lang w:val="en-US" w:eastAsia="zh-CN" w:bidi="ar"/>
              </w:rPr>
              <w:t>m</w:t>
            </w:r>
            <w:r>
              <w:rPr>
                <w:rFonts w:hint="eastAsia" w:ascii="宋体" w:hAnsi="宋体" w:eastAsia="宋体" w:cs="宋体"/>
                <w:color w:val="000000"/>
                <w:kern w:val="0"/>
                <w:sz w:val="24"/>
                <w:szCs w:val="24"/>
                <w:lang w:val="en-US" w:eastAsia="zh-CN" w:bidi="ar"/>
              </w:rPr>
              <w:t xml:space="preserve">）； </w:t>
            </w:r>
          </w:p>
          <w:p w14:paraId="6443F2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rPr>
            </w:pPr>
            <w:r>
              <w:rPr>
                <w:rFonts w:hint="default" w:ascii="Times New Roman" w:hAnsi="Times New Roman" w:eastAsia="宋体" w:cs="Times New Roman"/>
                <w:color w:val="000000"/>
                <w:kern w:val="0"/>
                <w:sz w:val="24"/>
                <w:szCs w:val="24"/>
                <w:lang w:val="en-US" w:eastAsia="zh-CN" w:bidi="ar"/>
              </w:rPr>
              <w:t>n—</w:t>
            </w:r>
            <w:r>
              <w:rPr>
                <w:rFonts w:hint="eastAsia" w:ascii="宋体" w:hAnsi="宋体" w:eastAsia="宋体" w:cs="宋体"/>
                <w:color w:val="000000"/>
                <w:kern w:val="0"/>
                <w:sz w:val="24"/>
                <w:szCs w:val="24"/>
                <w:lang w:val="en-US" w:eastAsia="zh-CN" w:bidi="ar"/>
              </w:rPr>
              <w:t xml:space="preserve">煤层上部烧变岩体孔隙率，取 </w:t>
            </w:r>
            <w:r>
              <w:rPr>
                <w:rFonts w:hint="default" w:ascii="Times New Roman" w:hAnsi="Times New Roman" w:eastAsia="宋体" w:cs="Times New Roman"/>
                <w:color w:val="000000"/>
                <w:kern w:val="0"/>
                <w:sz w:val="24"/>
                <w:szCs w:val="24"/>
                <w:lang w:val="en-US" w:eastAsia="zh-CN" w:bidi="ar"/>
              </w:rPr>
              <w:t>0.05</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0.20</w:t>
            </w:r>
            <w:r>
              <w:rPr>
                <w:rFonts w:hint="eastAsia" w:ascii="宋体" w:hAnsi="宋体" w:eastAsia="宋体" w:cs="宋体"/>
                <w:color w:val="000000"/>
                <w:kern w:val="0"/>
                <w:sz w:val="24"/>
                <w:szCs w:val="24"/>
                <w:lang w:val="en-US" w:eastAsia="zh-CN" w:bidi="ar"/>
              </w:rPr>
              <w:t xml:space="preserve">。 </w:t>
            </w:r>
          </w:p>
          <w:p w14:paraId="0C265B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rPr>
            </w:pPr>
            <w:r>
              <w:rPr>
                <w:rFonts w:hint="eastAsia" w:ascii="宋体" w:hAnsi="宋体" w:eastAsia="宋体" w:cs="宋体"/>
                <w:color w:val="000000"/>
                <w:kern w:val="0"/>
                <w:sz w:val="24"/>
                <w:szCs w:val="24"/>
                <w:lang w:val="en-US" w:eastAsia="zh-CN" w:bidi="ar"/>
              </w:rPr>
              <w:t>根据设计确定的注浆原则，经计算，注浆工</w:t>
            </w:r>
            <w:r>
              <w:rPr>
                <w:rFonts w:hint="eastAsia" w:ascii="Times New Roman" w:hAnsi="Times New Roman" w:eastAsia="宋体" w:cs="Times New Roman"/>
                <w:color w:val="000000"/>
                <w:kern w:val="0"/>
                <w:sz w:val="24"/>
                <w:szCs w:val="24"/>
                <w:lang w:val="en-US" w:eastAsia="zh-CN" w:bidi="ar"/>
              </w:rPr>
              <w:t>程总量为21686</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。根</w:t>
            </w:r>
            <w:r>
              <w:rPr>
                <w:rFonts w:hint="eastAsia" w:ascii="宋体" w:hAnsi="宋体" w:eastAsia="宋体" w:cs="宋体"/>
                <w:color w:val="000000"/>
                <w:kern w:val="0"/>
                <w:sz w:val="24"/>
                <w:szCs w:val="24"/>
                <w:lang w:val="en-US" w:eastAsia="zh-CN" w:bidi="ar"/>
              </w:rPr>
              <w:t>据灭火施工现场试验数据：配置</w:t>
            </w:r>
            <w:r>
              <w:rPr>
                <w:rFonts w:hint="default" w:ascii="Times New Roman" w:hAnsi="Times New Roman" w:eastAsia="宋体" w:cs="Times New Roman"/>
                <w:color w:val="000000"/>
                <w:kern w:val="0"/>
                <w:sz w:val="24"/>
                <w:szCs w:val="24"/>
                <w:lang w:val="en-US" w:eastAsia="zh-CN" w:bidi="ar"/>
              </w:rPr>
              <w:t>1m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的水土比为</w:t>
            </w:r>
            <w:r>
              <w:rPr>
                <w:rFonts w:hint="default" w:ascii="Times New Roman" w:hAnsi="Times New Roman" w:eastAsia="宋体" w:cs="Times New Roman"/>
                <w:color w:val="000000"/>
                <w:kern w:val="0"/>
                <w:sz w:val="24"/>
                <w:szCs w:val="24"/>
                <w:lang w:val="en-US" w:eastAsia="zh-CN" w:bidi="ar"/>
              </w:rPr>
              <w:t>3:1</w:t>
            </w:r>
            <w:r>
              <w:rPr>
                <w:rFonts w:hint="eastAsia" w:ascii="宋体" w:hAnsi="宋体" w:eastAsia="宋体" w:cs="宋体"/>
                <w:color w:val="000000"/>
                <w:kern w:val="0"/>
                <w:sz w:val="24"/>
                <w:szCs w:val="24"/>
                <w:lang w:val="en-US" w:eastAsia="zh-CN" w:bidi="ar"/>
              </w:rPr>
              <w:t>的普通黄泥浆，需水约为</w:t>
            </w:r>
            <w:r>
              <w:rPr>
                <w:rFonts w:hint="default" w:ascii="Times New Roman" w:hAnsi="Times New Roman" w:eastAsia="宋体" w:cs="Times New Roman"/>
                <w:color w:val="000000"/>
                <w:kern w:val="0"/>
                <w:sz w:val="24"/>
                <w:szCs w:val="24"/>
                <w:lang w:val="en-US" w:eastAsia="zh-CN" w:bidi="ar"/>
              </w:rPr>
              <w:t>0.9m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 xml:space="preserve">、土 </w:t>
            </w:r>
            <w:r>
              <w:rPr>
                <w:rFonts w:hint="default" w:ascii="Times New Roman" w:hAnsi="Times New Roman" w:eastAsia="宋体" w:cs="Times New Roman"/>
                <w:color w:val="000000"/>
                <w:kern w:val="0"/>
                <w:sz w:val="24"/>
                <w:szCs w:val="24"/>
                <w:lang w:val="en-US" w:eastAsia="zh-CN" w:bidi="ar"/>
              </w:rPr>
              <w:t>0.3m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。经计算，注浆工程总用水消耗量</w:t>
            </w:r>
            <w:r>
              <w:rPr>
                <w:rFonts w:hint="eastAsia" w:ascii="Times New Roman" w:hAnsi="Times New Roman" w:eastAsia="宋体" w:cs="Times New Roman"/>
                <w:color w:val="000000"/>
                <w:kern w:val="0"/>
                <w:sz w:val="24"/>
                <w:szCs w:val="24"/>
                <w:lang w:val="en-US" w:eastAsia="zh-CN" w:bidi="ar"/>
              </w:rPr>
              <w:t>19518</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 xml:space="preserve">。注浆用水量见表 </w:t>
            </w:r>
            <w:r>
              <w:rPr>
                <w:rFonts w:hint="default" w:ascii="Times New Roman" w:hAnsi="Times New Roman" w:eastAsia="宋体" w:cs="Times New Roman"/>
                <w:color w:val="000000"/>
                <w:kern w:val="0"/>
                <w:sz w:val="24"/>
                <w:szCs w:val="24"/>
                <w:lang w:val="en-US" w:eastAsia="zh-CN" w:bidi="ar"/>
              </w:rPr>
              <w:t>2-</w:t>
            </w:r>
            <w:r>
              <w:rPr>
                <w:rFonts w:hint="eastAsia" w:ascii="Times New Roman" w:hAnsi="Times New Roman" w:eastAsia="宋体" w:cs="Times New Roman"/>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w:t>
            </w:r>
          </w:p>
          <w:p w14:paraId="0ED69F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宋体"/>
                <w:b/>
                <w:bCs/>
                <w:color w:val="auto"/>
                <w:szCs w:val="21"/>
                <w:lang w:val="en-US" w:eastAsia="zh-CN"/>
              </w:rPr>
            </w:pPr>
            <w:r>
              <w:rPr>
                <w:rFonts w:hint="eastAsia" w:ascii="Times New Roman" w:hAnsi="Times New Roman" w:cs="宋体"/>
                <w:b/>
                <w:bCs/>
                <w:color w:val="auto"/>
                <w:szCs w:val="21"/>
              </w:rPr>
              <w:t>表</w:t>
            </w:r>
            <w:r>
              <w:rPr>
                <w:rFonts w:hint="eastAsia" w:ascii="Times New Roman" w:hAnsi="Times New Roman" w:cs="宋体"/>
                <w:b/>
                <w:bCs/>
                <w:color w:val="auto"/>
                <w:szCs w:val="21"/>
                <w:lang w:val="en-US" w:eastAsia="zh-CN"/>
              </w:rPr>
              <w:t>2-7</w:t>
            </w:r>
            <w:r>
              <w:rPr>
                <w:rFonts w:hint="eastAsia" w:ascii="Times New Roman" w:hAnsi="Times New Roman" w:cs="宋体"/>
                <w:b/>
                <w:bCs/>
                <w:color w:val="auto"/>
                <w:szCs w:val="21"/>
              </w:rPr>
              <w:t xml:space="preserve">  </w:t>
            </w:r>
            <w:r>
              <w:rPr>
                <w:rFonts w:hint="eastAsia" w:cs="宋体"/>
                <w:b/>
                <w:bCs/>
                <w:color w:val="auto"/>
                <w:szCs w:val="21"/>
                <w:lang w:val="en-US" w:eastAsia="zh-CN"/>
              </w:rPr>
              <w:t xml:space="preserve"> 各区域注浆用水量</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1198"/>
              <w:gridCol w:w="1199"/>
              <w:gridCol w:w="1199"/>
              <w:gridCol w:w="1199"/>
              <w:gridCol w:w="1199"/>
              <w:gridCol w:w="1199"/>
            </w:tblGrid>
            <w:tr w14:paraId="603C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Align w:val="center"/>
                </w:tcPr>
                <w:p w14:paraId="2B9448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区域</w:t>
                  </w:r>
                </w:p>
              </w:tc>
              <w:tc>
                <w:tcPr>
                  <w:tcW w:w="1198" w:type="dxa"/>
                  <w:vAlign w:val="center"/>
                </w:tcPr>
                <w:p w14:paraId="4ABD5B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截面面积（m</w:t>
                  </w:r>
                  <w:r>
                    <w:rPr>
                      <w:rFonts w:hint="eastAsia"/>
                      <w:position w:val="-4"/>
                      <w:sz w:val="21"/>
                      <w:szCs w:val="21"/>
                      <w:vertAlign w:val="superscript"/>
                      <w:lang w:val="en-US" w:eastAsia="zh-CN"/>
                    </w:rPr>
                    <w:t>2</w:t>
                  </w:r>
                  <w:r>
                    <w:rPr>
                      <w:rFonts w:hint="eastAsia"/>
                      <w:position w:val="-4"/>
                      <w:sz w:val="21"/>
                      <w:szCs w:val="21"/>
                      <w:vertAlign w:val="baseline"/>
                      <w:lang w:val="en-US" w:eastAsia="zh-CN"/>
                    </w:rPr>
                    <w:t>）</w:t>
                  </w:r>
                </w:p>
              </w:tc>
              <w:tc>
                <w:tcPr>
                  <w:tcW w:w="1199" w:type="dxa"/>
                  <w:vAlign w:val="center"/>
                </w:tcPr>
                <w:p w14:paraId="39F65D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长度（m）</w:t>
                  </w:r>
                </w:p>
              </w:tc>
              <w:tc>
                <w:tcPr>
                  <w:tcW w:w="1199" w:type="dxa"/>
                  <w:vAlign w:val="center"/>
                </w:tcPr>
                <w:p w14:paraId="51E7C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孔隙率</w:t>
                  </w:r>
                </w:p>
              </w:tc>
              <w:tc>
                <w:tcPr>
                  <w:tcW w:w="1199" w:type="dxa"/>
                  <w:vAlign w:val="center"/>
                </w:tcPr>
                <w:p w14:paraId="56E760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备用系数</w:t>
                  </w:r>
                </w:p>
              </w:tc>
              <w:tc>
                <w:tcPr>
                  <w:tcW w:w="1199" w:type="dxa"/>
                  <w:vAlign w:val="center"/>
                </w:tcPr>
                <w:p w14:paraId="5B78F3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注浆量</w:t>
                  </w:r>
                  <w:r>
                    <w:rPr>
                      <w:rFonts w:hint="eastAsia"/>
                      <w:position w:val="-4"/>
                      <w:sz w:val="21"/>
                      <w:szCs w:val="21"/>
                      <w:vertAlign w:val="baseline"/>
                      <w:lang w:val="en-US" w:eastAsia="zh-CN"/>
                    </w:rPr>
                    <w:t>（m</w:t>
                  </w:r>
                  <w:r>
                    <w:rPr>
                      <w:rFonts w:hint="eastAsia"/>
                      <w:position w:val="-4"/>
                      <w:sz w:val="21"/>
                      <w:szCs w:val="21"/>
                      <w:vertAlign w:val="superscript"/>
                      <w:lang w:val="en-US" w:eastAsia="zh-CN"/>
                    </w:rPr>
                    <w:t>3</w:t>
                  </w:r>
                  <w:r>
                    <w:rPr>
                      <w:rFonts w:hint="eastAsia"/>
                      <w:position w:val="-4"/>
                      <w:sz w:val="21"/>
                      <w:szCs w:val="21"/>
                      <w:vertAlign w:val="baseline"/>
                      <w:lang w:val="en-US" w:eastAsia="zh-CN"/>
                    </w:rPr>
                    <w:t>）</w:t>
                  </w:r>
                </w:p>
              </w:tc>
              <w:tc>
                <w:tcPr>
                  <w:tcW w:w="1199" w:type="dxa"/>
                  <w:vAlign w:val="center"/>
                </w:tcPr>
                <w:p w14:paraId="5CD2DE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注浆用水量</w:t>
                  </w:r>
                  <w:r>
                    <w:rPr>
                      <w:rFonts w:hint="eastAsia"/>
                      <w:position w:val="-4"/>
                      <w:sz w:val="21"/>
                      <w:szCs w:val="21"/>
                      <w:vertAlign w:val="baseline"/>
                      <w:lang w:val="en-US" w:eastAsia="zh-CN"/>
                    </w:rPr>
                    <w:t>（m</w:t>
                  </w:r>
                  <w:r>
                    <w:rPr>
                      <w:rFonts w:hint="eastAsia"/>
                      <w:position w:val="-4"/>
                      <w:sz w:val="21"/>
                      <w:szCs w:val="21"/>
                      <w:vertAlign w:val="superscript"/>
                      <w:lang w:val="en-US" w:eastAsia="zh-CN"/>
                    </w:rPr>
                    <w:t>3</w:t>
                  </w:r>
                  <w:r>
                    <w:rPr>
                      <w:rFonts w:hint="eastAsia"/>
                      <w:position w:val="-4"/>
                      <w:sz w:val="21"/>
                      <w:szCs w:val="21"/>
                      <w:vertAlign w:val="baseline"/>
                      <w:lang w:val="en-US" w:eastAsia="zh-CN"/>
                    </w:rPr>
                    <w:t>）</w:t>
                  </w:r>
                </w:p>
              </w:tc>
            </w:tr>
            <w:tr w14:paraId="3E41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198" w:type="dxa"/>
                  <w:vAlign w:val="center"/>
                </w:tcPr>
                <w:p w14:paraId="311AF2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1号子火区</w:t>
                  </w:r>
                </w:p>
              </w:tc>
              <w:tc>
                <w:tcPr>
                  <w:tcW w:w="1198" w:type="dxa"/>
                  <w:vAlign w:val="center"/>
                </w:tcPr>
                <w:p w14:paraId="3D9132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347</w:t>
                  </w:r>
                </w:p>
              </w:tc>
              <w:tc>
                <w:tcPr>
                  <w:tcW w:w="1199" w:type="dxa"/>
                  <w:vAlign w:val="center"/>
                </w:tcPr>
                <w:p w14:paraId="6A7D31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114</w:t>
                  </w:r>
                </w:p>
              </w:tc>
              <w:tc>
                <w:tcPr>
                  <w:tcW w:w="1199" w:type="dxa"/>
                  <w:vAlign w:val="center"/>
                </w:tcPr>
                <w:p w14:paraId="1FD03D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0.2</w:t>
                  </w:r>
                </w:p>
              </w:tc>
              <w:tc>
                <w:tcPr>
                  <w:tcW w:w="1199" w:type="dxa"/>
                  <w:vAlign w:val="center"/>
                </w:tcPr>
                <w:p w14:paraId="0648E6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1.15</w:t>
                  </w:r>
                </w:p>
              </w:tc>
              <w:tc>
                <w:tcPr>
                  <w:tcW w:w="1199" w:type="dxa"/>
                  <w:vAlign w:val="center"/>
                </w:tcPr>
                <w:p w14:paraId="2D8BBB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9098</w:t>
                  </w:r>
                </w:p>
              </w:tc>
              <w:tc>
                <w:tcPr>
                  <w:tcW w:w="1199" w:type="dxa"/>
                  <w:vAlign w:val="center"/>
                </w:tcPr>
                <w:p w14:paraId="621353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8189</w:t>
                  </w:r>
                </w:p>
              </w:tc>
            </w:tr>
            <w:tr w14:paraId="3417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Align w:val="center"/>
                </w:tcPr>
                <w:p w14:paraId="65962A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2地子火区</w:t>
                  </w:r>
                </w:p>
              </w:tc>
              <w:tc>
                <w:tcPr>
                  <w:tcW w:w="1198" w:type="dxa"/>
                  <w:vAlign w:val="center"/>
                </w:tcPr>
                <w:p w14:paraId="5D746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261</w:t>
                  </w:r>
                </w:p>
              </w:tc>
              <w:tc>
                <w:tcPr>
                  <w:tcW w:w="1199" w:type="dxa"/>
                  <w:vAlign w:val="center"/>
                </w:tcPr>
                <w:p w14:paraId="04DC13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94</w:t>
                  </w:r>
                </w:p>
              </w:tc>
              <w:tc>
                <w:tcPr>
                  <w:tcW w:w="1199" w:type="dxa"/>
                  <w:vAlign w:val="center"/>
                </w:tcPr>
                <w:p w14:paraId="335D11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0.2</w:t>
                  </w:r>
                </w:p>
              </w:tc>
              <w:tc>
                <w:tcPr>
                  <w:tcW w:w="1199" w:type="dxa"/>
                  <w:vAlign w:val="center"/>
                </w:tcPr>
                <w:p w14:paraId="4913D6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1.2</w:t>
                  </w:r>
                </w:p>
              </w:tc>
              <w:tc>
                <w:tcPr>
                  <w:tcW w:w="1199" w:type="dxa"/>
                  <w:vAlign w:val="center"/>
                </w:tcPr>
                <w:p w14:paraId="221443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9960</w:t>
                  </w:r>
                </w:p>
              </w:tc>
              <w:tc>
                <w:tcPr>
                  <w:tcW w:w="1199" w:type="dxa"/>
                  <w:vAlign w:val="center"/>
                </w:tcPr>
                <w:p w14:paraId="54502F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8964</w:t>
                  </w:r>
                </w:p>
              </w:tc>
            </w:tr>
            <w:tr w14:paraId="0FED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98" w:type="dxa"/>
                  <w:vAlign w:val="center"/>
                </w:tcPr>
                <w:p w14:paraId="3FC336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3号子火区</w:t>
                  </w:r>
                </w:p>
              </w:tc>
              <w:tc>
                <w:tcPr>
                  <w:tcW w:w="1198" w:type="dxa"/>
                  <w:vAlign w:val="center"/>
                </w:tcPr>
                <w:p w14:paraId="5CC37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84</w:t>
                  </w:r>
                </w:p>
              </w:tc>
              <w:tc>
                <w:tcPr>
                  <w:tcW w:w="1199" w:type="dxa"/>
                  <w:vAlign w:val="center"/>
                </w:tcPr>
                <w:p w14:paraId="546A36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136</w:t>
                  </w:r>
                </w:p>
              </w:tc>
              <w:tc>
                <w:tcPr>
                  <w:tcW w:w="1199" w:type="dxa"/>
                  <w:vAlign w:val="center"/>
                </w:tcPr>
                <w:p w14:paraId="083535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0.2</w:t>
                  </w:r>
                </w:p>
              </w:tc>
              <w:tc>
                <w:tcPr>
                  <w:tcW w:w="1199" w:type="dxa"/>
                  <w:vAlign w:val="center"/>
                </w:tcPr>
                <w:p w14:paraId="0EAE00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1.15</w:t>
                  </w:r>
                </w:p>
              </w:tc>
              <w:tc>
                <w:tcPr>
                  <w:tcW w:w="1199" w:type="dxa"/>
                  <w:vAlign w:val="center"/>
                </w:tcPr>
                <w:p w14:paraId="4D97D6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2628</w:t>
                  </w:r>
                </w:p>
              </w:tc>
              <w:tc>
                <w:tcPr>
                  <w:tcW w:w="1199" w:type="dxa"/>
                  <w:vAlign w:val="center"/>
                </w:tcPr>
                <w:p w14:paraId="6E099A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2365</w:t>
                  </w:r>
                </w:p>
              </w:tc>
            </w:tr>
            <w:tr w14:paraId="0ADF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Align w:val="center"/>
                </w:tcPr>
                <w:p w14:paraId="221822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合计</w:t>
                  </w:r>
                </w:p>
              </w:tc>
              <w:tc>
                <w:tcPr>
                  <w:tcW w:w="1198" w:type="dxa"/>
                  <w:vAlign w:val="center"/>
                </w:tcPr>
                <w:p w14:paraId="241609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w:t>
                  </w:r>
                </w:p>
              </w:tc>
              <w:tc>
                <w:tcPr>
                  <w:tcW w:w="1199" w:type="dxa"/>
                  <w:vAlign w:val="center"/>
                </w:tcPr>
                <w:p w14:paraId="5A0DF9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w:t>
                  </w:r>
                </w:p>
              </w:tc>
              <w:tc>
                <w:tcPr>
                  <w:tcW w:w="1199" w:type="dxa"/>
                  <w:vAlign w:val="center"/>
                </w:tcPr>
                <w:p w14:paraId="1215D5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w:t>
                  </w:r>
                </w:p>
              </w:tc>
              <w:tc>
                <w:tcPr>
                  <w:tcW w:w="1199" w:type="dxa"/>
                  <w:vAlign w:val="center"/>
                </w:tcPr>
                <w:p w14:paraId="225ABD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w:t>
                  </w:r>
                </w:p>
              </w:tc>
              <w:tc>
                <w:tcPr>
                  <w:tcW w:w="1199" w:type="dxa"/>
                  <w:vAlign w:val="center"/>
                </w:tcPr>
                <w:p w14:paraId="6D8C70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21868</w:t>
                  </w:r>
                </w:p>
              </w:tc>
              <w:tc>
                <w:tcPr>
                  <w:tcW w:w="1199" w:type="dxa"/>
                  <w:vAlign w:val="center"/>
                </w:tcPr>
                <w:p w14:paraId="312A05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19518</w:t>
                  </w:r>
                </w:p>
              </w:tc>
            </w:tr>
          </w:tbl>
          <w:p w14:paraId="41A604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③钻探用水量</w:t>
            </w:r>
          </w:p>
          <w:p w14:paraId="271194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火区设计钻探总进尺为</w:t>
            </w:r>
            <w:r>
              <w:rPr>
                <w:rFonts w:hint="eastAsia" w:ascii="Times New Roman" w:hAnsi="Times New Roman" w:eastAsia="宋体" w:cs="Times New Roman"/>
                <w:color w:val="000000"/>
                <w:kern w:val="0"/>
                <w:sz w:val="24"/>
                <w:szCs w:val="24"/>
                <w:lang w:val="en-US" w:eastAsia="zh-CN" w:bidi="ar"/>
              </w:rPr>
              <w:t xml:space="preserve">2102m </w:t>
            </w:r>
            <w:r>
              <w:rPr>
                <w:rFonts w:hint="eastAsia" w:ascii="宋体" w:hAnsi="宋体" w:eastAsia="宋体" w:cs="宋体"/>
                <w:color w:val="000000"/>
                <w:kern w:val="0"/>
                <w:sz w:val="24"/>
                <w:szCs w:val="24"/>
                <w:lang w:val="en-US" w:eastAsia="zh-CN" w:bidi="ar"/>
              </w:rPr>
              <w:t>，钻探用水量的计算公式如下：</w:t>
            </w:r>
          </w:p>
          <w:p w14:paraId="401644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rPr>
                <w:rFonts w:hint="eastAsia" w:ascii="Times New Roman" w:hAnsi="Times New Roman" w:eastAsia="宋体" w:cs="Times New Roman"/>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drawing>
                <wp:inline distT="0" distB="0" distL="0" distR="0">
                  <wp:extent cx="799465" cy="396240"/>
                  <wp:effectExtent l="0" t="0" r="635" b="3810"/>
                  <wp:docPr id="22" name="IM 124"/>
                  <wp:cNvGraphicFramePr/>
                  <a:graphic xmlns:a="http://schemas.openxmlformats.org/drawingml/2006/main">
                    <a:graphicData uri="http://schemas.openxmlformats.org/drawingml/2006/picture">
                      <pic:pic xmlns:pic="http://schemas.openxmlformats.org/drawingml/2006/picture">
                        <pic:nvPicPr>
                          <pic:cNvPr id="22" name="IM 124"/>
                          <pic:cNvPicPr/>
                        </pic:nvPicPr>
                        <pic:blipFill>
                          <a:blip r:embed="rId8"/>
                          <a:stretch>
                            <a:fillRect/>
                          </a:stretch>
                        </pic:blipFill>
                        <pic:spPr>
                          <a:xfrm>
                            <a:off x="0" y="0"/>
                            <a:ext cx="799567" cy="396319"/>
                          </a:xfrm>
                          <a:prstGeom prst="rect">
                            <a:avLst/>
                          </a:prstGeom>
                        </pic:spPr>
                      </pic:pic>
                    </a:graphicData>
                  </a:graphic>
                </wp:inline>
              </w:drawing>
            </w:r>
          </w:p>
          <w:p w14:paraId="10FC7D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式中：W水探—钻探用水总量（m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w:t>
            </w:r>
          </w:p>
          <w:p w14:paraId="24A3AD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q—钻探小时用水量（18 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/h）；</w:t>
            </w:r>
          </w:p>
          <w:p w14:paraId="7EF09D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t—钻机三班开动小时数（18 h）；</w:t>
            </w:r>
          </w:p>
          <w:p w14:paraId="3CB399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c—钻机每月开动天数（取25天）；</w:t>
            </w:r>
          </w:p>
          <w:p w14:paraId="6C12BC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L—钻探设计进尺（m）；</w:t>
            </w:r>
          </w:p>
          <w:p w14:paraId="76BF31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K—钻探钻月效率（1500m/台·月）。</w:t>
            </w:r>
          </w:p>
          <w:p w14:paraId="148249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经计算 ，火区钻探用水量4181m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w:t>
            </w:r>
          </w:p>
          <w:p w14:paraId="00D21F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000000"/>
                <w:kern w:val="0"/>
                <w:sz w:val="24"/>
                <w:szCs w:val="24"/>
                <w:lang w:val="en-US" w:eastAsia="zh-CN" w:bidi="ar"/>
              </w:rPr>
            </w:pPr>
          </w:p>
          <w:p w14:paraId="48C087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④灭火用水总量</w:t>
            </w:r>
          </w:p>
          <w:p w14:paraId="094165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灭火用水总量为火区注水量、注浆用水量和钻探用水量三部分之和，经计算，火区用水总量为25460m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w:t>
            </w:r>
          </w:p>
          <w:p w14:paraId="0FECE3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（3）供水工程</w:t>
            </w:r>
          </w:p>
          <w:p w14:paraId="7BEBAF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1）设计参数</w:t>
            </w:r>
          </w:p>
          <w:p w14:paraId="21113F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仿宋_GB2312" w:hAnsi="仿宋_GB2312" w:eastAsia="仿宋_GB2312" w:cs="仿宋_GB2312"/>
                <w:color w:val="auto"/>
                <w:sz w:val="24"/>
                <w:szCs w:val="24"/>
                <w:lang w:val="en-US" w:eastAsia="zh-CN"/>
              </w:rPr>
              <w:t>①</w:t>
            </w:r>
            <w:r>
              <w:rPr>
                <w:rFonts w:hint="eastAsia" w:ascii="Times New Roman" w:hAnsi="Times New Roman" w:eastAsia="宋体" w:cs="Times New Roman"/>
                <w:color w:val="000000"/>
                <w:kern w:val="0"/>
                <w:sz w:val="24"/>
                <w:szCs w:val="24"/>
                <w:lang w:val="en-US" w:eastAsia="zh-CN" w:bidi="ar"/>
              </w:rPr>
              <w:t>矿界范围外西北方水坑附近1070m处，距离火区2k</w:t>
            </w:r>
            <w:r>
              <w:rPr>
                <w:rFonts w:hint="eastAsia"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lang w:val="en-US" w:eastAsia="zh-CN" w:bidi="ar"/>
              </w:rPr>
              <w:t>建100m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蓄水池，设计考虑自100m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蓄水池处取水，水源地取水口高程+1070m，灭火工区坑边最高标高约+1200m，地形高差1200- 1070≈50m。</w:t>
            </w:r>
          </w:p>
          <w:p w14:paraId="254C41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仿宋_GB2312" w:hAnsi="仿宋_GB2312" w:eastAsia="仿宋_GB2312" w:cs="仿宋_GB2312"/>
                <w:color w:val="auto"/>
                <w:sz w:val="24"/>
                <w:szCs w:val="24"/>
                <w:lang w:val="en-US" w:eastAsia="zh-CN"/>
              </w:rPr>
              <w:t>②</w:t>
            </w:r>
            <w:r>
              <w:rPr>
                <w:rFonts w:hint="eastAsia" w:ascii="Times New Roman" w:hAnsi="Times New Roman" w:eastAsia="宋体" w:cs="Times New Roman"/>
                <w:color w:val="000000"/>
                <w:kern w:val="0"/>
                <w:sz w:val="24"/>
                <w:szCs w:val="24"/>
                <w:lang w:val="en-US" w:eastAsia="zh-CN" w:bidi="ar"/>
              </w:rPr>
              <w:t>考虑管道系统漏损等因素，实际设计用水量按46m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/h考虑。</w:t>
            </w:r>
          </w:p>
          <w:p w14:paraId="5BD733E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2）输水方案</w:t>
            </w:r>
          </w:p>
          <w:p w14:paraId="43DE8029">
            <w:pPr>
              <w:pStyle w:val="10"/>
              <w:keepNext w:val="0"/>
              <w:keepLines w:val="0"/>
              <w:suppressLineNumbers w:val="0"/>
              <w:spacing w:before="33" w:beforeAutospacing="0" w:afterAutospacing="0" w:line="339" w:lineRule="auto"/>
              <w:ind w:left="11" w:right="6" w:firstLine="472"/>
              <w:rPr>
                <w:rFonts w:hint="default"/>
                <w:sz w:val="24"/>
                <w:szCs w:val="24"/>
              </w:rPr>
            </w:pPr>
            <w:r>
              <w:rPr>
                <w:rFonts w:hint="eastAsia" w:ascii="Times New Roman" w:hAnsi="Times New Roman" w:eastAsia="宋体" w:cs="Times New Roman"/>
                <w:color w:val="000000"/>
                <w:kern w:val="0"/>
                <w:sz w:val="24"/>
                <w:szCs w:val="24"/>
                <w:lang w:val="en-US" w:eastAsia="zh-CN" w:bidi="ar"/>
              </w:rPr>
              <w:t>根据所选线路的地形条件只能采用一级加压输水方式，输水系统流程为“蓄水池→加压泵房→输水管路→灭火工区”。设计在距离火区2km水坑积水处建1 座V= 100m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、L8</w:t>
            </w:r>
            <w:r>
              <w:rPr>
                <w:rFonts w:hint="default" w:ascii="Arial" w:hAnsi="Arial" w:eastAsia="宋体" w:cs="Arial"/>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B4</w:t>
            </w:r>
            <w:r>
              <w:rPr>
                <w:rFonts w:hint="default" w:ascii="Arial" w:hAnsi="Arial" w:eastAsia="宋体" w:cs="Arial"/>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H3.5（m）蓄水池 ，水池中心坐标为（X：4881773，Y：607126），给水泵房内安装2台加压水泵将矿界外西北方水坑积水提升至灭火工区。</w:t>
            </w:r>
            <w:r>
              <w:rPr>
                <w:rFonts w:hint="default"/>
                <w:spacing w:val="-5"/>
                <w:sz w:val="24"/>
                <w:szCs w:val="24"/>
              </w:rPr>
              <w:t>供水管路选用</w:t>
            </w:r>
            <w:r>
              <w:rPr>
                <w:rFonts w:hint="default" w:ascii="Times New Roman" w:hAnsi="Times New Roman" w:eastAsia="Times New Roman" w:cs="Times New Roman"/>
                <w:spacing w:val="-5"/>
                <w:sz w:val="24"/>
                <w:szCs w:val="24"/>
              </w:rPr>
              <w:t xml:space="preserve">Ø159×4.5 </w:t>
            </w:r>
            <w:r>
              <w:rPr>
                <w:rFonts w:hint="default"/>
                <w:spacing w:val="-5"/>
                <w:sz w:val="24"/>
                <w:szCs w:val="24"/>
              </w:rPr>
              <w:t xml:space="preserve">无缝钢管，钢号为 </w:t>
            </w:r>
            <w:r>
              <w:rPr>
                <w:rFonts w:hint="default" w:ascii="Times New Roman" w:hAnsi="Times New Roman" w:eastAsia="Times New Roman" w:cs="Times New Roman"/>
                <w:spacing w:val="-5"/>
                <w:sz w:val="24"/>
                <w:szCs w:val="24"/>
              </w:rPr>
              <w:t>Q235</w:t>
            </w:r>
            <w:r>
              <w:rPr>
                <w:rFonts w:hint="default"/>
                <w:spacing w:val="-5"/>
                <w:sz w:val="24"/>
                <w:szCs w:val="24"/>
              </w:rPr>
              <w:t xml:space="preserve">，管道总长度约 </w:t>
            </w:r>
            <w:r>
              <w:rPr>
                <w:rFonts w:hint="default" w:ascii="Times New Roman" w:hAnsi="Times New Roman" w:eastAsia="Times New Roman" w:cs="Times New Roman"/>
                <w:spacing w:val="-5"/>
                <w:sz w:val="24"/>
                <w:szCs w:val="24"/>
              </w:rPr>
              <w:t>4.</w:t>
            </w:r>
            <w:r>
              <w:rPr>
                <w:rFonts w:hint="default" w:ascii="Times New Roman" w:hAnsi="Times New Roman" w:eastAsia="Times New Roman" w:cs="Times New Roman"/>
                <w:spacing w:val="-22"/>
                <w:sz w:val="24"/>
                <w:szCs w:val="24"/>
              </w:rPr>
              <w:t xml:space="preserve"> </w:t>
            </w:r>
            <w:r>
              <w:rPr>
                <w:rFonts w:hint="default" w:ascii="Times New Roman" w:hAnsi="Times New Roman" w:eastAsia="Times New Roman" w:cs="Times New Roman"/>
                <w:spacing w:val="-5"/>
                <w:sz w:val="24"/>
                <w:szCs w:val="24"/>
              </w:rPr>
              <w:t>1km</w:t>
            </w:r>
            <w:r>
              <w:rPr>
                <w:rFonts w:hint="default"/>
                <w:spacing w:val="-5"/>
                <w:sz w:val="24"/>
                <w:szCs w:val="24"/>
              </w:rPr>
              <w:t>，地表敷设，</w:t>
            </w:r>
            <w:r>
              <w:rPr>
                <w:rFonts w:hint="default"/>
                <w:spacing w:val="-3"/>
                <w:sz w:val="24"/>
                <w:szCs w:val="24"/>
              </w:rPr>
              <w:t>焊接连接</w:t>
            </w:r>
            <w:r>
              <w:rPr>
                <w:rFonts w:hint="default"/>
                <w:spacing w:val="-40"/>
                <w:sz w:val="24"/>
                <w:szCs w:val="24"/>
              </w:rPr>
              <w:t xml:space="preserve"> </w:t>
            </w:r>
            <w:r>
              <w:rPr>
                <w:rFonts w:hint="default"/>
                <w:spacing w:val="-3"/>
                <w:sz w:val="24"/>
                <w:szCs w:val="24"/>
              </w:rPr>
              <w:t>，管道外刷两道环保沥青防腐，</w:t>
            </w:r>
            <w:r>
              <w:rPr>
                <w:rFonts w:hint="default"/>
                <w:spacing w:val="-46"/>
                <w:sz w:val="24"/>
                <w:szCs w:val="24"/>
              </w:rPr>
              <w:t xml:space="preserve"> </w:t>
            </w:r>
            <w:r>
              <w:rPr>
                <w:rFonts w:hint="default"/>
                <w:spacing w:val="-3"/>
                <w:sz w:val="24"/>
                <w:szCs w:val="24"/>
              </w:rPr>
              <w:t>内喷涂环保聚</w:t>
            </w:r>
            <w:r>
              <w:rPr>
                <w:rFonts w:hint="default"/>
                <w:spacing w:val="-4"/>
                <w:sz w:val="24"/>
                <w:szCs w:val="24"/>
              </w:rPr>
              <w:t>乙烯（</w:t>
            </w:r>
            <w:r>
              <w:rPr>
                <w:rFonts w:hint="default" w:ascii="Times New Roman" w:hAnsi="Times New Roman" w:eastAsia="Times New Roman" w:cs="Times New Roman"/>
                <w:spacing w:val="-4"/>
                <w:sz w:val="24"/>
                <w:szCs w:val="24"/>
              </w:rPr>
              <w:t>PE</w:t>
            </w:r>
            <w:r>
              <w:rPr>
                <w:rFonts w:hint="default"/>
                <w:spacing w:val="-4"/>
                <w:sz w:val="24"/>
                <w:szCs w:val="24"/>
              </w:rPr>
              <w:t>）</w:t>
            </w:r>
            <w:r>
              <w:rPr>
                <w:rFonts w:hint="default"/>
                <w:spacing w:val="-51"/>
                <w:sz w:val="24"/>
                <w:szCs w:val="24"/>
              </w:rPr>
              <w:t xml:space="preserve"> </w:t>
            </w:r>
            <w:r>
              <w:rPr>
                <w:rFonts w:hint="default"/>
                <w:spacing w:val="-4"/>
                <w:sz w:val="24"/>
                <w:szCs w:val="24"/>
              </w:rPr>
              <w:t>防腐。</w:t>
            </w:r>
          </w:p>
          <w:p w14:paraId="6A2551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b/>
                <w:bCs/>
                <w:color w:val="000000"/>
                <w:kern w:val="0"/>
                <w:sz w:val="24"/>
                <w:szCs w:val="24"/>
                <w:highlight w:val="none"/>
                <w:lang w:val="en-US" w:eastAsia="zh-CN" w:bidi="ar"/>
              </w:rPr>
              <w:t>7.1.2生活用水</w:t>
            </w:r>
          </w:p>
          <w:p w14:paraId="0682C7C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（1）生活用水水源</w:t>
            </w:r>
          </w:p>
          <w:p w14:paraId="77454E1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000000"/>
                <w:kern w:val="0"/>
                <w:sz w:val="24"/>
                <w:szCs w:val="24"/>
                <w:highlight w:val="none"/>
                <w:lang w:val="en-US" w:eastAsia="zh-CN" w:bidi="ar"/>
              </w:rPr>
              <w:t>生活设施</w:t>
            </w:r>
            <w:r>
              <w:rPr>
                <w:rFonts w:hint="eastAsia" w:cs="Times New Roman"/>
                <w:color w:val="auto"/>
                <w:kern w:val="0"/>
                <w:sz w:val="24"/>
                <w:szCs w:val="24"/>
                <w:highlight w:val="none"/>
                <w:lang w:val="en-US" w:eastAsia="zh-CN"/>
              </w:rPr>
              <w:t>依托</w:t>
            </w:r>
            <w:r>
              <w:rPr>
                <w:rFonts w:hint="default" w:ascii="Times New Roman" w:hAnsi="Times New Roman" w:eastAsia="宋体" w:cs="Times New Roman"/>
                <w:color w:val="auto"/>
                <w:spacing w:val="-1"/>
                <w:kern w:val="2"/>
                <w:sz w:val="24"/>
                <w:szCs w:val="24"/>
                <w:highlight w:val="none"/>
                <w:lang w:val="en-US" w:eastAsia="zh-CN" w:bidi="ar-SA"/>
              </w:rPr>
              <w:t>康龙煤矿</w:t>
            </w:r>
            <w:r>
              <w:rPr>
                <w:rFonts w:hint="eastAsia" w:cs="Times New Roman"/>
                <w:color w:val="auto"/>
                <w:spacing w:val="-1"/>
                <w:kern w:val="2"/>
                <w:sz w:val="24"/>
                <w:szCs w:val="24"/>
                <w:lang w:val="en-US" w:eastAsia="zh-CN" w:bidi="ar-SA"/>
              </w:rPr>
              <w:t>行政福利生活场地</w:t>
            </w:r>
            <w:r>
              <w:rPr>
                <w:rFonts w:hint="eastAsia" w:cs="Times New Roman"/>
                <w:color w:val="auto"/>
                <w:kern w:val="0"/>
                <w:sz w:val="24"/>
                <w:szCs w:val="24"/>
                <w:highlight w:val="none"/>
                <w:lang w:val="en-US" w:eastAsia="zh-CN"/>
              </w:rPr>
              <w:t>，</w:t>
            </w:r>
            <w:r>
              <w:rPr>
                <w:rFonts w:hint="eastAsia"/>
                <w:spacing w:val="-4"/>
                <w:sz w:val="24"/>
                <w:szCs w:val="24"/>
                <w:highlight w:val="none"/>
                <w:lang w:val="en-US" w:eastAsia="zh-CN"/>
              </w:rPr>
              <w:t>生活供水依托</w:t>
            </w:r>
            <w:r>
              <w:rPr>
                <w:rFonts w:hint="eastAsia" w:cs="Times New Roman"/>
                <w:color w:val="auto"/>
                <w:kern w:val="0"/>
                <w:sz w:val="24"/>
                <w:szCs w:val="24"/>
                <w:highlight w:val="none"/>
                <w:lang w:val="en-US" w:eastAsia="zh-CN"/>
              </w:rPr>
              <w:t>康龙煤矿</w:t>
            </w:r>
            <w:r>
              <w:rPr>
                <w:rFonts w:hint="eastAsia" w:cs="Times New Roman"/>
                <w:color w:val="auto"/>
                <w:spacing w:val="-1"/>
                <w:kern w:val="2"/>
                <w:sz w:val="24"/>
                <w:szCs w:val="24"/>
                <w:lang w:val="en-US" w:eastAsia="zh-CN" w:bidi="ar-SA"/>
              </w:rPr>
              <w:t>行政福利生活场地</w:t>
            </w:r>
            <w:r>
              <w:rPr>
                <w:rFonts w:hint="eastAsia" w:cs="Times New Roman"/>
                <w:color w:val="auto"/>
                <w:kern w:val="0"/>
                <w:sz w:val="24"/>
                <w:szCs w:val="24"/>
                <w:highlight w:val="none"/>
                <w:lang w:val="en-US" w:eastAsia="zh-CN"/>
              </w:rPr>
              <w:t>已建生活供水系统，生活用水取自甘河子镇自来水供水系统，通过输水管道送至矿区，储存于600m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蓄水池，由崩加压通过管道供给矿区地面生活用水。</w:t>
            </w:r>
          </w:p>
          <w:p w14:paraId="37A755F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（2）生活用水量</w:t>
            </w:r>
          </w:p>
          <w:p w14:paraId="19BA66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cs="Times New Roman"/>
                <w:color w:val="auto"/>
                <w:sz w:val="24"/>
                <w:szCs w:val="24"/>
                <w:lang w:val="en-US" w:eastAsia="zh-CN"/>
              </w:rPr>
            </w:pPr>
            <w:r>
              <w:rPr>
                <w:rFonts w:hint="eastAsia" w:cs="Times New Roman"/>
                <w:color w:val="auto"/>
                <w:sz w:val="24"/>
                <w:szCs w:val="24"/>
                <w:lang w:val="en-US" w:eastAsia="zh-CN"/>
              </w:rPr>
              <w:t>本项目劳动定员45人，</w:t>
            </w:r>
            <w:r>
              <w:rPr>
                <w:rFonts w:hint="default" w:ascii="Times New Roman" w:hAnsi="Times New Roman" w:eastAsia="宋体" w:cs="Times New Roman"/>
                <w:bCs/>
                <w:color w:val="auto"/>
                <w:kern w:val="2"/>
                <w:sz w:val="24"/>
                <w:szCs w:val="24"/>
                <w:highlight w:val="none"/>
                <w:lang w:val="en-US" w:eastAsia="zh-CN" w:bidi="ar-SA"/>
              </w:rPr>
              <w:t>根据《新疆维吾尔自治区生活用水定额》</w:t>
            </w:r>
            <w:r>
              <w:rPr>
                <w:rFonts w:hint="default" w:ascii="Times New Roman" w:hAnsi="Times New Roman" w:cs="Times New Roman"/>
                <w:color w:val="auto"/>
                <w:sz w:val="24"/>
                <w:szCs w:val="24"/>
                <w:highlight w:val="none"/>
              </w:rPr>
              <w:t>中</w:t>
            </w:r>
            <w:r>
              <w:rPr>
                <w:rFonts w:hint="eastAsia" w:ascii="Times New Roman" w:hAnsi="Times New Roman" w:cs="Times New Roman"/>
                <w:color w:val="auto"/>
                <w:sz w:val="24"/>
                <w:szCs w:val="24"/>
                <w:highlight w:val="none"/>
                <w:lang w:val="en-US" w:eastAsia="zh-CN"/>
              </w:rPr>
              <w:t>农村居民住宅北疆天山北坡区平房及简易楼房</w:t>
            </w:r>
            <w:r>
              <w:rPr>
                <w:rFonts w:hint="default" w:ascii="Times New Roman" w:hAnsi="Times New Roman" w:cs="Times New Roman"/>
                <w:color w:val="auto"/>
                <w:sz w:val="24"/>
                <w:szCs w:val="24"/>
                <w:highlight w:val="none"/>
              </w:rPr>
              <w:t>用水定额为</w:t>
            </w:r>
            <w:r>
              <w:rPr>
                <w:rFonts w:hint="eastAsia" w:ascii="Times New Roman" w:hAnsi="Times New Roman" w:cs="Times New Roman"/>
                <w:color w:val="auto"/>
                <w:sz w:val="24"/>
                <w:szCs w:val="24"/>
                <w:highlight w:val="none"/>
                <w:lang w:val="en-US" w:eastAsia="zh-CN"/>
              </w:rPr>
              <w:t>20～30</w:t>
            </w:r>
            <w:r>
              <w:rPr>
                <w:rFonts w:hint="default" w:ascii="Times New Roman" w:hAnsi="Times New Roman" w:cs="Times New Roman"/>
                <w:color w:val="auto"/>
                <w:sz w:val="24"/>
                <w:szCs w:val="24"/>
                <w:highlight w:val="none"/>
              </w:rPr>
              <w:t>L/人·d，本次环评对生活用水以</w:t>
            </w:r>
            <w:r>
              <w:rPr>
                <w:rFonts w:hint="eastAsia" w:ascii="Times New Roman" w:hAnsi="Times New Roman" w:cs="Times New Roman"/>
                <w:color w:val="auto"/>
                <w:sz w:val="24"/>
                <w:szCs w:val="24"/>
                <w:highlight w:val="none"/>
                <w:lang w:val="en-US" w:eastAsia="zh-CN"/>
              </w:rPr>
              <w:t>30</w:t>
            </w:r>
            <w:r>
              <w:rPr>
                <w:rFonts w:hint="default" w:ascii="Times New Roman" w:hAnsi="Times New Roman" w:cs="Times New Roman"/>
                <w:color w:val="auto"/>
                <w:sz w:val="24"/>
                <w:szCs w:val="24"/>
                <w:highlight w:val="none"/>
              </w:rPr>
              <w:t>L/人·d计，则生活用水量</w:t>
            </w:r>
            <w:r>
              <w:rPr>
                <w:rFonts w:hint="default" w:ascii="Times New Roman" w:hAnsi="Times New Roman" w:cs="Times New Roman"/>
                <w:color w:val="auto"/>
                <w:sz w:val="24"/>
                <w:szCs w:val="24"/>
                <w:highlight w:val="none"/>
                <w:lang w:val="en-US" w:eastAsia="zh-CN"/>
              </w:rPr>
              <w:t>为</w:t>
            </w:r>
            <w:r>
              <w:rPr>
                <w:rFonts w:hint="eastAsia" w:ascii="Times New Roman" w:hAnsi="Times New Roman" w:eastAsia="宋体" w:cs="Times New Roman"/>
                <w:bCs/>
                <w:color w:val="auto"/>
                <w:kern w:val="2"/>
                <w:sz w:val="24"/>
                <w:szCs w:val="24"/>
                <w:highlight w:val="none"/>
                <w:lang w:val="en-US" w:eastAsia="zh-CN" w:bidi="ar-SA"/>
              </w:rPr>
              <w:t>243.00</w:t>
            </w:r>
            <w:r>
              <w:rPr>
                <w:rFonts w:hint="default" w:ascii="Times New Roman" w:hAnsi="Times New Roman" w:eastAsia="宋体" w:cs="Times New Roman"/>
                <w:bCs/>
                <w:color w:val="auto"/>
                <w:kern w:val="2"/>
                <w:sz w:val="24"/>
                <w:szCs w:val="24"/>
                <w:highlight w:val="none"/>
                <w:lang w:val="en-US" w:eastAsia="zh-CN" w:bidi="ar-SA"/>
              </w:rPr>
              <w:t>m</w:t>
            </w:r>
            <w:r>
              <w:rPr>
                <w:rFonts w:hint="default" w:ascii="Times New Roman" w:hAnsi="Times New Roman" w:eastAsia="宋体" w:cs="Times New Roman"/>
                <w:bCs/>
                <w:color w:val="auto"/>
                <w:kern w:val="2"/>
                <w:sz w:val="24"/>
                <w:szCs w:val="24"/>
                <w:highlight w:val="none"/>
                <w:vertAlign w:val="superscript"/>
                <w:lang w:val="en-US" w:eastAsia="zh-CN" w:bidi="ar-SA"/>
              </w:rPr>
              <w:t>3</w:t>
            </w:r>
            <w:r>
              <w:rPr>
                <w:rFonts w:hint="eastAsia" w:ascii="Times New Roman" w:hAnsi="Times New Roman" w:eastAsia="宋体" w:cs="Times New Roman"/>
                <w:bCs/>
                <w:color w:val="auto"/>
                <w:kern w:val="2"/>
                <w:sz w:val="24"/>
                <w:szCs w:val="24"/>
                <w:highlight w:val="none"/>
                <w:lang w:val="en-US" w:eastAsia="zh-CN" w:bidi="ar-SA"/>
              </w:rPr>
              <w:t>（</w:t>
            </w:r>
            <w:r>
              <w:rPr>
                <w:rFonts w:hint="eastAsia" w:ascii="Times New Roman" w:hAnsi="Times New Roman" w:cs="Times New Roman"/>
                <w:snapToGrid w:val="0"/>
                <w:color w:val="auto"/>
                <w:kern w:val="0"/>
                <w:sz w:val="24"/>
                <w:szCs w:val="24"/>
                <w:highlight w:val="none"/>
                <w:lang w:val="en-US" w:eastAsia="zh-CN"/>
              </w:rPr>
              <w:t>1.35</w:t>
            </w:r>
            <w:r>
              <w:rPr>
                <w:rFonts w:hint="default" w:ascii="Times New Roman" w:hAnsi="Times New Roman" w:eastAsia="宋体" w:cs="Times New Roman"/>
                <w:bCs/>
                <w:color w:val="auto"/>
                <w:kern w:val="2"/>
                <w:sz w:val="24"/>
                <w:szCs w:val="24"/>
                <w:highlight w:val="none"/>
                <w:lang w:val="en-US" w:eastAsia="zh-CN" w:bidi="ar-SA"/>
              </w:rPr>
              <w:t>m</w:t>
            </w:r>
            <w:r>
              <w:rPr>
                <w:rFonts w:hint="default" w:ascii="Times New Roman" w:hAnsi="Times New Roman" w:eastAsia="宋体" w:cs="Times New Roman"/>
                <w:bCs/>
                <w:color w:val="auto"/>
                <w:kern w:val="2"/>
                <w:sz w:val="24"/>
                <w:szCs w:val="24"/>
                <w:highlight w:val="none"/>
                <w:vertAlign w:val="superscript"/>
                <w:lang w:val="en-US" w:eastAsia="zh-CN" w:bidi="ar-SA"/>
              </w:rPr>
              <w:t>3</w:t>
            </w:r>
            <w:r>
              <w:rPr>
                <w:rFonts w:hint="default" w:ascii="Times New Roman" w:hAnsi="Times New Roman" w:eastAsia="宋体" w:cs="Times New Roman"/>
                <w:bCs/>
                <w:color w:val="auto"/>
                <w:kern w:val="2"/>
                <w:sz w:val="24"/>
                <w:szCs w:val="24"/>
                <w:highlight w:val="none"/>
                <w:lang w:val="en-US" w:eastAsia="zh-CN" w:bidi="ar-SA"/>
              </w:rPr>
              <w:t>/d</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w:t>
            </w:r>
          </w:p>
          <w:p w14:paraId="7D463D6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left"/>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b/>
                <w:bCs/>
                <w:color w:val="auto"/>
                <w:sz w:val="24"/>
                <w:szCs w:val="24"/>
                <w:lang w:val="en-US" w:eastAsia="zh-CN"/>
              </w:rPr>
              <w:t>7.2土源</w:t>
            </w:r>
          </w:p>
          <w:p w14:paraId="16AECB5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（1）灭火用土来源</w:t>
            </w:r>
          </w:p>
          <w:p w14:paraId="5181DCA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lang w:val="en-US" w:eastAsia="zh-CN"/>
              </w:rPr>
              <w:t>土源地位于1号子火区东南方，无公墓或其它生态敏感区，土源下方无煤层赋存。</w:t>
            </w:r>
            <w:r>
              <w:rPr>
                <w:rFonts w:hint="eastAsia" w:ascii="Times New Roman" w:hAnsi="Times New Roman" w:eastAsia="宋体" w:cs="Times New Roman"/>
                <w:color w:val="auto"/>
                <w:sz w:val="24"/>
                <w:szCs w:val="24"/>
                <w:highlight w:val="none"/>
                <w:lang w:val="en-US" w:eastAsia="zh-CN"/>
              </w:rPr>
              <w:t>土源地距1号子火区运距约600m，距2地子火区运距约1200m，距3号子火区运距约1500m。该处黄土不含可燃及助燃材料，直径不大于2mm，含砂量适中，高差2-5m，面积</w:t>
            </w:r>
            <w:r>
              <w:rPr>
                <w:rFonts w:hint="eastAsia" w:cs="Times New Roman"/>
                <w:color w:val="auto"/>
                <w:sz w:val="24"/>
                <w:szCs w:val="24"/>
                <w:highlight w:val="none"/>
                <w:lang w:val="en-US" w:eastAsia="zh-CN"/>
              </w:rPr>
              <w:t>17230</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，土资源充足，可满足灭火需求。</w:t>
            </w:r>
          </w:p>
          <w:p w14:paraId="051233C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（2）灭火用土用量</w:t>
            </w:r>
          </w:p>
          <w:p w14:paraId="71E382E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①注浆用土量</w:t>
            </w:r>
          </w:p>
          <w:p w14:paraId="579D302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根据泥浆中水土比例关系计算注浆用土量计算如下：</w:t>
            </w:r>
          </w:p>
          <w:p w14:paraId="15376E2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水土比为3:1 的普通黄泥浆用土消耗量：</w:t>
            </w:r>
          </w:p>
          <w:p w14:paraId="1E253E7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Q1:1浆土=Q1:1浆</w:t>
            </w:r>
            <w:r>
              <w:rPr>
                <w:rFonts w:hint="default" w:ascii="Arial" w:hAnsi="Arial" w:eastAsia="宋体" w:cs="Arial"/>
                <w:color w:val="auto"/>
                <w:sz w:val="24"/>
                <w:szCs w:val="24"/>
                <w:lang w:val="en-US" w:eastAsia="zh-CN"/>
              </w:rPr>
              <w:t>×</w:t>
            </w:r>
            <w:r>
              <w:rPr>
                <w:rFonts w:hint="eastAsia" w:ascii="Times New Roman" w:hAnsi="Times New Roman" w:eastAsia="宋体" w:cs="Times New Roman"/>
                <w:color w:val="auto"/>
                <w:sz w:val="24"/>
                <w:szCs w:val="24"/>
                <w:lang w:val="en-US" w:eastAsia="zh-CN"/>
              </w:rPr>
              <w:t>0.3</w:t>
            </w:r>
          </w:p>
          <w:p w14:paraId="037DD7E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式中Q1:1浆土—注浆所用黄土量；</w:t>
            </w:r>
          </w:p>
          <w:p w14:paraId="162B263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水土比为3:1注浆工程用土消耗量=21686</w:t>
            </w:r>
            <w:r>
              <w:rPr>
                <w:rFonts w:hint="default" w:ascii="Arial" w:hAnsi="Arial" w:eastAsia="宋体" w:cs="Arial"/>
                <w:color w:val="auto"/>
                <w:sz w:val="24"/>
                <w:szCs w:val="24"/>
                <w:lang w:val="en-US" w:eastAsia="zh-CN"/>
              </w:rPr>
              <w:t>×</w:t>
            </w:r>
            <w:r>
              <w:rPr>
                <w:rFonts w:hint="eastAsia" w:ascii="Times New Roman" w:hAnsi="Times New Roman" w:eastAsia="宋体" w:cs="Times New Roman"/>
                <w:color w:val="auto"/>
                <w:sz w:val="24"/>
                <w:szCs w:val="24"/>
                <w:lang w:val="en-US" w:eastAsia="zh-CN"/>
              </w:rPr>
              <w:t>0.3=6506m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宋体" w:hAnsi="宋体" w:eastAsia="宋体" w:cs="宋体"/>
                <w:color w:val="000000"/>
                <w:kern w:val="0"/>
                <w:sz w:val="24"/>
                <w:szCs w:val="24"/>
                <w:lang w:val="en-US" w:eastAsia="zh-CN" w:bidi="ar"/>
              </w:rPr>
              <w:t xml:space="preserve">。各区域注浆用土量见表 </w:t>
            </w:r>
            <w:r>
              <w:rPr>
                <w:rFonts w:hint="default" w:ascii="Times New Roman" w:hAnsi="Times New Roman" w:eastAsia="宋体" w:cs="Times New Roman"/>
                <w:color w:val="000000"/>
                <w:kern w:val="0"/>
                <w:sz w:val="24"/>
                <w:szCs w:val="24"/>
                <w:lang w:val="en-US" w:eastAsia="zh-CN" w:bidi="ar"/>
              </w:rPr>
              <w:t>2-</w:t>
            </w:r>
            <w:r>
              <w:rPr>
                <w:rFonts w:hint="eastAsia" w:ascii="Times New Roman" w:hAnsi="Times New Roman" w:eastAsia="宋体"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w:t>
            </w:r>
          </w:p>
          <w:p w14:paraId="3CE373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宋体"/>
                <w:b/>
                <w:bCs/>
                <w:color w:val="auto"/>
                <w:szCs w:val="21"/>
                <w:lang w:val="en-US" w:eastAsia="zh-CN"/>
              </w:rPr>
            </w:pPr>
            <w:r>
              <w:rPr>
                <w:rFonts w:hint="eastAsia" w:ascii="Times New Roman" w:hAnsi="Times New Roman" w:cs="宋体"/>
                <w:b/>
                <w:bCs/>
                <w:color w:val="auto"/>
                <w:szCs w:val="21"/>
              </w:rPr>
              <w:t>表</w:t>
            </w:r>
            <w:r>
              <w:rPr>
                <w:rFonts w:hint="eastAsia" w:ascii="Times New Roman" w:hAnsi="Times New Roman" w:cs="宋体"/>
                <w:b/>
                <w:bCs/>
                <w:color w:val="auto"/>
                <w:szCs w:val="21"/>
                <w:lang w:val="en-US" w:eastAsia="zh-CN"/>
              </w:rPr>
              <w:t>2-8</w:t>
            </w:r>
            <w:r>
              <w:rPr>
                <w:rFonts w:hint="eastAsia" w:ascii="Times New Roman" w:hAnsi="Times New Roman" w:cs="宋体"/>
                <w:b/>
                <w:bCs/>
                <w:color w:val="auto"/>
                <w:szCs w:val="21"/>
              </w:rPr>
              <w:t xml:space="preserve">  </w:t>
            </w:r>
            <w:r>
              <w:rPr>
                <w:rFonts w:hint="eastAsia" w:cs="宋体"/>
                <w:b/>
                <w:bCs/>
                <w:color w:val="auto"/>
                <w:szCs w:val="21"/>
                <w:lang w:val="en-US" w:eastAsia="zh-CN"/>
              </w:rPr>
              <w:t xml:space="preserve"> 各区域注浆用水量</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1198"/>
              <w:gridCol w:w="1199"/>
              <w:gridCol w:w="1199"/>
              <w:gridCol w:w="1199"/>
              <w:gridCol w:w="1199"/>
              <w:gridCol w:w="1199"/>
            </w:tblGrid>
            <w:tr w14:paraId="1B3C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Align w:val="center"/>
                </w:tcPr>
                <w:p w14:paraId="5F0C5D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区域</w:t>
                  </w:r>
                </w:p>
              </w:tc>
              <w:tc>
                <w:tcPr>
                  <w:tcW w:w="1198" w:type="dxa"/>
                  <w:vAlign w:val="center"/>
                </w:tcPr>
                <w:p w14:paraId="47464F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截面面积（m</w:t>
                  </w:r>
                  <w:r>
                    <w:rPr>
                      <w:rFonts w:hint="eastAsia"/>
                      <w:position w:val="-4"/>
                      <w:sz w:val="21"/>
                      <w:szCs w:val="21"/>
                      <w:vertAlign w:val="superscript"/>
                      <w:lang w:val="en-US" w:eastAsia="zh-CN"/>
                    </w:rPr>
                    <w:t>2</w:t>
                  </w:r>
                  <w:r>
                    <w:rPr>
                      <w:rFonts w:hint="eastAsia"/>
                      <w:position w:val="-4"/>
                      <w:sz w:val="21"/>
                      <w:szCs w:val="21"/>
                      <w:vertAlign w:val="baseline"/>
                      <w:lang w:val="en-US" w:eastAsia="zh-CN"/>
                    </w:rPr>
                    <w:t>）</w:t>
                  </w:r>
                </w:p>
              </w:tc>
              <w:tc>
                <w:tcPr>
                  <w:tcW w:w="1199" w:type="dxa"/>
                  <w:vAlign w:val="center"/>
                </w:tcPr>
                <w:p w14:paraId="7604FF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长度（m）</w:t>
                  </w:r>
                </w:p>
              </w:tc>
              <w:tc>
                <w:tcPr>
                  <w:tcW w:w="1199" w:type="dxa"/>
                  <w:vAlign w:val="center"/>
                </w:tcPr>
                <w:p w14:paraId="03CFA3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孔隙率</w:t>
                  </w:r>
                </w:p>
              </w:tc>
              <w:tc>
                <w:tcPr>
                  <w:tcW w:w="1199" w:type="dxa"/>
                  <w:vAlign w:val="center"/>
                </w:tcPr>
                <w:p w14:paraId="7E5A7D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备用系数</w:t>
                  </w:r>
                </w:p>
              </w:tc>
              <w:tc>
                <w:tcPr>
                  <w:tcW w:w="1199" w:type="dxa"/>
                  <w:vAlign w:val="center"/>
                </w:tcPr>
                <w:p w14:paraId="4205B6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注浆量</w:t>
                  </w:r>
                  <w:r>
                    <w:rPr>
                      <w:rFonts w:hint="eastAsia"/>
                      <w:position w:val="-4"/>
                      <w:sz w:val="21"/>
                      <w:szCs w:val="21"/>
                      <w:vertAlign w:val="baseline"/>
                      <w:lang w:val="en-US" w:eastAsia="zh-CN"/>
                    </w:rPr>
                    <w:t>（m</w:t>
                  </w:r>
                  <w:r>
                    <w:rPr>
                      <w:rFonts w:hint="eastAsia"/>
                      <w:position w:val="-4"/>
                      <w:sz w:val="21"/>
                      <w:szCs w:val="21"/>
                      <w:vertAlign w:val="superscript"/>
                      <w:lang w:val="en-US" w:eastAsia="zh-CN"/>
                    </w:rPr>
                    <w:t>3</w:t>
                  </w:r>
                  <w:r>
                    <w:rPr>
                      <w:rFonts w:hint="eastAsia"/>
                      <w:position w:val="-4"/>
                      <w:sz w:val="21"/>
                      <w:szCs w:val="21"/>
                      <w:vertAlign w:val="baseline"/>
                      <w:lang w:val="en-US" w:eastAsia="zh-CN"/>
                    </w:rPr>
                    <w:t>）</w:t>
                  </w:r>
                </w:p>
              </w:tc>
              <w:tc>
                <w:tcPr>
                  <w:tcW w:w="1199" w:type="dxa"/>
                  <w:vAlign w:val="center"/>
                </w:tcPr>
                <w:p w14:paraId="6D3CB8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注浆用土量</w:t>
                  </w:r>
                  <w:r>
                    <w:rPr>
                      <w:rFonts w:hint="eastAsia"/>
                      <w:position w:val="-4"/>
                      <w:sz w:val="21"/>
                      <w:szCs w:val="21"/>
                      <w:vertAlign w:val="baseline"/>
                      <w:lang w:val="en-US" w:eastAsia="zh-CN"/>
                    </w:rPr>
                    <w:t>（m</w:t>
                  </w:r>
                  <w:r>
                    <w:rPr>
                      <w:rFonts w:hint="eastAsia"/>
                      <w:position w:val="-4"/>
                      <w:sz w:val="21"/>
                      <w:szCs w:val="21"/>
                      <w:vertAlign w:val="superscript"/>
                      <w:lang w:val="en-US" w:eastAsia="zh-CN"/>
                    </w:rPr>
                    <w:t>3</w:t>
                  </w:r>
                  <w:r>
                    <w:rPr>
                      <w:rFonts w:hint="eastAsia"/>
                      <w:position w:val="-4"/>
                      <w:sz w:val="21"/>
                      <w:szCs w:val="21"/>
                      <w:vertAlign w:val="baseline"/>
                      <w:lang w:val="en-US" w:eastAsia="zh-CN"/>
                    </w:rPr>
                    <w:t>）</w:t>
                  </w:r>
                </w:p>
              </w:tc>
            </w:tr>
            <w:tr w14:paraId="69D7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198" w:type="dxa"/>
                  <w:vAlign w:val="center"/>
                </w:tcPr>
                <w:p w14:paraId="128FBA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1号子火区</w:t>
                  </w:r>
                </w:p>
              </w:tc>
              <w:tc>
                <w:tcPr>
                  <w:tcW w:w="1198" w:type="dxa"/>
                  <w:vAlign w:val="center"/>
                </w:tcPr>
                <w:p w14:paraId="5C179A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347</w:t>
                  </w:r>
                </w:p>
              </w:tc>
              <w:tc>
                <w:tcPr>
                  <w:tcW w:w="1199" w:type="dxa"/>
                  <w:vAlign w:val="center"/>
                </w:tcPr>
                <w:p w14:paraId="5CD5A0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114</w:t>
                  </w:r>
                </w:p>
              </w:tc>
              <w:tc>
                <w:tcPr>
                  <w:tcW w:w="1199" w:type="dxa"/>
                  <w:vAlign w:val="center"/>
                </w:tcPr>
                <w:p w14:paraId="0DFD7D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0.2</w:t>
                  </w:r>
                </w:p>
              </w:tc>
              <w:tc>
                <w:tcPr>
                  <w:tcW w:w="1199" w:type="dxa"/>
                  <w:vAlign w:val="center"/>
                </w:tcPr>
                <w:p w14:paraId="44DF61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1.15</w:t>
                  </w:r>
                </w:p>
              </w:tc>
              <w:tc>
                <w:tcPr>
                  <w:tcW w:w="1199" w:type="dxa"/>
                  <w:vAlign w:val="center"/>
                </w:tcPr>
                <w:p w14:paraId="024DA3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9098</w:t>
                  </w:r>
                </w:p>
              </w:tc>
              <w:tc>
                <w:tcPr>
                  <w:tcW w:w="1199" w:type="dxa"/>
                  <w:vAlign w:val="center"/>
                </w:tcPr>
                <w:p w14:paraId="700EFD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2730</w:t>
                  </w:r>
                </w:p>
              </w:tc>
            </w:tr>
            <w:tr w14:paraId="4271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Align w:val="center"/>
                </w:tcPr>
                <w:p w14:paraId="00ED2C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2地子火区</w:t>
                  </w:r>
                </w:p>
              </w:tc>
              <w:tc>
                <w:tcPr>
                  <w:tcW w:w="1198" w:type="dxa"/>
                  <w:vAlign w:val="center"/>
                </w:tcPr>
                <w:p w14:paraId="1C866C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261</w:t>
                  </w:r>
                </w:p>
              </w:tc>
              <w:tc>
                <w:tcPr>
                  <w:tcW w:w="1199" w:type="dxa"/>
                  <w:vAlign w:val="center"/>
                </w:tcPr>
                <w:p w14:paraId="0DF01E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94</w:t>
                  </w:r>
                </w:p>
              </w:tc>
              <w:tc>
                <w:tcPr>
                  <w:tcW w:w="1199" w:type="dxa"/>
                  <w:vAlign w:val="center"/>
                </w:tcPr>
                <w:p w14:paraId="2EBAFF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0.2</w:t>
                  </w:r>
                </w:p>
              </w:tc>
              <w:tc>
                <w:tcPr>
                  <w:tcW w:w="1199" w:type="dxa"/>
                  <w:vAlign w:val="center"/>
                </w:tcPr>
                <w:p w14:paraId="51C87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1.2</w:t>
                  </w:r>
                </w:p>
              </w:tc>
              <w:tc>
                <w:tcPr>
                  <w:tcW w:w="1199" w:type="dxa"/>
                  <w:vAlign w:val="center"/>
                </w:tcPr>
                <w:p w14:paraId="071F1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9960</w:t>
                  </w:r>
                </w:p>
              </w:tc>
              <w:tc>
                <w:tcPr>
                  <w:tcW w:w="1199" w:type="dxa"/>
                  <w:vAlign w:val="center"/>
                </w:tcPr>
                <w:p w14:paraId="0338A7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2988</w:t>
                  </w:r>
                </w:p>
              </w:tc>
            </w:tr>
            <w:tr w14:paraId="2BF0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98" w:type="dxa"/>
                  <w:vAlign w:val="center"/>
                </w:tcPr>
                <w:p w14:paraId="5051AA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3号子火区</w:t>
                  </w:r>
                </w:p>
              </w:tc>
              <w:tc>
                <w:tcPr>
                  <w:tcW w:w="1198" w:type="dxa"/>
                  <w:vAlign w:val="center"/>
                </w:tcPr>
                <w:p w14:paraId="679D82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84</w:t>
                  </w:r>
                </w:p>
              </w:tc>
              <w:tc>
                <w:tcPr>
                  <w:tcW w:w="1199" w:type="dxa"/>
                  <w:vAlign w:val="center"/>
                </w:tcPr>
                <w:p w14:paraId="202294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136</w:t>
                  </w:r>
                </w:p>
              </w:tc>
              <w:tc>
                <w:tcPr>
                  <w:tcW w:w="1199" w:type="dxa"/>
                  <w:vAlign w:val="center"/>
                </w:tcPr>
                <w:p w14:paraId="423F44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0.2</w:t>
                  </w:r>
                </w:p>
              </w:tc>
              <w:tc>
                <w:tcPr>
                  <w:tcW w:w="1199" w:type="dxa"/>
                  <w:vAlign w:val="center"/>
                </w:tcPr>
                <w:p w14:paraId="77A63C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1.15</w:t>
                  </w:r>
                </w:p>
              </w:tc>
              <w:tc>
                <w:tcPr>
                  <w:tcW w:w="1199" w:type="dxa"/>
                  <w:vAlign w:val="center"/>
                </w:tcPr>
                <w:p w14:paraId="6071DC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2628</w:t>
                  </w:r>
                </w:p>
              </w:tc>
              <w:tc>
                <w:tcPr>
                  <w:tcW w:w="1199" w:type="dxa"/>
                  <w:vAlign w:val="center"/>
                </w:tcPr>
                <w:p w14:paraId="0EE1A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788</w:t>
                  </w:r>
                </w:p>
              </w:tc>
            </w:tr>
            <w:tr w14:paraId="7942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Align w:val="center"/>
                </w:tcPr>
                <w:p w14:paraId="78A6BA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合计</w:t>
                  </w:r>
                </w:p>
              </w:tc>
              <w:tc>
                <w:tcPr>
                  <w:tcW w:w="1198" w:type="dxa"/>
                  <w:vAlign w:val="center"/>
                </w:tcPr>
                <w:p w14:paraId="6B865C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w:t>
                  </w:r>
                </w:p>
              </w:tc>
              <w:tc>
                <w:tcPr>
                  <w:tcW w:w="1199" w:type="dxa"/>
                  <w:vAlign w:val="center"/>
                </w:tcPr>
                <w:p w14:paraId="1C2280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w:t>
                  </w:r>
                </w:p>
              </w:tc>
              <w:tc>
                <w:tcPr>
                  <w:tcW w:w="1199" w:type="dxa"/>
                  <w:vAlign w:val="center"/>
                </w:tcPr>
                <w:p w14:paraId="26F349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w:t>
                  </w:r>
                </w:p>
              </w:tc>
              <w:tc>
                <w:tcPr>
                  <w:tcW w:w="1199" w:type="dxa"/>
                  <w:vAlign w:val="center"/>
                </w:tcPr>
                <w:p w14:paraId="552C02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position w:val="-4"/>
                      <w:sz w:val="21"/>
                      <w:szCs w:val="21"/>
                      <w:vertAlign w:val="baseline"/>
                      <w:lang w:val="en-US" w:eastAsia="zh-CN"/>
                    </w:rPr>
                    <w:t>--</w:t>
                  </w:r>
                </w:p>
              </w:tc>
              <w:tc>
                <w:tcPr>
                  <w:tcW w:w="1199" w:type="dxa"/>
                  <w:vAlign w:val="center"/>
                </w:tcPr>
                <w:p w14:paraId="36684E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21868</w:t>
                  </w:r>
                </w:p>
              </w:tc>
              <w:tc>
                <w:tcPr>
                  <w:tcW w:w="1199" w:type="dxa"/>
                  <w:vAlign w:val="center"/>
                </w:tcPr>
                <w:p w14:paraId="506177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6505</w:t>
                  </w:r>
                </w:p>
              </w:tc>
            </w:tr>
          </w:tbl>
          <w:p w14:paraId="6C5B182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②覆盖用土量</w:t>
            </w:r>
          </w:p>
          <w:p w14:paraId="1372374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覆盖用砂土量采用断面计算法整体估算，即通过相邻剖面线上覆盖截面面积求出平均值，乘以相邻剖面线长度而求得覆盖用砂土量，最后将各相邻剖面线间的土方相加得出火区总覆盖用土量。计算公式如下：</w:t>
            </w:r>
          </w:p>
          <w:p w14:paraId="42FA5CC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宋体" w:cs="Times New Roman"/>
                <w:color w:val="auto"/>
                <w:sz w:val="24"/>
                <w:szCs w:val="24"/>
                <w:lang w:val="en-US" w:eastAsia="zh-CN"/>
              </w:rPr>
            </w:pPr>
            <w:r>
              <w:rPr>
                <w:rFonts w:hint="default"/>
              </w:rPr>
              <w:drawing>
                <wp:inline distT="0" distB="0" distL="114300" distR="114300">
                  <wp:extent cx="2505075" cy="285750"/>
                  <wp:effectExtent l="0" t="0" r="9525" b="0"/>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9"/>
                          <a:stretch>
                            <a:fillRect/>
                          </a:stretch>
                        </pic:blipFill>
                        <pic:spPr>
                          <a:xfrm>
                            <a:off x="0" y="0"/>
                            <a:ext cx="2505075" cy="285750"/>
                          </a:xfrm>
                          <a:prstGeom prst="rect">
                            <a:avLst/>
                          </a:prstGeom>
                          <a:noFill/>
                          <a:ln>
                            <a:noFill/>
                          </a:ln>
                        </pic:spPr>
                      </pic:pic>
                    </a:graphicData>
                  </a:graphic>
                </wp:inline>
              </w:drawing>
            </w:r>
          </w:p>
          <w:p w14:paraId="5D9CD9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式中：V—火区覆盖用砂土量（m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w:t>
            </w:r>
          </w:p>
          <w:p w14:paraId="119A459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S</w:t>
            </w:r>
            <w:r>
              <w:rPr>
                <w:rFonts w:hint="eastAsia" w:ascii="Times New Roman" w:hAnsi="Times New Roman" w:eastAsia="宋体" w:cs="Times New Roman"/>
                <w:color w:val="auto"/>
                <w:sz w:val="24"/>
                <w:szCs w:val="24"/>
                <w:vertAlign w:val="subscript"/>
                <w:lang w:val="en-US" w:eastAsia="zh-CN"/>
              </w:rPr>
              <w:t>覆1</w:t>
            </w:r>
            <w:r>
              <w:rPr>
                <w:rFonts w:hint="eastAsia" w:ascii="Times New Roman" w:hAnsi="Times New Roman" w:eastAsia="宋体" w:cs="Times New Roman"/>
                <w:color w:val="auto"/>
                <w:sz w:val="24"/>
                <w:szCs w:val="24"/>
                <w:lang w:val="en-US" w:eastAsia="zh-CN"/>
              </w:rPr>
              <w:t>—相邻剖面线上覆盖面的平均断面面积（m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w:t>
            </w:r>
          </w:p>
          <w:p w14:paraId="5CCB707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L—相邻剖面线间沿燃烧煤层走向的长度（m）。</w:t>
            </w:r>
          </w:p>
          <w:p w14:paraId="46EF925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本火区地表布设了众多剖面线，燃烧煤层走向的长度根据灭火工程平面图中的煤层走向量取。经计算，火区总覆盖用土量为30000m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w:t>
            </w:r>
          </w:p>
          <w:p w14:paraId="50E3115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本项目灭火治理工程用土量为36506m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w:t>
            </w:r>
          </w:p>
          <w:p w14:paraId="055FB34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p>
          <w:p w14:paraId="25233FF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（3）剥离平整工程量</w:t>
            </w:r>
          </w:p>
          <w:p w14:paraId="18BE03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本项目剥离工程量采用断面计算法整体估算，即通过相邻剖面线上剥离截面面积求出平均值，乘以相邻剖面线长度求得剥离平整工程量，最后将各相邻剖面线间的土方相加得出火区总剥离工程量。计算公式如下：</w:t>
            </w:r>
          </w:p>
          <w:p w14:paraId="572BB8D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宋体" w:cs="Times New Roman"/>
                <w:color w:val="auto"/>
                <w:sz w:val="24"/>
                <w:szCs w:val="24"/>
                <w:lang w:val="en-US" w:eastAsia="zh-CN"/>
              </w:rPr>
            </w:pPr>
            <w:r>
              <w:rPr>
                <w:rFonts w:hint="default"/>
              </w:rPr>
              <w:drawing>
                <wp:inline distT="0" distB="0" distL="114300" distR="114300">
                  <wp:extent cx="2362200" cy="266700"/>
                  <wp:effectExtent l="0" t="0" r="0" b="0"/>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10"/>
                          <a:stretch>
                            <a:fillRect/>
                          </a:stretch>
                        </pic:blipFill>
                        <pic:spPr>
                          <a:xfrm>
                            <a:off x="0" y="0"/>
                            <a:ext cx="2362200" cy="266700"/>
                          </a:xfrm>
                          <a:prstGeom prst="rect">
                            <a:avLst/>
                          </a:prstGeom>
                          <a:noFill/>
                          <a:ln>
                            <a:noFill/>
                          </a:ln>
                        </pic:spPr>
                      </pic:pic>
                    </a:graphicData>
                  </a:graphic>
                </wp:inline>
              </w:drawing>
            </w:r>
          </w:p>
          <w:p w14:paraId="2CC0EEE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式中：Q—火区内剥离平整工程量（m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w:t>
            </w:r>
          </w:p>
          <w:p w14:paraId="759A96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S1、2 …n—相邻剖面线上剥离截面面积平均值（m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w:t>
            </w:r>
          </w:p>
          <w:p w14:paraId="0FF4784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L1、2…n—相邻剖面线长度（m）</w:t>
            </w:r>
          </w:p>
          <w:p w14:paraId="43D1C0F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本火区地表布设了众多剖面线，采用整体断面估算法计算。经计算，火区总剥离工程量为30000m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。剥离物优先覆盖治理区范围内的地表煤层露头。</w:t>
            </w:r>
          </w:p>
          <w:p w14:paraId="2B6BC91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次设计火区治理采用注水注浆为主的综合治理方法，根据详勘报告提供的煤炭资源储量分布并结合火烧区情况，火区无工程残煤，但可能存在少量煤层露头或地表风化煤，严格按照《新疆维吾尔自治区煤田火区灭火工作实施方案》的补充通知（新政办发〔2024〕17号）进行处置。</w:t>
            </w:r>
          </w:p>
          <w:p w14:paraId="2C43C174">
            <w:pPr>
              <w:keepNext w:val="0"/>
              <w:keepLines w:val="0"/>
              <w:suppressLineNumbers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7.</w:t>
            </w:r>
            <w:r>
              <w:rPr>
                <w:rFonts w:hint="eastAsia" w:cs="Times New Roman"/>
                <w:b/>
                <w:bCs/>
                <w:color w:val="auto"/>
                <w:sz w:val="24"/>
                <w:szCs w:val="24"/>
                <w:lang w:val="en-US" w:eastAsia="zh-CN"/>
              </w:rPr>
              <w:t>3</w:t>
            </w:r>
            <w:r>
              <w:rPr>
                <w:rFonts w:hint="eastAsia" w:ascii="Times New Roman" w:hAnsi="Times New Roman" w:cs="Times New Roman"/>
                <w:b/>
                <w:bCs/>
                <w:color w:val="auto"/>
                <w:sz w:val="24"/>
                <w:szCs w:val="24"/>
              </w:rPr>
              <w:t>供电</w:t>
            </w:r>
          </w:p>
          <w:p w14:paraId="4DCB333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火区电源</w:t>
            </w:r>
            <w:r>
              <w:rPr>
                <w:rFonts w:hint="eastAsia" w:cs="Times New Roman"/>
                <w:bCs/>
                <w:color w:val="auto"/>
                <w:kern w:val="2"/>
                <w:sz w:val="24"/>
                <w:szCs w:val="24"/>
                <w:highlight w:val="none"/>
                <w:lang w:val="en-US" w:eastAsia="zh-CN" w:bidi="ar-SA"/>
              </w:rPr>
              <w:t>引</w:t>
            </w:r>
            <w:r>
              <w:rPr>
                <w:rFonts w:hint="default" w:ascii="Times New Roman" w:hAnsi="Times New Roman" w:eastAsia="宋体" w:cs="Times New Roman"/>
                <w:bCs/>
                <w:color w:val="auto"/>
                <w:kern w:val="2"/>
                <w:sz w:val="24"/>
                <w:szCs w:val="24"/>
                <w:highlight w:val="none"/>
                <w:lang w:val="en-US" w:eastAsia="zh-CN" w:bidi="ar-SA"/>
              </w:rPr>
              <w:t>自火区东侧10kV甘矿线支线。火区配备柴油发电机作为备用电源。</w:t>
            </w:r>
          </w:p>
          <w:p w14:paraId="1877498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设计在火区治理区设1座柱上变电亭，变压器容量为10/0.4kV 100kVA ，10kV 电源引自火区东侧10kV甘矿线支线，导线规格为：LGJ-50，线路长度为2.8km，采用</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T</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接方式，线路全线按Ⅳ级污秽区设计，采用复合绝缘子，电杆采用Φ190锥形钢筋砼杆，平均杆高12m，线路平均档距50m，电杆均采用铁横担，基础为预制砼底、拉、卡盘，沿线以高山地貌为主，在选择线路路径时，应避开采空区，满足供电要求。变电亭下方设2台动力配电柜（防护等级IP65），为治理区所有用电设备供电。另设1套一体式柴油发电机（100kW）为治理区设备提供备用电源。</w:t>
            </w:r>
          </w:p>
          <w:p w14:paraId="01C9314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设计在加压泵房附近设1座柱上变电亭，变压器容量为10/0.4kV 100kVA， 电源</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T</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接于治理区10kV架空线路，导线规格为：LGJ-50，线路长度为1km ，采用</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T</w:t>
            </w:r>
            <w:r>
              <w:rPr>
                <w:rFonts w:hint="eastAsia"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接方式，线路全线按Ⅳ级污秽区设计，采用复合绝缘子，电杆采用Φ190锥形钢筋砼杆，平均杆高12m，线路平均档距50m，电杆均采用铁横担，基础为预制砼底、拉、卡盘 ，沿线以高山地貌为主，在选择线路路径时，应避开采空区，满足供电要求。变电亭下方设设2台动力配电柜（防护等级IP65），为泵房所有用电设备供电。另设1套一体式柴油发电机（300kW）为泵房设备提供备用电源。</w:t>
            </w:r>
          </w:p>
          <w:p w14:paraId="488740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8、土石方平衡</w:t>
            </w:r>
          </w:p>
          <w:p w14:paraId="6899EFE7">
            <w:pPr>
              <w:pStyle w:val="106"/>
              <w:keepNext w:val="0"/>
              <w:keepLines w:val="0"/>
              <w:suppressLineNumbers w:val="0"/>
              <w:spacing w:before="42" w:beforeAutospacing="0" w:after="0" w:afterAutospacing="0" w:line="358" w:lineRule="auto"/>
              <w:ind w:left="130" w:right="106" w:firstLine="463"/>
              <w:rPr>
                <w:rFonts w:hint="default"/>
                <w:color w:val="auto"/>
              </w:rPr>
            </w:pPr>
            <w:r>
              <w:rPr>
                <w:rFonts w:hint="default"/>
                <w:color w:val="auto"/>
                <w:spacing w:val="-3"/>
              </w:rPr>
              <w:t>土石方工程主要集中在施工期，施工过程中土石方主要来源于火区治理区的</w:t>
            </w:r>
            <w:r>
              <w:rPr>
                <w:rFonts w:hint="eastAsia"/>
                <w:color w:val="auto"/>
                <w:spacing w:val="-3"/>
                <w:lang w:val="en-US" w:eastAsia="zh-CN"/>
              </w:rPr>
              <w:t>剥离工程、平整工程、注浆工程、覆盖工程</w:t>
            </w:r>
            <w:r>
              <w:rPr>
                <w:rFonts w:hint="default"/>
                <w:color w:val="auto"/>
                <w:spacing w:val="-3"/>
              </w:rPr>
              <w:t>等。</w:t>
            </w:r>
          </w:p>
          <w:p w14:paraId="36115E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本项目剥离工程挖方量30000m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（用于场地平整），填方量66506m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（包括场地平整30000m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、覆盖工程30000m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、注浆工程6506m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），借方量36506m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（包括覆盖工程30000m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、注浆工程6506m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，从取土场拉运），无弃方产生。</w:t>
            </w:r>
          </w:p>
          <w:p w14:paraId="4BA3E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本项目土石方平衡见表2-9。</w:t>
            </w:r>
          </w:p>
          <w:p w14:paraId="34F371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宋体"/>
                <w:b/>
                <w:bCs/>
                <w:color w:val="auto"/>
                <w:szCs w:val="21"/>
                <w:highlight w:val="none"/>
                <w:lang w:val="en-US" w:eastAsia="zh-CN"/>
              </w:rPr>
            </w:pPr>
            <w:r>
              <w:rPr>
                <w:rFonts w:hint="eastAsia" w:ascii="Times New Roman" w:hAnsi="Times New Roman" w:cs="宋体"/>
                <w:b/>
                <w:bCs/>
                <w:color w:val="auto"/>
                <w:szCs w:val="21"/>
                <w:highlight w:val="none"/>
              </w:rPr>
              <w:t>表</w:t>
            </w:r>
            <w:r>
              <w:rPr>
                <w:rFonts w:hint="eastAsia" w:ascii="Times New Roman" w:hAnsi="Times New Roman" w:cs="宋体"/>
                <w:b/>
                <w:bCs/>
                <w:color w:val="auto"/>
                <w:szCs w:val="21"/>
                <w:highlight w:val="none"/>
                <w:lang w:val="en-US" w:eastAsia="zh-CN"/>
              </w:rPr>
              <w:t>2-9</w:t>
            </w:r>
            <w:r>
              <w:rPr>
                <w:rFonts w:hint="eastAsia" w:ascii="Times New Roman" w:hAnsi="Times New Roman" w:cs="宋体"/>
                <w:b/>
                <w:bCs/>
                <w:color w:val="auto"/>
                <w:szCs w:val="21"/>
                <w:highlight w:val="none"/>
              </w:rPr>
              <w:t xml:space="preserve">  </w:t>
            </w:r>
            <w:r>
              <w:rPr>
                <w:rFonts w:hint="eastAsia" w:cs="宋体"/>
                <w:b/>
                <w:bCs/>
                <w:color w:val="auto"/>
                <w:szCs w:val="21"/>
                <w:highlight w:val="none"/>
                <w:lang w:val="en-US" w:eastAsia="zh-CN"/>
              </w:rPr>
              <w:t xml:space="preserve"> 项目土石方平衡一览表</w:t>
            </w:r>
          </w:p>
          <w:tbl>
            <w:tblPr>
              <w:tblStyle w:val="27"/>
              <w:tblW w:w="84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350"/>
              <w:gridCol w:w="945"/>
              <w:gridCol w:w="915"/>
              <w:gridCol w:w="1020"/>
              <w:gridCol w:w="1020"/>
              <w:gridCol w:w="1020"/>
              <w:gridCol w:w="945"/>
            </w:tblGrid>
            <w:tr w14:paraId="7B94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232" w:type="dxa"/>
                  <w:vMerge w:val="restart"/>
                  <w:vAlign w:val="center"/>
                </w:tcPr>
                <w:p w14:paraId="6453B3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Times New Roman" w:hAnsi="Times New Roman" w:cs="Times New Roman"/>
                      <w:color w:val="auto"/>
                      <w:sz w:val="21"/>
                      <w:szCs w:val="21"/>
                      <w:highlight w:val="none"/>
                      <w:vertAlign w:val="baseline"/>
                    </w:rPr>
                  </w:pPr>
                  <w:r>
                    <w:rPr>
                      <w:rFonts w:hint="eastAsia"/>
                      <w:color w:val="auto"/>
                      <w:position w:val="-4"/>
                      <w:sz w:val="21"/>
                      <w:szCs w:val="21"/>
                      <w:highlight w:val="none"/>
                      <w:vertAlign w:val="baseline"/>
                      <w:lang w:val="en-US" w:eastAsia="zh-CN"/>
                    </w:rPr>
                    <w:t>区域</w:t>
                  </w:r>
                </w:p>
              </w:tc>
              <w:tc>
                <w:tcPr>
                  <w:tcW w:w="1350" w:type="dxa"/>
                  <w:vAlign w:val="center"/>
                </w:tcPr>
                <w:p w14:paraId="3FFF7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挖方量（m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vertAlign w:val="baseline"/>
                      <w:lang w:val="en-US" w:eastAsia="zh-CN"/>
                    </w:rPr>
                    <w:t>）</w:t>
                  </w:r>
                </w:p>
              </w:tc>
              <w:tc>
                <w:tcPr>
                  <w:tcW w:w="2880" w:type="dxa"/>
                  <w:gridSpan w:val="3"/>
                  <w:vAlign w:val="center"/>
                </w:tcPr>
                <w:p w14:paraId="18BA3B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填方量（m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vertAlign w:val="baseline"/>
                      <w:lang w:val="en-US" w:eastAsia="zh-CN"/>
                    </w:rPr>
                    <w:t>）</w:t>
                  </w:r>
                </w:p>
              </w:tc>
              <w:tc>
                <w:tcPr>
                  <w:tcW w:w="2040" w:type="dxa"/>
                  <w:gridSpan w:val="2"/>
                  <w:vAlign w:val="center"/>
                </w:tcPr>
                <w:p w14:paraId="6906D6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借方量（m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vertAlign w:val="baseline"/>
                      <w:lang w:val="en-US" w:eastAsia="zh-CN"/>
                    </w:rPr>
                    <w:t>）</w:t>
                  </w:r>
                </w:p>
              </w:tc>
              <w:tc>
                <w:tcPr>
                  <w:tcW w:w="945" w:type="dxa"/>
                  <w:vMerge w:val="restart"/>
                  <w:vAlign w:val="center"/>
                </w:tcPr>
                <w:p w14:paraId="4B639E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弃方量（m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vertAlign w:val="baseline"/>
                      <w:lang w:val="en-US" w:eastAsia="zh-CN"/>
                    </w:rPr>
                    <w:t>）</w:t>
                  </w:r>
                </w:p>
              </w:tc>
            </w:tr>
            <w:tr w14:paraId="0ED7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232" w:type="dxa"/>
                  <w:vMerge w:val="continue"/>
                  <w:vAlign w:val="center"/>
                </w:tcPr>
                <w:p w14:paraId="71ED0F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highlight w:val="none"/>
                      <w:u w:val="none"/>
                      <w:lang w:val="en-US" w:eastAsia="zh-CN" w:bidi="ar"/>
                    </w:rPr>
                  </w:pPr>
                </w:p>
              </w:tc>
              <w:tc>
                <w:tcPr>
                  <w:tcW w:w="1350" w:type="dxa"/>
                  <w:vAlign w:val="center"/>
                </w:tcPr>
                <w:p w14:paraId="72E676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剥离</w:t>
                  </w:r>
                </w:p>
                <w:p w14:paraId="343490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工程</w:t>
                  </w:r>
                </w:p>
              </w:tc>
              <w:tc>
                <w:tcPr>
                  <w:tcW w:w="945" w:type="dxa"/>
                  <w:vAlign w:val="center"/>
                </w:tcPr>
                <w:p w14:paraId="548F97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场地</w:t>
                  </w:r>
                </w:p>
                <w:p w14:paraId="48DDB6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平整</w:t>
                  </w:r>
                </w:p>
              </w:tc>
              <w:tc>
                <w:tcPr>
                  <w:tcW w:w="915" w:type="dxa"/>
                  <w:vAlign w:val="center"/>
                </w:tcPr>
                <w:p w14:paraId="60B7DC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注浆</w:t>
                  </w:r>
                </w:p>
                <w:p w14:paraId="2A68FF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工程</w:t>
                  </w:r>
                </w:p>
              </w:tc>
              <w:tc>
                <w:tcPr>
                  <w:tcW w:w="1020" w:type="dxa"/>
                  <w:shd w:val="clear" w:color="auto" w:fill="auto"/>
                  <w:vAlign w:val="center"/>
                </w:tcPr>
                <w:p w14:paraId="7C1DB6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top"/>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覆盖</w:t>
                  </w:r>
                </w:p>
                <w:p w14:paraId="1B84BA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工程</w:t>
                  </w:r>
                </w:p>
              </w:tc>
              <w:tc>
                <w:tcPr>
                  <w:tcW w:w="1020" w:type="dxa"/>
                  <w:vAlign w:val="center"/>
                </w:tcPr>
                <w:p w14:paraId="34927F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注浆</w:t>
                  </w:r>
                </w:p>
                <w:p w14:paraId="31F6C8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工程</w:t>
                  </w:r>
                </w:p>
              </w:tc>
              <w:tc>
                <w:tcPr>
                  <w:tcW w:w="1020" w:type="dxa"/>
                  <w:vAlign w:val="center"/>
                </w:tcPr>
                <w:p w14:paraId="180B3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覆盖</w:t>
                  </w:r>
                </w:p>
                <w:p w14:paraId="7E3BF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工程</w:t>
                  </w:r>
                </w:p>
              </w:tc>
              <w:tc>
                <w:tcPr>
                  <w:tcW w:w="945" w:type="dxa"/>
                  <w:vMerge w:val="continue"/>
                  <w:vAlign w:val="center"/>
                </w:tcPr>
                <w:p w14:paraId="511BA4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highlight w:val="none"/>
                      <w:u w:val="none"/>
                      <w:lang w:val="en-US" w:eastAsia="zh-CN" w:bidi="ar"/>
                    </w:rPr>
                  </w:pPr>
                </w:p>
              </w:tc>
            </w:tr>
            <w:tr w14:paraId="2D0D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232" w:type="dxa"/>
                  <w:vAlign w:val="center"/>
                </w:tcPr>
                <w:p w14:paraId="64A1CD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1号子火区</w:t>
                  </w:r>
                </w:p>
              </w:tc>
              <w:tc>
                <w:tcPr>
                  <w:tcW w:w="1350" w:type="dxa"/>
                  <w:vAlign w:val="center"/>
                </w:tcPr>
                <w:p w14:paraId="0E04DF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20000</w:t>
                  </w:r>
                </w:p>
              </w:tc>
              <w:tc>
                <w:tcPr>
                  <w:tcW w:w="945" w:type="dxa"/>
                  <w:vAlign w:val="center"/>
                </w:tcPr>
                <w:p w14:paraId="76D4E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20000</w:t>
                  </w:r>
                </w:p>
              </w:tc>
              <w:tc>
                <w:tcPr>
                  <w:tcW w:w="915" w:type="dxa"/>
                  <w:vAlign w:val="center"/>
                </w:tcPr>
                <w:p w14:paraId="40A115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2730</w:t>
                  </w:r>
                </w:p>
              </w:tc>
              <w:tc>
                <w:tcPr>
                  <w:tcW w:w="1020" w:type="dxa"/>
                  <w:shd w:val="clear" w:color="auto" w:fill="auto"/>
                  <w:vAlign w:val="center"/>
                </w:tcPr>
                <w:p w14:paraId="23506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15640</w:t>
                  </w:r>
                </w:p>
              </w:tc>
              <w:tc>
                <w:tcPr>
                  <w:tcW w:w="1020" w:type="dxa"/>
                  <w:vAlign w:val="center"/>
                </w:tcPr>
                <w:p w14:paraId="46A2CF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2730</w:t>
                  </w:r>
                </w:p>
              </w:tc>
              <w:tc>
                <w:tcPr>
                  <w:tcW w:w="1020" w:type="dxa"/>
                  <w:vAlign w:val="center"/>
                </w:tcPr>
                <w:p w14:paraId="2BEC2E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15640</w:t>
                  </w:r>
                </w:p>
              </w:tc>
              <w:tc>
                <w:tcPr>
                  <w:tcW w:w="945" w:type="dxa"/>
                  <w:vAlign w:val="center"/>
                </w:tcPr>
                <w:p w14:paraId="0E51E4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w:t>
                  </w:r>
                </w:p>
              </w:tc>
            </w:tr>
            <w:tr w14:paraId="3ACC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14:paraId="70A962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2地子火区</w:t>
                  </w:r>
                </w:p>
              </w:tc>
              <w:tc>
                <w:tcPr>
                  <w:tcW w:w="1350" w:type="dxa"/>
                  <w:vAlign w:val="center"/>
                </w:tcPr>
                <w:p w14:paraId="7E1490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10000</w:t>
                  </w:r>
                </w:p>
              </w:tc>
              <w:tc>
                <w:tcPr>
                  <w:tcW w:w="945" w:type="dxa"/>
                  <w:vAlign w:val="center"/>
                </w:tcPr>
                <w:p w14:paraId="39C7FA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10000</w:t>
                  </w:r>
                </w:p>
              </w:tc>
              <w:tc>
                <w:tcPr>
                  <w:tcW w:w="915" w:type="dxa"/>
                  <w:vAlign w:val="center"/>
                </w:tcPr>
                <w:p w14:paraId="243A98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2988</w:t>
                  </w:r>
                </w:p>
              </w:tc>
              <w:tc>
                <w:tcPr>
                  <w:tcW w:w="1020" w:type="dxa"/>
                  <w:shd w:val="clear" w:color="auto" w:fill="auto"/>
                  <w:vAlign w:val="center"/>
                </w:tcPr>
                <w:p w14:paraId="6E829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7821</w:t>
                  </w:r>
                </w:p>
              </w:tc>
              <w:tc>
                <w:tcPr>
                  <w:tcW w:w="1020" w:type="dxa"/>
                  <w:vAlign w:val="center"/>
                </w:tcPr>
                <w:p w14:paraId="741AD6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2988</w:t>
                  </w:r>
                </w:p>
              </w:tc>
              <w:tc>
                <w:tcPr>
                  <w:tcW w:w="1020" w:type="dxa"/>
                  <w:vAlign w:val="center"/>
                </w:tcPr>
                <w:p w14:paraId="6EA3BE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7821</w:t>
                  </w:r>
                </w:p>
              </w:tc>
              <w:tc>
                <w:tcPr>
                  <w:tcW w:w="945" w:type="dxa"/>
                  <w:vAlign w:val="center"/>
                </w:tcPr>
                <w:p w14:paraId="1FF5F9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w:t>
                  </w:r>
                </w:p>
              </w:tc>
            </w:tr>
            <w:tr w14:paraId="569A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14:paraId="611E1A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3号子火区</w:t>
                  </w:r>
                </w:p>
              </w:tc>
              <w:tc>
                <w:tcPr>
                  <w:tcW w:w="1350" w:type="dxa"/>
                  <w:vAlign w:val="center"/>
                </w:tcPr>
                <w:p w14:paraId="02062D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p>
              </w:tc>
              <w:tc>
                <w:tcPr>
                  <w:tcW w:w="945" w:type="dxa"/>
                  <w:vAlign w:val="center"/>
                </w:tcPr>
                <w:p w14:paraId="18DE57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p>
              </w:tc>
              <w:tc>
                <w:tcPr>
                  <w:tcW w:w="915" w:type="dxa"/>
                  <w:vAlign w:val="center"/>
                </w:tcPr>
                <w:p w14:paraId="5D632C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788</w:t>
                  </w:r>
                </w:p>
              </w:tc>
              <w:tc>
                <w:tcPr>
                  <w:tcW w:w="1020" w:type="dxa"/>
                  <w:shd w:val="clear" w:color="auto" w:fill="auto"/>
                  <w:vAlign w:val="center"/>
                </w:tcPr>
                <w:p w14:paraId="752159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6539</w:t>
                  </w:r>
                </w:p>
              </w:tc>
              <w:tc>
                <w:tcPr>
                  <w:tcW w:w="1020" w:type="dxa"/>
                  <w:vAlign w:val="center"/>
                </w:tcPr>
                <w:p w14:paraId="0FF19B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788</w:t>
                  </w:r>
                </w:p>
              </w:tc>
              <w:tc>
                <w:tcPr>
                  <w:tcW w:w="1020" w:type="dxa"/>
                  <w:vAlign w:val="center"/>
                </w:tcPr>
                <w:p w14:paraId="7D6AC9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6539</w:t>
                  </w:r>
                </w:p>
              </w:tc>
              <w:tc>
                <w:tcPr>
                  <w:tcW w:w="945" w:type="dxa"/>
                  <w:vAlign w:val="center"/>
                </w:tcPr>
                <w:p w14:paraId="7FFF45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w:t>
                  </w:r>
                </w:p>
              </w:tc>
            </w:tr>
            <w:tr w14:paraId="04E1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14:paraId="051F8B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合计</w:t>
                  </w:r>
                </w:p>
              </w:tc>
              <w:tc>
                <w:tcPr>
                  <w:tcW w:w="1350" w:type="dxa"/>
                  <w:vAlign w:val="center"/>
                </w:tcPr>
                <w:p w14:paraId="737E69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30000</w:t>
                  </w:r>
                </w:p>
              </w:tc>
              <w:tc>
                <w:tcPr>
                  <w:tcW w:w="2880" w:type="dxa"/>
                  <w:gridSpan w:val="3"/>
                  <w:vAlign w:val="center"/>
                </w:tcPr>
                <w:p w14:paraId="424102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66506</w:t>
                  </w:r>
                </w:p>
              </w:tc>
              <w:tc>
                <w:tcPr>
                  <w:tcW w:w="2040" w:type="dxa"/>
                  <w:gridSpan w:val="2"/>
                  <w:vAlign w:val="center"/>
                </w:tcPr>
                <w:p w14:paraId="64F330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36506</w:t>
                  </w:r>
                </w:p>
              </w:tc>
              <w:tc>
                <w:tcPr>
                  <w:tcW w:w="945" w:type="dxa"/>
                  <w:vAlign w:val="center"/>
                </w:tcPr>
                <w:p w14:paraId="3B0EFB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w:t>
                  </w:r>
                </w:p>
              </w:tc>
            </w:tr>
          </w:tbl>
          <w:p w14:paraId="6F961F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cs="Times New Roman"/>
                <w:color w:val="auto"/>
                <w:sz w:val="24"/>
                <w:szCs w:val="24"/>
              </w:rPr>
            </w:pPr>
          </w:p>
          <w:p w14:paraId="39C631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cs="宋体"/>
                <w:color w:val="auto"/>
                <w:sz w:val="24"/>
                <w:szCs w:val="24"/>
                <w:lang w:val="en-US" w:eastAsia="zh-CN"/>
              </w:rPr>
            </w:pPr>
          </w:p>
        </w:tc>
      </w:tr>
      <w:tr w14:paraId="6B4A25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5" w:type="dxa"/>
            <w:noWrap w:val="0"/>
            <w:vAlign w:val="center"/>
          </w:tcPr>
          <w:p w14:paraId="33C3540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kern w:val="0"/>
                <w:szCs w:val="21"/>
              </w:rPr>
            </w:pPr>
            <w:r>
              <w:rPr>
                <w:rFonts w:hint="eastAsia" w:ascii="Times New Roman" w:hAnsi="Times New Roman" w:cs="宋体"/>
                <w:b/>
                <w:bCs/>
                <w:color w:val="auto"/>
                <w:kern w:val="0"/>
                <w:sz w:val="24"/>
                <w:szCs w:val="24"/>
              </w:rPr>
              <w:t>总平面及现场布置</w:t>
            </w:r>
          </w:p>
        </w:tc>
        <w:tc>
          <w:tcPr>
            <w:tcW w:w="8607" w:type="dxa"/>
            <w:noWrap w:val="0"/>
            <w:vAlign w:val="center"/>
          </w:tcPr>
          <w:p w14:paraId="76289A5D">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eastAsia="宋体" w:cs="Times New Roman"/>
                <w:b/>
                <w:bCs/>
                <w:color w:val="auto"/>
                <w:sz w:val="24"/>
                <w:highlight w:val="none"/>
                <w:lang w:val="en-US" w:eastAsia="zh-CN"/>
              </w:rPr>
            </w:pPr>
            <w:r>
              <w:rPr>
                <w:rFonts w:hint="eastAsia" w:cs="Times New Roman"/>
                <w:b/>
                <w:bCs/>
                <w:color w:val="auto"/>
                <w:sz w:val="24"/>
                <w:highlight w:val="none"/>
                <w:lang w:val="en-US" w:eastAsia="zh-CN"/>
              </w:rPr>
              <w:t>1、</w:t>
            </w:r>
            <w:r>
              <w:rPr>
                <w:rFonts w:hint="eastAsia" w:ascii="Times New Roman" w:hAnsi="Times New Roman" w:cs="Times New Roman"/>
                <w:b/>
                <w:bCs/>
                <w:color w:val="auto"/>
                <w:sz w:val="24"/>
                <w:highlight w:val="none"/>
              </w:rPr>
              <w:t>总平面</w:t>
            </w:r>
            <w:r>
              <w:rPr>
                <w:rFonts w:hint="eastAsia" w:cs="Times New Roman"/>
                <w:b/>
                <w:bCs/>
                <w:color w:val="auto"/>
                <w:sz w:val="24"/>
                <w:highlight w:val="none"/>
                <w:lang w:val="en-US" w:eastAsia="zh-CN"/>
              </w:rPr>
              <w:t>布置</w:t>
            </w:r>
          </w:p>
          <w:p w14:paraId="7D5A87F5">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color w:val="auto"/>
                <w:sz w:val="24"/>
                <w:szCs w:val="24"/>
                <w:u w:val="none"/>
                <w:shd w:val="clear" w:color="auto" w:fill="auto"/>
                <w:lang w:val="en-US" w:eastAsia="zh-CN"/>
              </w:rPr>
            </w:pPr>
            <w:r>
              <w:rPr>
                <w:rFonts w:hint="eastAsia" w:cs="宋体"/>
                <w:color w:val="auto"/>
                <w:sz w:val="24"/>
                <w:szCs w:val="24"/>
                <w:lang w:val="en-US" w:eastAsia="zh-CN"/>
              </w:rPr>
              <w:t>阜康西沙沟煤田火区灭火工程</w:t>
            </w:r>
            <w:r>
              <w:rPr>
                <w:rFonts w:hint="eastAsia" w:cs="Times New Roman"/>
                <w:color w:val="auto"/>
                <w:sz w:val="24"/>
                <w:szCs w:val="24"/>
                <w:u w:val="none"/>
                <w:lang w:val="en-US" w:eastAsia="zh-CN"/>
              </w:rPr>
              <w:t>位于新疆维吾尔自治区昌吉回族自治州阜康市甘河</w:t>
            </w:r>
            <w:r>
              <w:rPr>
                <w:rFonts w:hint="eastAsia" w:ascii="Times New Roman" w:hAnsi="Times New Roman" w:cs="Times New Roman"/>
                <w:color w:val="auto"/>
                <w:sz w:val="24"/>
                <w:szCs w:val="24"/>
                <w:u w:val="none"/>
                <w:shd w:val="clear" w:color="auto" w:fill="auto"/>
                <w:lang w:val="en-US" w:eastAsia="zh-CN"/>
              </w:rPr>
              <w:t>子镇西南</w:t>
            </w:r>
            <w:r>
              <w:rPr>
                <w:rFonts w:hint="eastAsia" w:cs="Times New Roman"/>
                <w:color w:val="auto"/>
                <w:sz w:val="24"/>
                <w:szCs w:val="24"/>
                <w:u w:val="none"/>
                <w:shd w:val="clear" w:color="auto" w:fill="auto"/>
                <w:lang w:val="en-US" w:eastAsia="zh-CN"/>
              </w:rPr>
              <w:t>3</w:t>
            </w:r>
            <w:r>
              <w:rPr>
                <w:rFonts w:hint="eastAsia" w:ascii="Times New Roman" w:hAnsi="Times New Roman" w:cs="Times New Roman"/>
                <w:color w:val="auto"/>
                <w:sz w:val="24"/>
                <w:szCs w:val="24"/>
                <w:u w:val="none"/>
                <w:shd w:val="clear" w:color="auto" w:fill="auto"/>
                <w:lang w:val="en-US" w:eastAsia="zh-CN"/>
              </w:rPr>
              <w:t>km处</w:t>
            </w:r>
            <w:r>
              <w:rPr>
                <w:rFonts w:hint="eastAsia" w:cs="Times New Roman"/>
                <w:color w:val="auto"/>
                <w:sz w:val="24"/>
                <w:szCs w:val="24"/>
                <w:u w:val="none"/>
                <w:shd w:val="clear" w:color="auto" w:fill="auto"/>
                <w:lang w:val="en-US" w:eastAsia="zh-CN"/>
              </w:rPr>
              <w:t>康龙煤矿</w:t>
            </w:r>
            <w:r>
              <w:rPr>
                <w:rFonts w:hint="eastAsia" w:ascii="Times New Roman" w:hAnsi="Times New Roman" w:cs="Times New Roman"/>
                <w:color w:val="auto"/>
                <w:sz w:val="24"/>
                <w:szCs w:val="24"/>
                <w:u w:val="none"/>
                <w:shd w:val="clear" w:color="auto" w:fill="auto"/>
                <w:lang w:val="en-US" w:eastAsia="zh-CN"/>
              </w:rPr>
              <w:t>，行政区划属阜康市管辖，</w:t>
            </w:r>
            <w:r>
              <w:rPr>
                <w:rFonts w:hint="eastAsia" w:cs="Times New Roman"/>
                <w:color w:val="auto"/>
                <w:sz w:val="24"/>
                <w:szCs w:val="24"/>
                <w:u w:val="none"/>
                <w:shd w:val="clear" w:color="auto" w:fill="auto"/>
                <w:lang w:val="en-US" w:eastAsia="zh-CN"/>
              </w:rPr>
              <w:t>包括3个火区的灭火治理，</w:t>
            </w:r>
          </w:p>
          <w:p w14:paraId="6F3DD709">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color w:val="auto"/>
                <w:spacing w:val="-1"/>
                <w:sz w:val="24"/>
                <w:szCs w:val="24"/>
                <w:lang w:val="en-US" w:eastAsia="zh-CN"/>
              </w:rPr>
            </w:pPr>
            <w:r>
              <w:rPr>
                <w:rFonts w:hint="eastAsia" w:ascii="Times New Roman" w:hAnsi="Times New Roman" w:cs="Times New Roman"/>
                <w:b/>
                <w:bCs/>
                <w:color w:val="auto"/>
                <w:sz w:val="24"/>
                <w:szCs w:val="24"/>
                <w:u w:val="none"/>
                <w:shd w:val="clear" w:color="auto" w:fill="auto"/>
                <w:lang w:val="en-US" w:eastAsia="zh-CN"/>
              </w:rPr>
              <w:t>火区：</w:t>
            </w:r>
            <w:r>
              <w:rPr>
                <w:rFonts w:hint="eastAsia" w:ascii="Times New Roman" w:hAnsi="Times New Roman" w:cs="Times New Roman"/>
                <w:color w:val="auto"/>
                <w:sz w:val="24"/>
                <w:szCs w:val="24"/>
                <w:u w:val="none"/>
                <w:shd w:val="clear" w:color="auto" w:fill="auto"/>
                <w:lang w:val="en-US" w:eastAsia="zh-CN"/>
              </w:rPr>
              <w:t>1号子火区</w:t>
            </w:r>
            <w:r>
              <w:rPr>
                <w:rFonts w:hint="eastAsia" w:cs="Times New Roman"/>
                <w:color w:val="auto"/>
                <w:sz w:val="24"/>
                <w:szCs w:val="24"/>
                <w:u w:val="none"/>
                <w:shd w:val="clear" w:color="auto" w:fill="auto"/>
                <w:lang w:val="en-US" w:eastAsia="zh-CN"/>
              </w:rPr>
              <w:t>面积8286</w:t>
            </w:r>
            <w:r>
              <w:rPr>
                <w:rFonts w:hint="eastAsia" w:cs="Times New Roman"/>
                <w:color w:val="auto"/>
                <w:sz w:val="24"/>
                <w:szCs w:val="24"/>
                <w:lang w:val="en-US" w:eastAsia="zh-CN"/>
              </w:rPr>
              <w:t>m</w:t>
            </w:r>
            <w:r>
              <w:rPr>
                <w:rFonts w:hint="eastAsia" w:cs="Times New Roman"/>
                <w:color w:val="auto"/>
                <w:sz w:val="24"/>
                <w:szCs w:val="24"/>
                <w:vertAlign w:val="superscript"/>
                <w:lang w:val="en-US" w:eastAsia="zh-CN"/>
              </w:rPr>
              <w:t>2</w:t>
            </w:r>
            <w:r>
              <w:rPr>
                <w:rFonts w:hint="eastAsia" w:cs="Times New Roman"/>
                <w:color w:val="auto"/>
                <w:sz w:val="24"/>
                <w:szCs w:val="24"/>
                <w:u w:val="none"/>
                <w:shd w:val="clear" w:color="auto" w:fill="auto"/>
                <w:lang w:val="en-US" w:eastAsia="zh-CN"/>
              </w:rPr>
              <w:t>，治理区范围面积为</w:t>
            </w:r>
            <w:r>
              <w:rPr>
                <w:rFonts w:hint="eastAsia" w:cs="Times New Roman"/>
                <w:color w:val="auto"/>
                <w:sz w:val="24"/>
                <w:szCs w:val="24"/>
                <w:lang w:val="en-US" w:eastAsia="zh-CN"/>
              </w:rPr>
              <w:t>30133m</w:t>
            </w:r>
            <w:r>
              <w:rPr>
                <w:rFonts w:hint="eastAsia" w:cs="Times New Roman"/>
                <w:color w:val="auto"/>
                <w:sz w:val="24"/>
                <w:szCs w:val="24"/>
                <w:vertAlign w:val="superscript"/>
                <w:lang w:val="en-US" w:eastAsia="zh-CN"/>
              </w:rPr>
              <w:t>2</w:t>
            </w:r>
            <w:r>
              <w:rPr>
                <w:rFonts w:hint="eastAsia" w:cs="Times New Roman"/>
                <w:color w:val="auto"/>
                <w:sz w:val="24"/>
                <w:szCs w:val="24"/>
                <w:u w:val="none"/>
                <w:shd w:val="clear" w:color="auto" w:fill="auto"/>
                <w:lang w:val="en-US" w:eastAsia="zh-CN"/>
              </w:rPr>
              <w:t>。</w:t>
            </w:r>
            <w:r>
              <w:rPr>
                <w:rFonts w:hint="eastAsia" w:ascii="Times New Roman" w:hAnsi="Times New Roman" w:cs="Times New Roman"/>
                <w:color w:val="auto"/>
                <w:sz w:val="24"/>
                <w:szCs w:val="24"/>
                <w:u w:val="none"/>
                <w:shd w:val="clear" w:color="auto" w:fill="auto"/>
                <w:lang w:val="en-US" w:eastAsia="zh-CN"/>
              </w:rPr>
              <w:t>2地子火区</w:t>
            </w:r>
            <w:r>
              <w:rPr>
                <w:rFonts w:hint="eastAsia" w:cs="Times New Roman"/>
                <w:color w:val="auto"/>
                <w:sz w:val="24"/>
                <w:szCs w:val="24"/>
                <w:u w:val="none"/>
                <w:shd w:val="clear" w:color="auto" w:fill="auto"/>
                <w:lang w:val="en-US" w:eastAsia="zh-CN"/>
              </w:rPr>
              <w:t>面积4143</w:t>
            </w:r>
            <w:r>
              <w:rPr>
                <w:rFonts w:hint="eastAsia" w:cs="Times New Roman"/>
                <w:color w:val="auto"/>
                <w:sz w:val="24"/>
                <w:szCs w:val="24"/>
                <w:lang w:val="en-US" w:eastAsia="zh-CN"/>
              </w:rPr>
              <w:t>m</w:t>
            </w:r>
            <w:r>
              <w:rPr>
                <w:rFonts w:hint="eastAsia" w:cs="Times New Roman"/>
                <w:color w:val="auto"/>
                <w:sz w:val="24"/>
                <w:szCs w:val="24"/>
                <w:vertAlign w:val="superscript"/>
                <w:lang w:val="en-US" w:eastAsia="zh-CN"/>
              </w:rPr>
              <w:t>2</w:t>
            </w:r>
            <w:r>
              <w:rPr>
                <w:rFonts w:hint="eastAsia" w:cs="Times New Roman"/>
                <w:color w:val="auto"/>
                <w:sz w:val="24"/>
                <w:szCs w:val="24"/>
                <w:u w:val="none"/>
                <w:shd w:val="clear" w:color="auto" w:fill="auto"/>
                <w:lang w:val="en-US" w:eastAsia="zh-CN"/>
              </w:rPr>
              <w:t>，</w:t>
            </w:r>
            <w:r>
              <w:rPr>
                <w:rFonts w:hint="eastAsia" w:cs="Times New Roman"/>
                <w:color w:val="auto"/>
                <w:sz w:val="24"/>
                <w:szCs w:val="24"/>
                <w:lang w:val="en-US" w:eastAsia="zh-CN"/>
              </w:rPr>
              <w:t>治理区范围面积为17055m</w:t>
            </w:r>
            <w:r>
              <w:rPr>
                <w:rFonts w:hint="eastAsia" w:cs="Times New Roman"/>
                <w:color w:val="auto"/>
                <w:sz w:val="24"/>
                <w:szCs w:val="24"/>
                <w:vertAlign w:val="superscript"/>
                <w:lang w:val="en-US" w:eastAsia="zh-CN"/>
              </w:rPr>
              <w:t>2</w:t>
            </w:r>
            <w:r>
              <w:rPr>
                <w:rFonts w:hint="eastAsia" w:cs="Times New Roman"/>
                <w:color w:val="auto"/>
                <w:sz w:val="24"/>
                <w:szCs w:val="24"/>
                <w:u w:val="none"/>
                <w:shd w:val="clear" w:color="auto" w:fill="auto"/>
                <w:lang w:eastAsia="zh-CN"/>
              </w:rPr>
              <w:t>。</w:t>
            </w:r>
            <w:r>
              <w:rPr>
                <w:rFonts w:hint="eastAsia" w:ascii="Times New Roman" w:hAnsi="Times New Roman" w:cs="Times New Roman"/>
                <w:color w:val="auto"/>
                <w:sz w:val="24"/>
                <w:szCs w:val="24"/>
                <w:u w:val="none"/>
                <w:shd w:val="clear" w:color="auto" w:fill="auto"/>
                <w:lang w:val="en-US" w:eastAsia="zh-CN"/>
              </w:rPr>
              <w:t>3号子火区</w:t>
            </w:r>
            <w:r>
              <w:rPr>
                <w:rFonts w:hint="eastAsia" w:cs="Times New Roman"/>
                <w:color w:val="auto"/>
                <w:sz w:val="24"/>
                <w:szCs w:val="24"/>
                <w:u w:val="none"/>
                <w:shd w:val="clear" w:color="auto" w:fill="auto"/>
                <w:lang w:val="en-US" w:eastAsia="zh-CN"/>
              </w:rPr>
              <w:t>面积3457</w:t>
            </w:r>
            <w:r>
              <w:rPr>
                <w:rFonts w:hint="eastAsia" w:cs="Times New Roman"/>
                <w:color w:val="auto"/>
                <w:sz w:val="24"/>
                <w:szCs w:val="24"/>
                <w:lang w:val="en-US" w:eastAsia="zh-CN"/>
              </w:rPr>
              <w:t>m</w:t>
            </w:r>
            <w:r>
              <w:rPr>
                <w:rFonts w:hint="eastAsia" w:cs="Times New Roman"/>
                <w:color w:val="auto"/>
                <w:sz w:val="24"/>
                <w:szCs w:val="24"/>
                <w:vertAlign w:val="superscript"/>
                <w:lang w:val="en-US" w:eastAsia="zh-CN"/>
              </w:rPr>
              <w:t>2</w:t>
            </w:r>
            <w:r>
              <w:rPr>
                <w:rFonts w:hint="eastAsia" w:cs="Times New Roman"/>
                <w:color w:val="auto"/>
                <w:sz w:val="24"/>
                <w:szCs w:val="24"/>
                <w:u w:val="none"/>
                <w:shd w:val="clear" w:color="auto" w:fill="auto"/>
                <w:lang w:val="en-US" w:eastAsia="zh-CN"/>
              </w:rPr>
              <w:t>，</w:t>
            </w:r>
            <w:r>
              <w:rPr>
                <w:rFonts w:hint="eastAsia" w:cs="Times New Roman"/>
                <w:color w:val="auto"/>
                <w:sz w:val="24"/>
                <w:szCs w:val="24"/>
                <w:lang w:val="en-US" w:eastAsia="zh-CN"/>
              </w:rPr>
              <w:t>治理区范围面积为19776m</w:t>
            </w:r>
            <w:r>
              <w:rPr>
                <w:rFonts w:hint="eastAsia" w:cs="Times New Roman"/>
                <w:color w:val="auto"/>
                <w:sz w:val="24"/>
                <w:szCs w:val="24"/>
                <w:vertAlign w:val="superscript"/>
                <w:lang w:val="en-US" w:eastAsia="zh-CN"/>
              </w:rPr>
              <w:t>2</w:t>
            </w:r>
            <w:r>
              <w:rPr>
                <w:rFonts w:hint="eastAsia" w:cs="Times New Roman"/>
                <w:color w:val="auto"/>
                <w:sz w:val="24"/>
                <w:szCs w:val="24"/>
                <w:u w:val="none"/>
                <w:shd w:val="clear" w:color="auto" w:fill="auto"/>
                <w:lang w:eastAsia="zh-CN"/>
              </w:rPr>
              <w:t>。</w:t>
            </w:r>
            <w:r>
              <w:rPr>
                <w:rFonts w:hint="eastAsia" w:cs="Times New Roman"/>
                <w:color w:val="auto"/>
                <w:spacing w:val="-1"/>
                <w:sz w:val="24"/>
                <w:szCs w:val="24"/>
                <w:lang w:val="en-US" w:eastAsia="zh-CN"/>
              </w:rPr>
              <w:t>治理实施过程主要包括剥离工程、钻探工程、注水工程、注浆工程、覆盖工程等。</w:t>
            </w:r>
          </w:p>
          <w:p w14:paraId="34A336F7">
            <w:pPr>
              <w:keepNext w:val="0"/>
              <w:keepLines w:val="0"/>
              <w:suppressLineNumbers w:val="0"/>
              <w:adjustRightInd w:val="0"/>
              <w:snapToGrid w:val="0"/>
              <w:spacing w:before="0" w:beforeAutospacing="0" w:after="0" w:afterAutospacing="0" w:line="360" w:lineRule="auto"/>
              <w:ind w:left="0" w:right="0" w:firstLine="470" w:firstLineChars="200"/>
              <w:rPr>
                <w:rFonts w:hint="default" w:ascii="Times New Roman" w:hAnsi="Times New Roman" w:eastAsia="宋体" w:cs="Times New Roman"/>
                <w:color w:val="auto"/>
                <w:spacing w:val="-1"/>
                <w:sz w:val="24"/>
                <w:szCs w:val="24"/>
                <w:highlight w:val="yellow"/>
              </w:rPr>
            </w:pPr>
            <w:r>
              <w:rPr>
                <w:rFonts w:hint="default"/>
                <w:b/>
                <w:bCs/>
                <w:spacing w:val="-3"/>
                <w:sz w:val="24"/>
                <w:szCs w:val="24"/>
                <w:lang w:val="en-US" w:eastAsia="zh-CN"/>
              </w:rPr>
              <w:t>土源</w:t>
            </w:r>
            <w:r>
              <w:rPr>
                <w:rFonts w:hint="eastAsia"/>
                <w:b/>
                <w:bCs/>
                <w:spacing w:val="-3"/>
                <w:sz w:val="24"/>
                <w:szCs w:val="24"/>
                <w:lang w:val="en-US" w:eastAsia="zh-CN"/>
              </w:rPr>
              <w:t>：</w:t>
            </w:r>
            <w:r>
              <w:rPr>
                <w:rFonts w:hint="default"/>
                <w:spacing w:val="-3"/>
                <w:sz w:val="24"/>
                <w:szCs w:val="24"/>
                <w:lang w:val="en-US" w:eastAsia="zh-CN"/>
              </w:rPr>
              <w:t>地位于1号子火区东南方，距1号子火区运距约600m，距2地子火区运距约1200m，距3号子火区运距约1500m 。该处黄土不含可燃及助燃材料，直径不大于2mm ，含砂量适中， 高差2-5m，面积</w:t>
            </w:r>
            <w:r>
              <w:rPr>
                <w:rFonts w:hint="eastAsia"/>
                <w:spacing w:val="-3"/>
                <w:sz w:val="24"/>
                <w:szCs w:val="24"/>
                <w:lang w:val="en-US" w:eastAsia="zh-CN"/>
              </w:rPr>
              <w:t>17230</w:t>
            </w:r>
            <w:r>
              <w:rPr>
                <w:rFonts w:hint="default"/>
                <w:spacing w:val="-3"/>
                <w:sz w:val="24"/>
                <w:szCs w:val="24"/>
                <w:lang w:val="en-US" w:eastAsia="zh-CN"/>
              </w:rPr>
              <w:t>m</w:t>
            </w:r>
            <w:r>
              <w:rPr>
                <w:rFonts w:hint="default"/>
                <w:spacing w:val="-3"/>
                <w:sz w:val="24"/>
                <w:szCs w:val="24"/>
                <w:vertAlign w:val="superscript"/>
                <w:lang w:val="en-US" w:eastAsia="zh-CN"/>
              </w:rPr>
              <w:t>2</w:t>
            </w:r>
            <w:r>
              <w:rPr>
                <w:rFonts w:hint="default"/>
                <w:spacing w:val="-3"/>
                <w:sz w:val="24"/>
                <w:szCs w:val="24"/>
                <w:lang w:val="en-US" w:eastAsia="zh-CN"/>
              </w:rPr>
              <w:t>，土资源充足，可满足灭火需求。</w:t>
            </w:r>
          </w:p>
          <w:p w14:paraId="522F4B8A">
            <w:pPr>
              <w:keepNext w:val="0"/>
              <w:keepLines w:val="0"/>
              <w:suppressLineNumbers w:val="0"/>
              <w:adjustRightInd w:val="0"/>
              <w:snapToGrid w:val="0"/>
              <w:spacing w:before="0" w:beforeAutospacing="0" w:after="0" w:afterAutospacing="0" w:line="360" w:lineRule="auto"/>
              <w:ind w:left="0" w:right="0" w:firstLine="478" w:firstLineChars="200"/>
              <w:rPr>
                <w:rFonts w:hint="default" w:ascii="Times New Roman" w:hAnsi="Times New Roman" w:eastAsia="宋体" w:cs="Times New Roman"/>
                <w:color w:val="auto"/>
                <w:spacing w:val="-1"/>
                <w:sz w:val="24"/>
                <w:szCs w:val="24"/>
                <w:highlight w:val="none"/>
              </w:rPr>
            </w:pPr>
            <w:r>
              <w:rPr>
                <w:rFonts w:hint="eastAsia" w:ascii="Times New Roman" w:hAnsi="Times New Roman" w:eastAsia="宋体" w:cs="Times New Roman"/>
                <w:b/>
                <w:bCs/>
                <w:color w:val="auto"/>
                <w:spacing w:val="-1"/>
                <w:kern w:val="2"/>
                <w:sz w:val="24"/>
                <w:szCs w:val="24"/>
                <w:highlight w:val="none"/>
                <w:lang w:val="en-US" w:eastAsia="zh-CN" w:bidi="ar-SA"/>
              </w:rPr>
              <w:t>水源：</w:t>
            </w:r>
            <w:r>
              <w:rPr>
                <w:rFonts w:hint="default" w:ascii="Times New Roman" w:hAnsi="Times New Roman" w:eastAsia="宋体" w:cs="Times New Roman"/>
                <w:color w:val="auto"/>
                <w:spacing w:val="-1"/>
                <w:kern w:val="2"/>
                <w:sz w:val="24"/>
                <w:szCs w:val="24"/>
                <w:highlight w:val="none"/>
                <w:lang w:val="en-US" w:eastAsia="zh-CN" w:bidi="ar-SA"/>
              </w:rPr>
              <w:t>康龙煤矿</w:t>
            </w:r>
            <w:r>
              <w:rPr>
                <w:rFonts w:hint="default"/>
                <w:spacing w:val="-4"/>
                <w:sz w:val="24"/>
                <w:szCs w:val="24"/>
                <w:highlight w:val="none"/>
              </w:rPr>
              <w:t>矿界范围外西北方有一处水坑，水深约30m</w:t>
            </w:r>
            <w:r>
              <w:rPr>
                <w:rFonts w:hint="eastAsia"/>
                <w:spacing w:val="-4"/>
                <w:sz w:val="24"/>
                <w:szCs w:val="24"/>
                <w:highlight w:val="none"/>
                <w:lang w:eastAsia="zh-CN"/>
              </w:rPr>
              <w:t>，</w:t>
            </w:r>
            <w:r>
              <w:rPr>
                <w:rFonts w:hint="default"/>
                <w:spacing w:val="-4"/>
                <w:sz w:val="24"/>
                <w:szCs w:val="24"/>
                <w:highlight w:val="none"/>
              </w:rPr>
              <w:t>长度约为500m，宽为40m，总水量约为200000m</w:t>
            </w:r>
            <w:r>
              <w:rPr>
                <w:rFonts w:hint="eastAsia"/>
                <w:spacing w:val="-4"/>
                <w:sz w:val="24"/>
                <w:szCs w:val="24"/>
                <w:highlight w:val="none"/>
                <w:vertAlign w:val="superscript"/>
                <w:lang w:val="en-US" w:eastAsia="zh-CN"/>
              </w:rPr>
              <w:t>3</w:t>
            </w:r>
            <w:r>
              <w:rPr>
                <w:rFonts w:hint="eastAsia"/>
                <w:spacing w:val="-4"/>
                <w:sz w:val="24"/>
                <w:szCs w:val="24"/>
                <w:highlight w:val="none"/>
                <w:lang w:eastAsia="zh-CN"/>
              </w:rPr>
              <w:t>，</w:t>
            </w:r>
            <w:r>
              <w:rPr>
                <w:rFonts w:hint="default"/>
                <w:spacing w:val="-4"/>
                <w:sz w:val="24"/>
                <w:szCs w:val="24"/>
                <w:highlight w:val="none"/>
              </w:rPr>
              <w:t>水源供给充足，水量能满足灭火用水需求，水源可靠。</w:t>
            </w:r>
            <w:r>
              <w:rPr>
                <w:rFonts w:hint="eastAsia"/>
                <w:spacing w:val="-4"/>
                <w:sz w:val="24"/>
                <w:szCs w:val="24"/>
                <w:highlight w:val="none"/>
                <w:lang w:val="en-US" w:eastAsia="zh-CN"/>
              </w:rPr>
              <w:t>生活供水依托</w:t>
            </w:r>
            <w:r>
              <w:rPr>
                <w:rFonts w:hint="eastAsia" w:cs="Times New Roman"/>
                <w:color w:val="auto"/>
                <w:kern w:val="0"/>
                <w:sz w:val="24"/>
                <w:szCs w:val="24"/>
                <w:highlight w:val="none"/>
                <w:lang w:val="en-US" w:eastAsia="zh-CN"/>
              </w:rPr>
              <w:t>康龙煤矿</w:t>
            </w:r>
            <w:r>
              <w:rPr>
                <w:rFonts w:hint="eastAsia" w:cs="Times New Roman"/>
                <w:color w:val="auto"/>
                <w:spacing w:val="-1"/>
                <w:kern w:val="2"/>
                <w:sz w:val="24"/>
                <w:szCs w:val="24"/>
                <w:highlight w:val="none"/>
                <w:lang w:val="en-US" w:eastAsia="zh-CN" w:bidi="ar-SA"/>
              </w:rPr>
              <w:t>行政福利生活场地</w:t>
            </w:r>
            <w:r>
              <w:rPr>
                <w:rFonts w:hint="eastAsia" w:cs="Times New Roman"/>
                <w:color w:val="auto"/>
                <w:kern w:val="0"/>
                <w:sz w:val="24"/>
                <w:szCs w:val="24"/>
                <w:highlight w:val="none"/>
                <w:lang w:val="en-US" w:eastAsia="zh-CN"/>
              </w:rPr>
              <w:t>已建生活供水系统，生活用水取自甘河子镇自来水供水系统，通过输水管道送至矿区，储存于600m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蓄水池，由崩加压通过管道供给矿区地面生活用水。</w:t>
            </w:r>
          </w:p>
          <w:p w14:paraId="0E70E28C">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cs="Times New Roman"/>
                <w:color w:val="auto"/>
                <w:sz w:val="24"/>
                <w:szCs w:val="24"/>
                <w:highlight w:val="none"/>
                <w:lang w:val="en-US" w:eastAsia="zh-CN"/>
              </w:rPr>
            </w:pPr>
            <w:r>
              <w:rPr>
                <w:rFonts w:hint="eastAsia" w:cs="Times New Roman"/>
                <w:b/>
                <w:bCs/>
                <w:color w:val="auto"/>
                <w:sz w:val="24"/>
                <w:szCs w:val="24"/>
                <w:highlight w:val="none"/>
                <w:lang w:val="en-US" w:eastAsia="zh-CN"/>
              </w:rPr>
              <w:t>办公生活：</w:t>
            </w:r>
            <w:r>
              <w:rPr>
                <w:rFonts w:hint="eastAsia" w:cs="Times New Roman"/>
                <w:color w:val="auto"/>
                <w:kern w:val="0"/>
                <w:sz w:val="24"/>
                <w:szCs w:val="24"/>
                <w:highlight w:val="none"/>
                <w:lang w:val="en-US" w:eastAsia="zh-CN"/>
              </w:rPr>
              <w:t>依托</w:t>
            </w:r>
            <w:r>
              <w:rPr>
                <w:rFonts w:hint="default" w:ascii="Times New Roman" w:hAnsi="Times New Roman" w:eastAsia="宋体" w:cs="Times New Roman"/>
                <w:color w:val="auto"/>
                <w:spacing w:val="-1"/>
                <w:kern w:val="2"/>
                <w:sz w:val="24"/>
                <w:szCs w:val="24"/>
                <w:highlight w:val="none"/>
                <w:lang w:val="en-US" w:eastAsia="zh-CN" w:bidi="ar-SA"/>
              </w:rPr>
              <w:t>康龙煤矿</w:t>
            </w:r>
            <w:r>
              <w:rPr>
                <w:rFonts w:hint="eastAsia" w:cs="Times New Roman"/>
                <w:color w:val="auto"/>
                <w:spacing w:val="-1"/>
                <w:kern w:val="2"/>
                <w:sz w:val="24"/>
                <w:szCs w:val="24"/>
                <w:highlight w:val="none"/>
                <w:lang w:val="en-US" w:eastAsia="zh-CN" w:bidi="ar-SA"/>
              </w:rPr>
              <w:t>行政福利生活场地</w:t>
            </w:r>
            <w:r>
              <w:rPr>
                <w:rFonts w:hint="eastAsia" w:cs="Times New Roman"/>
                <w:color w:val="auto"/>
                <w:kern w:val="0"/>
                <w:sz w:val="24"/>
                <w:szCs w:val="24"/>
                <w:highlight w:val="none"/>
                <w:lang w:val="en-US" w:eastAsia="zh-CN"/>
              </w:rPr>
              <w:t>。</w:t>
            </w:r>
          </w:p>
          <w:p w14:paraId="3787135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项目总平面布置见</w:t>
            </w:r>
            <w:r>
              <w:rPr>
                <w:rFonts w:hint="eastAsia" w:ascii="Times New Roman" w:hAnsi="Times New Roman" w:cs="Times New Roman"/>
                <w:b/>
                <w:bCs/>
                <w:color w:val="auto"/>
                <w:sz w:val="24"/>
                <w:szCs w:val="24"/>
                <w:highlight w:val="none"/>
                <w:lang w:val="en-US" w:eastAsia="zh-CN"/>
              </w:rPr>
              <w:t>附图4</w:t>
            </w:r>
            <w:r>
              <w:rPr>
                <w:rFonts w:hint="eastAsia" w:ascii="Times New Roman" w:hAnsi="Times New Roman" w:cs="Times New Roman"/>
                <w:color w:val="auto"/>
                <w:sz w:val="24"/>
                <w:szCs w:val="24"/>
                <w:highlight w:val="none"/>
                <w:lang w:val="en-US" w:eastAsia="zh-CN"/>
              </w:rPr>
              <w:t>。</w:t>
            </w:r>
          </w:p>
          <w:p w14:paraId="298347CA">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auto"/>
                <w:sz w:val="24"/>
                <w:lang w:val="en-US" w:eastAsia="zh-CN"/>
              </w:rPr>
            </w:pPr>
            <w:r>
              <w:rPr>
                <w:rFonts w:hint="eastAsia" w:eastAsia="宋体" w:cs="Times New Roman"/>
                <w:b/>
                <w:bCs/>
                <w:color w:val="auto"/>
                <w:sz w:val="24"/>
                <w:lang w:val="en-US" w:eastAsia="zh-CN"/>
              </w:rPr>
              <w:t>2、</w:t>
            </w:r>
            <w:r>
              <w:rPr>
                <w:rFonts w:hint="eastAsia" w:ascii="Times New Roman" w:hAnsi="Times New Roman" w:eastAsia="宋体" w:cs="Times New Roman"/>
                <w:b/>
                <w:bCs/>
                <w:color w:val="auto"/>
                <w:sz w:val="24"/>
                <w:lang w:val="en-US" w:eastAsia="zh-CN"/>
              </w:rPr>
              <w:t>项目占地</w:t>
            </w:r>
          </w:p>
          <w:p w14:paraId="6993231B">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宋体"/>
                <w:b/>
                <w:bCs/>
                <w:color w:val="auto"/>
                <w:szCs w:val="21"/>
              </w:rPr>
            </w:pPr>
            <w:r>
              <w:rPr>
                <w:rFonts w:hint="eastAsia" w:ascii="Times New Roman" w:hAnsi="Times New Roman" w:cs="Times New Roman"/>
                <w:color w:val="auto"/>
                <w:sz w:val="24"/>
                <w:szCs w:val="24"/>
                <w:lang w:val="en-US" w:eastAsia="zh-CN"/>
              </w:rPr>
              <w:t>本</w:t>
            </w:r>
            <w:r>
              <w:rPr>
                <w:rFonts w:hint="eastAsia" w:ascii="Times New Roman" w:hAnsi="Times New Roman" w:cs="Times New Roman"/>
                <w:color w:val="auto"/>
                <w:sz w:val="24"/>
                <w:szCs w:val="24"/>
              </w:rPr>
              <w:t>项目</w:t>
            </w:r>
            <w:r>
              <w:rPr>
                <w:rFonts w:hint="eastAsia" w:ascii="Times New Roman" w:hAnsi="Times New Roman" w:cs="Times New Roman"/>
                <w:color w:val="auto"/>
                <w:sz w:val="24"/>
                <w:szCs w:val="24"/>
                <w:lang w:val="en-US" w:eastAsia="zh-CN"/>
              </w:rPr>
              <w:t>无永久占地，全部为临时占地共计</w:t>
            </w:r>
            <w:r>
              <w:rPr>
                <w:rFonts w:hint="eastAsia" w:cs="Times New Roman"/>
                <w:color w:val="auto"/>
                <w:sz w:val="24"/>
                <w:szCs w:val="24"/>
                <w:lang w:val="en-US" w:eastAsia="zh-CN"/>
              </w:rPr>
              <w:t>84194</w:t>
            </w:r>
            <w:r>
              <w:rPr>
                <w:rFonts w:hint="eastAsia" w:ascii="Times New Roman" w:hAnsi="Times New Roman" w:cs="Times New Roman"/>
                <w:color w:val="auto"/>
                <w:kern w:val="0"/>
                <w:sz w:val="24"/>
                <w:szCs w:val="24"/>
              </w:rPr>
              <w:t>m</w:t>
            </w:r>
            <w:r>
              <w:rPr>
                <w:rFonts w:hint="eastAsia" w:cs="Times New Roman"/>
                <w:color w:val="auto"/>
                <w:kern w:val="0"/>
                <w:sz w:val="24"/>
                <w:szCs w:val="24"/>
                <w:vertAlign w:val="superscript"/>
                <w:lang w:val="en-US" w:eastAsia="zh-CN"/>
              </w:rPr>
              <w:t>2</w:t>
            </w:r>
            <w:r>
              <w:rPr>
                <w:rFonts w:hint="eastAsia" w:ascii="Times New Roman" w:hAnsi="Times New Roman" w:cs="Times New Roman"/>
                <w:color w:val="auto"/>
                <w:sz w:val="24"/>
                <w:szCs w:val="24"/>
                <w:lang w:val="en-US" w:eastAsia="zh-CN"/>
              </w:rPr>
              <w:t>，占地类型为工矿用地和天然牧草地</w:t>
            </w:r>
            <w:r>
              <w:rPr>
                <w:rFonts w:hint="eastAsia" w:ascii="Times New Roman" w:hAnsi="Times New Roman" w:cs="Times New Roman"/>
                <w:color w:val="auto"/>
                <w:sz w:val="24"/>
                <w:szCs w:val="24"/>
              </w:rPr>
              <w:t>。</w:t>
            </w:r>
          </w:p>
          <w:p w14:paraId="1515A2D9">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cs="Times New Roman"/>
                <w:b/>
                <w:bCs/>
                <w:color w:val="auto"/>
                <w:sz w:val="24"/>
              </w:rPr>
            </w:pPr>
            <w:r>
              <w:rPr>
                <w:rFonts w:hint="eastAsia" w:ascii="Times New Roman" w:hAnsi="Times New Roman" w:cs="宋体"/>
                <w:b/>
                <w:bCs/>
                <w:color w:val="auto"/>
                <w:szCs w:val="21"/>
              </w:rPr>
              <w:t>表</w:t>
            </w:r>
            <w:r>
              <w:rPr>
                <w:rFonts w:hint="eastAsia" w:ascii="Times New Roman" w:hAnsi="Times New Roman" w:cs="宋体"/>
                <w:b/>
                <w:bCs/>
                <w:color w:val="auto"/>
                <w:szCs w:val="21"/>
                <w:lang w:val="en-US" w:eastAsia="zh-CN"/>
              </w:rPr>
              <w:t>2-</w:t>
            </w:r>
            <w:r>
              <w:rPr>
                <w:rFonts w:hint="eastAsia" w:cs="宋体"/>
                <w:b/>
                <w:bCs/>
                <w:color w:val="auto"/>
                <w:szCs w:val="21"/>
                <w:lang w:val="en-US" w:eastAsia="zh-CN"/>
              </w:rPr>
              <w:t>10</w:t>
            </w:r>
            <w:r>
              <w:rPr>
                <w:rFonts w:hint="eastAsia" w:ascii="Times New Roman" w:hAnsi="Times New Roman" w:cs="宋体"/>
                <w:b/>
                <w:bCs/>
                <w:color w:val="auto"/>
                <w:szCs w:val="21"/>
              </w:rPr>
              <w:t xml:space="preserve">  项目</w:t>
            </w:r>
            <w:r>
              <w:rPr>
                <w:rFonts w:hint="eastAsia" w:ascii="Times New Roman" w:hAnsi="Times New Roman" w:cs="宋体"/>
                <w:b/>
                <w:bCs/>
                <w:color w:val="auto"/>
                <w:szCs w:val="21"/>
                <w:lang w:val="en-US" w:eastAsia="zh-CN"/>
              </w:rPr>
              <w:t>临时占地</w:t>
            </w:r>
            <w:r>
              <w:rPr>
                <w:rFonts w:hint="eastAsia" w:ascii="Times New Roman" w:hAnsi="Times New Roman" w:cs="宋体"/>
                <w:b/>
                <w:bCs/>
                <w:color w:val="auto"/>
                <w:szCs w:val="21"/>
              </w:rPr>
              <w:t>一览表</w:t>
            </w:r>
          </w:p>
          <w:tbl>
            <w:tblPr>
              <w:tblStyle w:val="27"/>
              <w:tblW w:w="8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3395"/>
              <w:gridCol w:w="1729"/>
              <w:gridCol w:w="2048"/>
            </w:tblGrid>
            <w:tr w14:paraId="7F5E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18" w:type="dxa"/>
                  <w:noWrap w:val="0"/>
                  <w:vAlign w:val="center"/>
                </w:tcPr>
                <w:p w14:paraId="37E9BD0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序号</w:t>
                  </w:r>
                </w:p>
              </w:tc>
              <w:tc>
                <w:tcPr>
                  <w:tcW w:w="3395" w:type="dxa"/>
                  <w:noWrap w:val="0"/>
                  <w:vAlign w:val="center"/>
                </w:tcPr>
                <w:p w14:paraId="472B562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类别</w:t>
                  </w:r>
                </w:p>
              </w:tc>
              <w:tc>
                <w:tcPr>
                  <w:tcW w:w="1729" w:type="dxa"/>
                  <w:noWrap w:val="0"/>
                  <w:vAlign w:val="top"/>
                </w:tcPr>
                <w:p w14:paraId="7165EEB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面积（</w:t>
                  </w:r>
                  <w:r>
                    <w:rPr>
                      <w:rFonts w:hint="eastAsia" w:ascii="Times New Roman" w:hAnsi="Times New Roman" w:cs="Times New Roman"/>
                      <w:color w:val="auto"/>
                      <w:kern w:val="0"/>
                      <w:sz w:val="21"/>
                      <w:szCs w:val="21"/>
                    </w:rPr>
                    <w:t>m</w:t>
                  </w:r>
                  <w:r>
                    <w:rPr>
                      <w:rFonts w:hint="eastAsia" w:cs="Times New Roman"/>
                      <w:color w:val="auto"/>
                      <w:kern w:val="0"/>
                      <w:sz w:val="21"/>
                      <w:szCs w:val="21"/>
                      <w:vertAlign w:val="superscript"/>
                      <w:lang w:val="en-US" w:eastAsia="zh-CN"/>
                    </w:rPr>
                    <w:t>2</w:t>
                  </w:r>
                  <w:r>
                    <w:rPr>
                      <w:rFonts w:hint="eastAsia" w:ascii="Times New Roman" w:hAnsi="Times New Roman" w:eastAsia="宋体" w:cs="Times New Roman"/>
                      <w:color w:val="auto"/>
                      <w:sz w:val="21"/>
                      <w:szCs w:val="21"/>
                      <w:lang w:val="en-US" w:eastAsia="zh-CN"/>
                    </w:rPr>
                    <w:t>）</w:t>
                  </w:r>
                </w:p>
              </w:tc>
              <w:tc>
                <w:tcPr>
                  <w:tcW w:w="2048" w:type="dxa"/>
                  <w:noWrap w:val="0"/>
                  <w:vAlign w:val="top"/>
                </w:tcPr>
                <w:p w14:paraId="373024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占地类型</w:t>
                  </w:r>
                </w:p>
              </w:tc>
            </w:tr>
            <w:tr w14:paraId="3BDB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 w:type="dxa"/>
                  <w:noWrap w:val="0"/>
                  <w:vAlign w:val="center"/>
                </w:tcPr>
                <w:p w14:paraId="46FC513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w:t>
                  </w:r>
                </w:p>
              </w:tc>
              <w:tc>
                <w:tcPr>
                  <w:tcW w:w="3395" w:type="dxa"/>
                  <w:noWrap w:val="0"/>
                  <w:vAlign w:val="center"/>
                </w:tcPr>
                <w:p w14:paraId="30ADE31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1号子火区</w:t>
                  </w:r>
                </w:p>
              </w:tc>
              <w:tc>
                <w:tcPr>
                  <w:tcW w:w="1729" w:type="dxa"/>
                  <w:noWrap w:val="0"/>
                  <w:vAlign w:val="center"/>
                </w:tcPr>
                <w:p w14:paraId="6309E64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301</w:t>
                  </w:r>
                  <w:r>
                    <w:rPr>
                      <w:rFonts w:hint="eastAsia" w:cs="Times New Roman"/>
                      <w:color w:val="auto"/>
                      <w:kern w:val="2"/>
                      <w:sz w:val="21"/>
                      <w:szCs w:val="21"/>
                      <w:lang w:val="en-US" w:eastAsia="zh-CN" w:bidi="ar-SA"/>
                    </w:rPr>
                    <w:t>33</w:t>
                  </w:r>
                </w:p>
              </w:tc>
              <w:tc>
                <w:tcPr>
                  <w:tcW w:w="2048" w:type="dxa"/>
                  <w:noWrap w:val="0"/>
                  <w:vAlign w:val="top"/>
                </w:tcPr>
                <w:p w14:paraId="69D668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工矿用地</w:t>
                  </w:r>
                </w:p>
              </w:tc>
            </w:tr>
            <w:tr w14:paraId="5936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18" w:type="dxa"/>
                  <w:vMerge w:val="restart"/>
                  <w:noWrap w:val="0"/>
                  <w:vAlign w:val="center"/>
                </w:tcPr>
                <w:p w14:paraId="6E37629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w:t>
                  </w:r>
                </w:p>
              </w:tc>
              <w:tc>
                <w:tcPr>
                  <w:tcW w:w="3395" w:type="dxa"/>
                  <w:vMerge w:val="restart"/>
                  <w:noWrap w:val="0"/>
                  <w:vAlign w:val="center"/>
                </w:tcPr>
                <w:p w14:paraId="28100E0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2地子火区</w:t>
                  </w:r>
                </w:p>
              </w:tc>
              <w:tc>
                <w:tcPr>
                  <w:tcW w:w="1729" w:type="dxa"/>
                  <w:noWrap w:val="0"/>
                  <w:vAlign w:val="center"/>
                </w:tcPr>
                <w:p w14:paraId="61B66FA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11496</w:t>
                  </w:r>
                </w:p>
              </w:tc>
              <w:tc>
                <w:tcPr>
                  <w:tcW w:w="2048" w:type="dxa"/>
                  <w:noWrap w:val="0"/>
                  <w:vAlign w:val="top"/>
                </w:tcPr>
                <w:p w14:paraId="2F63EE5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工矿用地</w:t>
                  </w:r>
                </w:p>
              </w:tc>
            </w:tr>
            <w:tr w14:paraId="3FD1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 w:type="dxa"/>
                  <w:vMerge w:val="continue"/>
                  <w:noWrap w:val="0"/>
                  <w:vAlign w:val="center"/>
                </w:tcPr>
                <w:p w14:paraId="37705CE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p>
              </w:tc>
              <w:tc>
                <w:tcPr>
                  <w:tcW w:w="3395" w:type="dxa"/>
                  <w:vMerge w:val="continue"/>
                  <w:noWrap w:val="0"/>
                  <w:vAlign w:val="center"/>
                </w:tcPr>
                <w:p w14:paraId="2CAE4B7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p>
              </w:tc>
              <w:tc>
                <w:tcPr>
                  <w:tcW w:w="1729" w:type="dxa"/>
                  <w:noWrap w:val="0"/>
                  <w:vAlign w:val="center"/>
                </w:tcPr>
                <w:p w14:paraId="4F54DC2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5559</w:t>
                  </w:r>
                </w:p>
              </w:tc>
              <w:tc>
                <w:tcPr>
                  <w:tcW w:w="2048" w:type="dxa"/>
                  <w:noWrap w:val="0"/>
                  <w:vAlign w:val="top"/>
                </w:tcPr>
                <w:p w14:paraId="740540A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天然牧草地</w:t>
                  </w:r>
                </w:p>
              </w:tc>
            </w:tr>
            <w:tr w14:paraId="1817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 w:type="dxa"/>
                  <w:vMerge w:val="restart"/>
                  <w:noWrap w:val="0"/>
                  <w:vAlign w:val="center"/>
                </w:tcPr>
                <w:p w14:paraId="05BF611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lang w:val="en-US" w:eastAsia="zh-CN"/>
                    </w:rPr>
                  </w:pPr>
                  <w:r>
                    <w:rPr>
                      <w:rFonts w:hint="eastAsia" w:eastAsia="宋体" w:cs="Times New Roman"/>
                      <w:color w:val="auto"/>
                      <w:szCs w:val="21"/>
                      <w:lang w:val="en-US" w:eastAsia="zh-CN"/>
                    </w:rPr>
                    <w:t>3</w:t>
                  </w:r>
                </w:p>
              </w:tc>
              <w:tc>
                <w:tcPr>
                  <w:tcW w:w="3395" w:type="dxa"/>
                  <w:vMerge w:val="restart"/>
                  <w:noWrap w:val="0"/>
                  <w:vAlign w:val="center"/>
                </w:tcPr>
                <w:p w14:paraId="52086F3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3号子火区</w:t>
                  </w:r>
                </w:p>
              </w:tc>
              <w:tc>
                <w:tcPr>
                  <w:tcW w:w="1729" w:type="dxa"/>
                  <w:noWrap w:val="0"/>
                  <w:vAlign w:val="center"/>
                </w:tcPr>
                <w:p w14:paraId="37CB60D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12636</w:t>
                  </w:r>
                </w:p>
              </w:tc>
              <w:tc>
                <w:tcPr>
                  <w:tcW w:w="2048" w:type="dxa"/>
                  <w:noWrap w:val="0"/>
                  <w:vAlign w:val="top"/>
                </w:tcPr>
                <w:p w14:paraId="14A19FA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工矿用地</w:t>
                  </w:r>
                </w:p>
              </w:tc>
            </w:tr>
            <w:tr w14:paraId="27EC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 w:type="dxa"/>
                  <w:vMerge w:val="continue"/>
                  <w:noWrap w:val="0"/>
                  <w:vAlign w:val="center"/>
                </w:tcPr>
                <w:p w14:paraId="4C9C0F29">
                  <w:pPr>
                    <w:keepNext w:val="0"/>
                    <w:keepLines w:val="0"/>
                    <w:suppressLineNumbers w:val="0"/>
                    <w:spacing w:before="0" w:beforeAutospacing="0" w:after="0" w:afterAutospacing="0"/>
                    <w:ind w:left="0" w:right="0"/>
                    <w:jc w:val="center"/>
                    <w:rPr>
                      <w:rFonts w:hint="eastAsia" w:eastAsia="宋体" w:cs="Times New Roman"/>
                      <w:color w:val="auto"/>
                      <w:szCs w:val="21"/>
                      <w:lang w:val="en-US" w:eastAsia="zh-CN"/>
                    </w:rPr>
                  </w:pPr>
                </w:p>
              </w:tc>
              <w:tc>
                <w:tcPr>
                  <w:tcW w:w="3395" w:type="dxa"/>
                  <w:vMerge w:val="continue"/>
                  <w:noWrap w:val="0"/>
                  <w:vAlign w:val="center"/>
                </w:tcPr>
                <w:p w14:paraId="6830CE9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p>
              </w:tc>
              <w:tc>
                <w:tcPr>
                  <w:tcW w:w="1729" w:type="dxa"/>
                  <w:noWrap w:val="0"/>
                  <w:vAlign w:val="center"/>
                </w:tcPr>
                <w:p w14:paraId="6B5CF5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7140</w:t>
                  </w:r>
                </w:p>
              </w:tc>
              <w:tc>
                <w:tcPr>
                  <w:tcW w:w="2048" w:type="dxa"/>
                  <w:noWrap w:val="0"/>
                  <w:vAlign w:val="top"/>
                </w:tcPr>
                <w:p w14:paraId="2BF5998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天然牧草地</w:t>
                  </w:r>
                </w:p>
              </w:tc>
            </w:tr>
            <w:tr w14:paraId="11A7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 w:type="dxa"/>
                  <w:noWrap w:val="0"/>
                  <w:vAlign w:val="center"/>
                </w:tcPr>
                <w:p w14:paraId="613B9B4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lang w:val="en-US" w:eastAsia="zh-CN"/>
                    </w:rPr>
                  </w:pPr>
                  <w:r>
                    <w:rPr>
                      <w:rFonts w:hint="eastAsia" w:eastAsia="宋体" w:cs="Times New Roman"/>
                      <w:color w:val="auto"/>
                      <w:szCs w:val="21"/>
                      <w:lang w:val="en-US" w:eastAsia="zh-CN"/>
                    </w:rPr>
                    <w:t>4</w:t>
                  </w:r>
                </w:p>
              </w:tc>
              <w:tc>
                <w:tcPr>
                  <w:tcW w:w="3395" w:type="dxa"/>
                  <w:noWrap w:val="0"/>
                  <w:vAlign w:val="center"/>
                </w:tcPr>
                <w:p w14:paraId="4AABDB2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取土场</w:t>
                  </w:r>
                </w:p>
              </w:tc>
              <w:tc>
                <w:tcPr>
                  <w:tcW w:w="1729" w:type="dxa"/>
                  <w:noWrap w:val="0"/>
                  <w:vAlign w:val="center"/>
                </w:tcPr>
                <w:p w14:paraId="48F3BCB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17230</w:t>
                  </w:r>
                </w:p>
              </w:tc>
              <w:tc>
                <w:tcPr>
                  <w:tcW w:w="2048" w:type="dxa"/>
                  <w:noWrap w:val="0"/>
                  <w:vAlign w:val="top"/>
                </w:tcPr>
                <w:p w14:paraId="2CDE0B4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CN"/>
                    </w:rPr>
                    <w:t>天然牧草地</w:t>
                  </w:r>
                </w:p>
              </w:tc>
            </w:tr>
            <w:tr w14:paraId="7745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3" w:type="dxa"/>
                  <w:gridSpan w:val="2"/>
                  <w:noWrap w:val="0"/>
                  <w:vAlign w:val="top"/>
                </w:tcPr>
                <w:p w14:paraId="56D6274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合计</w:t>
                  </w:r>
                </w:p>
              </w:tc>
              <w:tc>
                <w:tcPr>
                  <w:tcW w:w="1729" w:type="dxa"/>
                  <w:noWrap w:val="0"/>
                  <w:vAlign w:val="center"/>
                </w:tcPr>
                <w:p w14:paraId="63E9DA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84194</w:t>
                  </w:r>
                </w:p>
              </w:tc>
              <w:tc>
                <w:tcPr>
                  <w:tcW w:w="2048" w:type="dxa"/>
                  <w:noWrap w:val="0"/>
                  <w:vAlign w:val="top"/>
                </w:tcPr>
                <w:p w14:paraId="32DD3C4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w:t>
                  </w:r>
                </w:p>
              </w:tc>
            </w:tr>
          </w:tbl>
          <w:p w14:paraId="2FAFC29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3、</w:t>
            </w:r>
            <w:r>
              <w:rPr>
                <w:rFonts w:hint="eastAsia" w:ascii="Times New Roman" w:hAnsi="Times New Roman" w:cs="Times New Roman"/>
                <w:b/>
                <w:bCs/>
                <w:color w:val="auto"/>
                <w:sz w:val="24"/>
                <w:szCs w:val="24"/>
                <w:highlight w:val="none"/>
              </w:rPr>
              <w:t>施工</w:t>
            </w:r>
            <w:r>
              <w:rPr>
                <w:rFonts w:hint="eastAsia" w:cs="Times New Roman"/>
                <w:b/>
                <w:bCs/>
                <w:color w:val="auto"/>
                <w:sz w:val="24"/>
                <w:szCs w:val="24"/>
                <w:highlight w:val="none"/>
                <w:lang w:val="en-US" w:eastAsia="zh-CN"/>
              </w:rPr>
              <w:t>布置</w:t>
            </w:r>
          </w:p>
          <w:p w14:paraId="10C72620">
            <w:pPr>
              <w:keepNext w:val="0"/>
              <w:keepLines w:val="0"/>
              <w:suppressLineNumbers w:val="0"/>
              <w:adjustRightInd w:val="0"/>
              <w:snapToGrid w:val="0"/>
              <w:spacing w:before="0" w:beforeAutospacing="0" w:after="0" w:afterAutospacing="0" w:line="360" w:lineRule="auto"/>
              <w:ind w:left="0" w:right="0" w:firstLine="476" w:firstLineChars="200"/>
              <w:rPr>
                <w:rFonts w:hint="default" w:ascii="Times New Roman" w:hAnsi="Times New Roman" w:eastAsia="宋体" w:cs="Times New Roman"/>
                <w:color w:val="auto"/>
                <w:spacing w:val="-1"/>
                <w:sz w:val="24"/>
                <w:szCs w:val="24"/>
                <w:highlight w:val="none"/>
                <w:lang w:val="en-US" w:eastAsia="zh-CN"/>
              </w:rPr>
            </w:pPr>
            <w:r>
              <w:rPr>
                <w:rFonts w:hint="eastAsia" w:ascii="Times New Roman" w:hAnsi="Times New Roman" w:eastAsia="宋体" w:cs="Times New Roman"/>
                <w:color w:val="auto"/>
                <w:spacing w:val="-1"/>
                <w:sz w:val="24"/>
                <w:szCs w:val="24"/>
                <w:highlight w:val="none"/>
                <w:lang w:val="en-US" w:eastAsia="zh-CN"/>
              </w:rPr>
              <w:t>（</w:t>
            </w:r>
            <w:r>
              <w:rPr>
                <w:rFonts w:hint="eastAsia" w:cs="Times New Roman"/>
                <w:color w:val="auto"/>
                <w:spacing w:val="-1"/>
                <w:sz w:val="24"/>
                <w:szCs w:val="24"/>
                <w:highlight w:val="none"/>
                <w:lang w:val="en-US" w:eastAsia="zh-CN"/>
              </w:rPr>
              <w:t>1</w:t>
            </w:r>
            <w:r>
              <w:rPr>
                <w:rFonts w:hint="eastAsia" w:ascii="Times New Roman" w:hAnsi="Times New Roman" w:eastAsia="宋体" w:cs="Times New Roman"/>
                <w:color w:val="auto"/>
                <w:spacing w:val="-1"/>
                <w:sz w:val="24"/>
                <w:szCs w:val="24"/>
                <w:highlight w:val="none"/>
                <w:lang w:val="en-US" w:eastAsia="zh-CN"/>
              </w:rPr>
              <w:t>）施工营地</w:t>
            </w:r>
          </w:p>
          <w:p w14:paraId="5C91DBEF">
            <w:pPr>
              <w:keepNext w:val="0"/>
              <w:keepLines w:val="0"/>
              <w:suppressLineNumbers w:val="0"/>
              <w:adjustRightInd w:val="0"/>
              <w:snapToGrid w:val="0"/>
              <w:spacing w:before="0" w:beforeAutospacing="0" w:after="0" w:afterAutospacing="0" w:line="360" w:lineRule="auto"/>
              <w:ind w:left="0" w:right="0" w:firstLine="476" w:firstLineChars="200"/>
              <w:rPr>
                <w:rFonts w:hint="eastAsia" w:ascii="Times New Roman" w:hAnsi="Times New Roman" w:eastAsia="宋体" w:cs="Times New Roman"/>
                <w:color w:val="auto"/>
                <w:spacing w:val="-1"/>
                <w:sz w:val="24"/>
                <w:szCs w:val="24"/>
                <w:highlight w:val="none"/>
                <w:lang w:val="en-US" w:eastAsia="zh-CN"/>
              </w:rPr>
            </w:pPr>
            <w:r>
              <w:rPr>
                <w:rFonts w:hint="eastAsia" w:ascii="Times New Roman" w:hAnsi="Times New Roman" w:eastAsia="宋体" w:cs="Times New Roman"/>
                <w:color w:val="auto"/>
                <w:spacing w:val="-1"/>
                <w:sz w:val="24"/>
                <w:szCs w:val="24"/>
                <w:highlight w:val="none"/>
                <w:lang w:val="en-US" w:eastAsia="zh-CN"/>
              </w:rPr>
              <w:t>项目施工期不设置施工营地，依托</w:t>
            </w:r>
            <w:r>
              <w:rPr>
                <w:rFonts w:hint="eastAsia" w:cs="Times New Roman"/>
                <w:color w:val="auto"/>
                <w:kern w:val="0"/>
                <w:sz w:val="24"/>
                <w:szCs w:val="24"/>
                <w:highlight w:val="none"/>
                <w:lang w:val="en-US" w:eastAsia="zh-CN"/>
              </w:rPr>
              <w:t>康龙煤矿</w:t>
            </w:r>
            <w:r>
              <w:rPr>
                <w:rFonts w:hint="eastAsia" w:cs="Times New Roman"/>
                <w:color w:val="auto"/>
                <w:spacing w:val="-1"/>
                <w:kern w:val="2"/>
                <w:sz w:val="24"/>
                <w:szCs w:val="24"/>
                <w:highlight w:val="none"/>
                <w:lang w:val="en-US" w:eastAsia="zh-CN" w:bidi="ar-SA"/>
              </w:rPr>
              <w:t>行政福利生活场地</w:t>
            </w:r>
            <w:r>
              <w:rPr>
                <w:rFonts w:hint="eastAsia" w:cs="Times New Roman"/>
                <w:color w:val="auto"/>
                <w:spacing w:val="-1"/>
                <w:sz w:val="24"/>
                <w:szCs w:val="24"/>
                <w:highlight w:val="none"/>
                <w:lang w:val="en-US" w:eastAsia="zh-CN"/>
              </w:rPr>
              <w:t>。</w:t>
            </w:r>
          </w:p>
          <w:p w14:paraId="5D302A63">
            <w:pPr>
              <w:keepNext w:val="0"/>
              <w:keepLines w:val="0"/>
              <w:numPr>
                <w:ilvl w:val="0"/>
                <w:numId w:val="0"/>
              </w:numPr>
              <w:suppressLineNumbers w:val="0"/>
              <w:adjustRightInd w:val="0"/>
              <w:snapToGrid w:val="0"/>
              <w:spacing w:before="0" w:beforeAutospacing="0" w:after="0" w:afterAutospacing="0" w:line="360" w:lineRule="auto"/>
              <w:ind w:left="420" w:leftChars="200" w:right="0" w:rightChars="0"/>
              <w:rPr>
                <w:rFonts w:hint="eastAsia" w:cs="Times New Roman"/>
                <w:color w:val="auto"/>
                <w:spacing w:val="-1"/>
                <w:sz w:val="24"/>
                <w:szCs w:val="24"/>
                <w:highlight w:val="none"/>
                <w:lang w:val="en-US" w:eastAsia="zh-CN"/>
              </w:rPr>
            </w:pPr>
            <w:r>
              <w:rPr>
                <w:rFonts w:hint="eastAsia" w:cs="Times New Roman"/>
                <w:color w:val="auto"/>
                <w:spacing w:val="-1"/>
                <w:sz w:val="24"/>
                <w:szCs w:val="24"/>
                <w:highlight w:val="none"/>
                <w:lang w:val="en-US" w:eastAsia="zh-CN"/>
              </w:rPr>
              <w:t>（2）施工道路</w:t>
            </w:r>
          </w:p>
          <w:p w14:paraId="3F518FEC">
            <w:pPr>
              <w:keepNext w:val="0"/>
              <w:keepLines w:val="0"/>
              <w:numPr>
                <w:ilvl w:val="0"/>
                <w:numId w:val="0"/>
              </w:numPr>
              <w:suppressLineNumbers w:val="0"/>
              <w:adjustRightInd w:val="0"/>
              <w:snapToGrid w:val="0"/>
              <w:spacing w:before="0" w:beforeAutospacing="0" w:after="0" w:afterAutospacing="0" w:line="360" w:lineRule="auto"/>
              <w:ind w:left="420" w:leftChars="200" w:right="0" w:rightChars="0"/>
              <w:rPr>
                <w:rFonts w:hint="default" w:cs="Times New Roman"/>
                <w:color w:val="auto"/>
                <w:spacing w:val="-1"/>
                <w:sz w:val="24"/>
                <w:szCs w:val="24"/>
                <w:highlight w:val="none"/>
                <w:lang w:val="en-US" w:eastAsia="zh-CN"/>
              </w:rPr>
            </w:pPr>
            <w:r>
              <w:rPr>
                <w:rFonts w:hint="eastAsia" w:cs="Times New Roman"/>
                <w:color w:val="auto"/>
                <w:spacing w:val="-1"/>
                <w:sz w:val="24"/>
                <w:szCs w:val="24"/>
                <w:highlight w:val="none"/>
                <w:lang w:val="en-US" w:eastAsia="zh-CN"/>
              </w:rPr>
              <w:t>项目施工期不增设施工便道，全部利用项目区周边已有道路。</w:t>
            </w:r>
          </w:p>
          <w:p w14:paraId="332CDCCA">
            <w:pPr>
              <w:keepNext w:val="0"/>
              <w:keepLines w:val="0"/>
              <w:numPr>
                <w:ilvl w:val="0"/>
                <w:numId w:val="0"/>
              </w:numPr>
              <w:suppressLineNumbers w:val="0"/>
              <w:adjustRightInd w:val="0"/>
              <w:snapToGrid w:val="0"/>
              <w:spacing w:before="0" w:beforeAutospacing="0" w:after="0" w:afterAutospacing="0" w:line="360" w:lineRule="auto"/>
              <w:ind w:left="0" w:right="0" w:rightChars="0" w:firstLine="476" w:firstLineChars="200"/>
              <w:rPr>
                <w:rFonts w:hint="default" w:cs="Times New Roman"/>
                <w:color w:val="auto"/>
                <w:spacing w:val="-1"/>
                <w:sz w:val="24"/>
                <w:szCs w:val="24"/>
                <w:lang w:val="en-US" w:eastAsia="zh-CN"/>
              </w:rPr>
            </w:pPr>
          </w:p>
        </w:tc>
      </w:tr>
      <w:tr w14:paraId="5D3C60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9" w:hRule="atLeast"/>
          <w:jc w:val="center"/>
        </w:trPr>
        <w:tc>
          <w:tcPr>
            <w:tcW w:w="705" w:type="dxa"/>
            <w:noWrap w:val="0"/>
            <w:vAlign w:val="center"/>
          </w:tcPr>
          <w:p w14:paraId="4E6987B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kern w:val="0"/>
                <w:szCs w:val="21"/>
              </w:rPr>
            </w:pPr>
            <w:r>
              <w:rPr>
                <w:rFonts w:hint="eastAsia" w:ascii="Times New Roman" w:hAnsi="Times New Roman" w:cs="宋体"/>
                <w:b/>
                <w:bCs/>
                <w:color w:val="auto"/>
                <w:kern w:val="0"/>
                <w:sz w:val="24"/>
                <w:szCs w:val="24"/>
              </w:rPr>
              <w:t>施工方案</w:t>
            </w:r>
          </w:p>
        </w:tc>
        <w:tc>
          <w:tcPr>
            <w:tcW w:w="8607" w:type="dxa"/>
            <w:noWrap w:val="0"/>
            <w:vAlign w:val="center"/>
          </w:tcPr>
          <w:p w14:paraId="1D604AA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default" w:ascii="Times New Roman" w:hAnsi="Times New Roman" w:eastAsia="宋体" w:cs="Times New Roman"/>
                <w:b/>
                <w:bCs w:val="0"/>
                <w:color w:val="auto"/>
                <w:kern w:val="2"/>
                <w:sz w:val="24"/>
                <w:szCs w:val="24"/>
                <w:highlight w:val="none"/>
                <w:lang w:val="en-US" w:eastAsia="zh-CN" w:bidi="ar-SA"/>
              </w:rPr>
            </w:pPr>
            <w:r>
              <w:rPr>
                <w:rFonts w:hint="eastAsia" w:ascii="Times New Roman" w:hAnsi="Times New Roman" w:eastAsia="宋体" w:cs="Times New Roman"/>
                <w:b/>
                <w:bCs w:val="0"/>
                <w:color w:val="auto"/>
                <w:kern w:val="2"/>
                <w:sz w:val="24"/>
                <w:szCs w:val="24"/>
                <w:highlight w:val="none"/>
                <w:lang w:val="en-US" w:eastAsia="zh-CN" w:bidi="ar-SA"/>
              </w:rPr>
              <w:t>1、施工方案</w:t>
            </w:r>
          </w:p>
          <w:p w14:paraId="71B6B73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 xml:space="preserve">项目为矿山生态环境恢复治理，污染影响时段主要为施工期，其基本工序及污染环节如下： </w:t>
            </w:r>
          </w:p>
          <w:p w14:paraId="40FE9B3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240" w:firstLineChars="10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 xml:space="preserve">（1）火区灭火工程的实施 </w:t>
            </w:r>
          </w:p>
          <w:p w14:paraId="701A02F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 xml:space="preserve">项目前期准备（勘查、设计、招标、临建工程）→剥离工程→注水工程（地面注水施工）→钻探工程→注水工程（钻孔注水施工）→注浆工程→覆盖工程→监测工程→竣工验收。 </w:t>
            </w:r>
          </w:p>
          <w:p w14:paraId="3A97073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 xml:space="preserve">灭火工艺主要包括剥离、注水、钻探、注浆、覆盖和植被复耕等。 </w:t>
            </w:r>
          </w:p>
          <w:p w14:paraId="6CB9327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①对火区地表高温区注水，扑灭地面明火，降低地面温度，为机械设备能在安全温度范围内机械施工作业奠定基础。</w:t>
            </w:r>
          </w:p>
          <w:p w14:paraId="15E9367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imes New Roman" w:hAnsi="Times New Roman" w:eastAsia="宋体" w:cs="Times New Roman"/>
                <w:bCs/>
                <w:color w:val="auto"/>
                <w:kern w:val="2"/>
                <w:sz w:val="24"/>
                <w:szCs w:val="24"/>
                <w:highlight w:val="none"/>
                <w:lang w:val="en-US" w:eastAsia="zh-CN" w:bidi="ar-SA"/>
              </w:rPr>
            </w:pPr>
          </w:p>
          <w:p w14:paraId="594EB95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drawing>
                <wp:inline distT="0" distB="0" distL="0" distR="0">
                  <wp:extent cx="2669540" cy="1945640"/>
                  <wp:effectExtent l="0" t="0" r="6985" b="6985"/>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1"/>
                          <a:stretch>
                            <a:fillRect/>
                          </a:stretch>
                        </pic:blipFill>
                        <pic:spPr>
                          <a:xfrm>
                            <a:off x="0" y="0"/>
                            <a:ext cx="2670047" cy="1946147"/>
                          </a:xfrm>
                          <a:prstGeom prst="rect">
                            <a:avLst/>
                          </a:prstGeom>
                        </pic:spPr>
                      </pic:pic>
                    </a:graphicData>
                  </a:graphic>
                </wp:inline>
              </w:drawing>
            </w:r>
          </w:p>
          <w:p w14:paraId="678C513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b/>
                <w:bCs w:val="0"/>
                <w:color w:val="auto"/>
                <w:kern w:val="2"/>
                <w:sz w:val="21"/>
                <w:szCs w:val="21"/>
                <w:highlight w:val="none"/>
                <w:lang w:val="en-US" w:eastAsia="zh-CN" w:bidi="ar-SA"/>
              </w:rPr>
            </w:pPr>
            <w:r>
              <w:rPr>
                <w:rFonts w:hint="eastAsia" w:ascii="Times New Roman" w:hAnsi="Times New Roman" w:eastAsia="宋体" w:cs="Times New Roman"/>
                <w:b/>
                <w:bCs w:val="0"/>
                <w:color w:val="auto"/>
                <w:kern w:val="2"/>
                <w:sz w:val="21"/>
                <w:szCs w:val="21"/>
                <w:highlight w:val="none"/>
                <w:lang w:val="en-US" w:eastAsia="zh-CN" w:bidi="ar-SA"/>
              </w:rPr>
              <w:t>火区</w:t>
            </w:r>
            <w:r>
              <w:rPr>
                <w:rFonts w:hint="eastAsia" w:cs="Times New Roman"/>
                <w:b/>
                <w:bCs w:val="0"/>
                <w:color w:val="auto"/>
                <w:kern w:val="2"/>
                <w:sz w:val="21"/>
                <w:szCs w:val="21"/>
                <w:highlight w:val="none"/>
                <w:lang w:val="en-US" w:eastAsia="zh-CN" w:bidi="ar-SA"/>
              </w:rPr>
              <w:t>地表注水</w:t>
            </w:r>
          </w:p>
          <w:p w14:paraId="55D0B0E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 xml:space="preserve">②由推土机、挖掘机相互配合进行火区地表剥离平整工作，填充塌陷坑、 </w:t>
            </w:r>
          </w:p>
          <w:p w14:paraId="45970D4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裂隙及浅部空区以形成工作面。</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5"/>
              <w:gridCol w:w="4196"/>
            </w:tblGrid>
            <w:tr w14:paraId="3480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5" w:type="dxa"/>
                </w:tcPr>
                <w:p w14:paraId="7A02D66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Cs/>
                      <w:color w:val="auto"/>
                      <w:kern w:val="2"/>
                      <w:sz w:val="21"/>
                      <w:szCs w:val="21"/>
                      <w:highlight w:val="none"/>
                      <w:vertAlign w:val="baseline"/>
                      <w:lang w:val="en-US" w:eastAsia="zh-CN" w:bidi="ar-SA"/>
                    </w:rPr>
                  </w:pPr>
                  <w:r>
                    <w:rPr>
                      <w:rFonts w:hint="eastAsia" w:ascii="Times New Roman" w:hAnsi="Times New Roman" w:eastAsia="宋体" w:cs="Times New Roman"/>
                      <w:bCs/>
                      <w:color w:val="auto"/>
                      <w:kern w:val="2"/>
                      <w:sz w:val="21"/>
                      <w:szCs w:val="21"/>
                      <w:highlight w:val="none"/>
                      <w:vertAlign w:val="baseline"/>
                      <w:lang w:val="en-US" w:eastAsia="zh-CN" w:bidi="ar-SA"/>
                    </w:rPr>
                    <w:drawing>
                      <wp:inline distT="0" distB="0" distL="0" distR="0">
                        <wp:extent cx="2654935" cy="1911350"/>
                        <wp:effectExtent l="0" t="0" r="2540" b="3175"/>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2"/>
                                <a:stretch>
                                  <a:fillRect/>
                                </a:stretch>
                              </pic:blipFill>
                              <pic:spPr>
                                <a:xfrm>
                                  <a:off x="0" y="0"/>
                                  <a:ext cx="2654935" cy="1911350"/>
                                </a:xfrm>
                                <a:prstGeom prst="rect">
                                  <a:avLst/>
                                </a:prstGeom>
                              </pic:spPr>
                            </pic:pic>
                          </a:graphicData>
                        </a:graphic>
                      </wp:inline>
                    </w:drawing>
                  </w:r>
                </w:p>
              </w:tc>
              <w:tc>
                <w:tcPr>
                  <w:tcW w:w="4196" w:type="dxa"/>
                </w:tcPr>
                <w:p w14:paraId="5FB1355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Cs/>
                      <w:color w:val="auto"/>
                      <w:kern w:val="2"/>
                      <w:sz w:val="21"/>
                      <w:szCs w:val="21"/>
                      <w:highlight w:val="none"/>
                      <w:vertAlign w:val="baseline"/>
                      <w:lang w:val="en-US" w:eastAsia="zh-CN" w:bidi="ar-SA"/>
                    </w:rPr>
                  </w:pPr>
                  <w:r>
                    <w:rPr>
                      <w:rFonts w:hint="eastAsia" w:ascii="Times New Roman" w:hAnsi="Times New Roman" w:eastAsia="宋体" w:cs="Times New Roman"/>
                      <w:bCs/>
                      <w:color w:val="auto"/>
                      <w:kern w:val="2"/>
                      <w:sz w:val="21"/>
                      <w:szCs w:val="21"/>
                      <w:highlight w:val="none"/>
                      <w:vertAlign w:val="baseline"/>
                      <w:lang w:val="en-US" w:eastAsia="zh-CN" w:bidi="ar-SA"/>
                    </w:rPr>
                    <w:drawing>
                      <wp:inline distT="0" distB="0" distL="0" distR="0">
                        <wp:extent cx="2942590" cy="1921510"/>
                        <wp:effectExtent l="0" t="0" r="635" b="254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13"/>
                                <a:stretch>
                                  <a:fillRect/>
                                </a:stretch>
                              </pic:blipFill>
                              <pic:spPr>
                                <a:xfrm>
                                  <a:off x="0" y="0"/>
                                  <a:ext cx="2942843" cy="1921764"/>
                                </a:xfrm>
                                <a:prstGeom prst="rect">
                                  <a:avLst/>
                                </a:prstGeom>
                              </pic:spPr>
                            </pic:pic>
                          </a:graphicData>
                        </a:graphic>
                      </wp:inline>
                    </w:drawing>
                  </w:r>
                </w:p>
              </w:tc>
            </w:tr>
          </w:tbl>
          <w:p w14:paraId="1BCBAAB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b/>
                <w:bCs w:val="0"/>
                <w:color w:val="auto"/>
                <w:kern w:val="2"/>
                <w:sz w:val="21"/>
                <w:szCs w:val="21"/>
                <w:highlight w:val="none"/>
                <w:lang w:val="en-US" w:eastAsia="zh-CN" w:bidi="ar-SA"/>
              </w:rPr>
            </w:pPr>
            <w:r>
              <w:rPr>
                <w:rFonts w:hint="eastAsia" w:cs="Times New Roman"/>
                <w:b/>
                <w:bCs w:val="0"/>
                <w:color w:val="auto"/>
                <w:kern w:val="2"/>
                <w:sz w:val="21"/>
                <w:szCs w:val="21"/>
                <w:highlight w:val="none"/>
                <w:lang w:val="en-US" w:eastAsia="zh-CN" w:bidi="ar-SA"/>
              </w:rPr>
              <w:t>剥离平整</w:t>
            </w:r>
          </w:p>
          <w:p w14:paraId="69832CC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③在平整好的工作面上实施钻探施工，目的是通过钻孔向深部火源实施注水施工，以置换深部燃烧体的热量，达到熄灭火源的目的。</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5"/>
              <w:gridCol w:w="4196"/>
            </w:tblGrid>
            <w:tr w14:paraId="278F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4195" w:type="dxa"/>
                </w:tcPr>
                <w:p w14:paraId="5CBB838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drawing>
                      <wp:inline distT="0" distB="0" distL="0" distR="0">
                        <wp:extent cx="2446020" cy="1762760"/>
                        <wp:effectExtent l="0" t="0" r="1905" b="889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14"/>
                                <a:stretch>
                                  <a:fillRect/>
                                </a:stretch>
                              </pic:blipFill>
                              <pic:spPr>
                                <a:xfrm>
                                  <a:off x="0" y="0"/>
                                  <a:ext cx="2446020" cy="1763268"/>
                                </a:xfrm>
                                <a:prstGeom prst="rect">
                                  <a:avLst/>
                                </a:prstGeom>
                              </pic:spPr>
                            </pic:pic>
                          </a:graphicData>
                        </a:graphic>
                      </wp:inline>
                    </w:drawing>
                  </w:r>
                </w:p>
              </w:tc>
              <w:tc>
                <w:tcPr>
                  <w:tcW w:w="4196" w:type="dxa"/>
                </w:tcPr>
                <w:p w14:paraId="79782B9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drawing>
                      <wp:inline distT="0" distB="0" distL="0" distR="0">
                        <wp:extent cx="2557145" cy="1760220"/>
                        <wp:effectExtent l="0" t="0" r="5080" b="1905"/>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5"/>
                                <a:stretch>
                                  <a:fillRect/>
                                </a:stretch>
                              </pic:blipFill>
                              <pic:spPr>
                                <a:xfrm>
                                  <a:off x="0" y="0"/>
                                  <a:ext cx="2557272" cy="1760220"/>
                                </a:xfrm>
                                <a:prstGeom prst="rect">
                                  <a:avLst/>
                                </a:prstGeom>
                              </pic:spPr>
                            </pic:pic>
                          </a:graphicData>
                        </a:graphic>
                      </wp:inline>
                    </w:drawing>
                  </w:r>
                </w:p>
              </w:tc>
            </w:tr>
            <w:tr w14:paraId="2AB2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5" w:type="dxa"/>
                  <w:vAlign w:val="center"/>
                </w:tcPr>
                <w:p w14:paraId="4675D5C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val="0"/>
                      <w:color w:val="auto"/>
                      <w:kern w:val="2"/>
                      <w:sz w:val="21"/>
                      <w:szCs w:val="21"/>
                      <w:highlight w:val="none"/>
                      <w:lang w:val="en-US" w:eastAsia="zh-CN" w:bidi="ar-SA"/>
                    </w:rPr>
                  </w:pPr>
                  <w:r>
                    <w:rPr>
                      <w:rFonts w:hint="eastAsia" w:cs="Times New Roman"/>
                      <w:b/>
                      <w:bCs w:val="0"/>
                      <w:color w:val="auto"/>
                      <w:kern w:val="2"/>
                      <w:sz w:val="21"/>
                      <w:szCs w:val="21"/>
                      <w:highlight w:val="none"/>
                      <w:lang w:val="en-US" w:eastAsia="zh-CN" w:bidi="ar-SA"/>
                    </w:rPr>
                    <w:t>钻头施工</w:t>
                  </w:r>
                </w:p>
              </w:tc>
              <w:tc>
                <w:tcPr>
                  <w:tcW w:w="4196" w:type="dxa"/>
                  <w:vAlign w:val="center"/>
                </w:tcPr>
                <w:p w14:paraId="145E9C5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val="0"/>
                      <w:color w:val="auto"/>
                      <w:kern w:val="2"/>
                      <w:sz w:val="21"/>
                      <w:szCs w:val="21"/>
                      <w:highlight w:val="none"/>
                      <w:lang w:val="en-US" w:eastAsia="zh-CN" w:bidi="ar-SA"/>
                    </w:rPr>
                  </w:pPr>
                  <w:r>
                    <w:rPr>
                      <w:rFonts w:hint="eastAsia" w:cs="Times New Roman"/>
                      <w:b/>
                      <w:bCs w:val="0"/>
                      <w:color w:val="auto"/>
                      <w:kern w:val="2"/>
                      <w:sz w:val="21"/>
                      <w:szCs w:val="21"/>
                      <w:highlight w:val="none"/>
                      <w:lang w:val="en-US" w:eastAsia="zh-CN" w:bidi="ar-SA"/>
                    </w:rPr>
                    <w:t>钻孔注水</w:t>
                  </w:r>
                </w:p>
              </w:tc>
            </w:tr>
          </w:tbl>
          <w:p w14:paraId="754CAC8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kern w:val="2"/>
                <w:sz w:val="24"/>
                <w:szCs w:val="24"/>
                <w:highlight w:val="none"/>
                <w:lang w:val="en-US" w:eastAsia="zh-CN" w:bidi="ar-SA"/>
              </w:rPr>
            </w:pPr>
          </w:p>
          <w:p w14:paraId="19A7DE6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④先对钻孔实施注水施工，将深部火源温度降到《煤田火灾灭火规范》要求的温度后，实施钻孔注浆施工。注浆的目的是为充填火区深部因燃烧产生的采空区及裂隙，封密供风通道。再对地表进行鱼鳞坑注水注浆，充填地表裂隙及空隙，保证密闭的可靠性。</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5"/>
              <w:gridCol w:w="4196"/>
            </w:tblGrid>
            <w:tr w14:paraId="59D3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5" w:type="dxa"/>
                </w:tcPr>
                <w:p w14:paraId="5D623AE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drawing>
                      <wp:inline distT="0" distB="0" distL="0" distR="0">
                        <wp:extent cx="2588895" cy="1845310"/>
                        <wp:effectExtent l="0" t="0" r="1905" b="254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6"/>
                                <a:stretch>
                                  <a:fillRect/>
                                </a:stretch>
                              </pic:blipFill>
                              <pic:spPr>
                                <a:xfrm>
                                  <a:off x="0" y="0"/>
                                  <a:ext cx="2589275" cy="1845563"/>
                                </a:xfrm>
                                <a:prstGeom prst="rect">
                                  <a:avLst/>
                                </a:prstGeom>
                              </pic:spPr>
                            </pic:pic>
                          </a:graphicData>
                        </a:graphic>
                      </wp:inline>
                    </w:drawing>
                  </w:r>
                </w:p>
              </w:tc>
              <w:tc>
                <w:tcPr>
                  <w:tcW w:w="4196" w:type="dxa"/>
                </w:tcPr>
                <w:p w14:paraId="7BFDB1F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drawing>
                      <wp:inline distT="0" distB="0" distL="0" distR="0">
                        <wp:extent cx="2586355" cy="1841500"/>
                        <wp:effectExtent l="0" t="0" r="4445" b="635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17"/>
                                <a:stretch>
                                  <a:fillRect/>
                                </a:stretch>
                              </pic:blipFill>
                              <pic:spPr>
                                <a:xfrm>
                                  <a:off x="0" y="0"/>
                                  <a:ext cx="2586355" cy="1841500"/>
                                </a:xfrm>
                                <a:prstGeom prst="rect">
                                  <a:avLst/>
                                </a:prstGeom>
                              </pic:spPr>
                            </pic:pic>
                          </a:graphicData>
                        </a:graphic>
                      </wp:inline>
                    </w:drawing>
                  </w:r>
                </w:p>
              </w:tc>
            </w:tr>
            <w:tr w14:paraId="4A2C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5" w:type="dxa"/>
                </w:tcPr>
                <w:p w14:paraId="0EE02DD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val="0"/>
                      <w:color w:val="auto"/>
                      <w:kern w:val="2"/>
                      <w:sz w:val="21"/>
                      <w:szCs w:val="21"/>
                      <w:highlight w:val="none"/>
                      <w:lang w:val="en-US" w:eastAsia="zh-CN" w:bidi="ar-SA"/>
                    </w:rPr>
                  </w:pPr>
                  <w:r>
                    <w:rPr>
                      <w:rFonts w:hint="eastAsia" w:cs="Times New Roman"/>
                      <w:b/>
                      <w:bCs w:val="0"/>
                      <w:color w:val="auto"/>
                      <w:kern w:val="2"/>
                      <w:sz w:val="21"/>
                      <w:szCs w:val="21"/>
                      <w:highlight w:val="none"/>
                      <w:lang w:val="en-US" w:eastAsia="zh-CN" w:bidi="ar-SA"/>
                    </w:rPr>
                    <w:t>钻孔注浆</w:t>
                  </w:r>
                </w:p>
              </w:tc>
              <w:tc>
                <w:tcPr>
                  <w:tcW w:w="4196" w:type="dxa"/>
                </w:tcPr>
                <w:p w14:paraId="69EAA0B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bCs w:val="0"/>
                      <w:color w:val="auto"/>
                      <w:kern w:val="2"/>
                      <w:sz w:val="21"/>
                      <w:szCs w:val="21"/>
                      <w:highlight w:val="none"/>
                      <w:lang w:val="en-US" w:eastAsia="zh-CN" w:bidi="ar-SA"/>
                    </w:rPr>
                  </w:pPr>
                  <w:r>
                    <w:rPr>
                      <w:rFonts w:hint="eastAsia" w:ascii="Times New Roman" w:hAnsi="Times New Roman" w:eastAsia="宋体" w:cs="Times New Roman"/>
                      <w:b/>
                      <w:bCs w:val="0"/>
                      <w:color w:val="auto"/>
                      <w:kern w:val="2"/>
                      <w:sz w:val="21"/>
                      <w:szCs w:val="21"/>
                      <w:highlight w:val="none"/>
                      <w:lang w:val="en-US" w:eastAsia="zh-CN" w:bidi="ar-SA"/>
                    </w:rPr>
                    <w:t>鱼鳞坑注浆</w:t>
                  </w:r>
                </w:p>
              </w:tc>
            </w:tr>
          </w:tbl>
          <w:p w14:paraId="1210E7C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kern w:val="2"/>
                <w:sz w:val="24"/>
                <w:szCs w:val="24"/>
                <w:highlight w:val="none"/>
                <w:lang w:val="en-US" w:eastAsia="zh-CN" w:bidi="ar-SA"/>
              </w:rPr>
            </w:pPr>
          </w:p>
          <w:p w14:paraId="7C7720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⑤在平整过的治理区地表上覆盖黄土，封闭地表裂隙并辅以机械压实。并对治理区覆盖面及采土场进行植被复耕，保证生态环境的恢复。</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5"/>
              <w:gridCol w:w="4196"/>
            </w:tblGrid>
            <w:tr w14:paraId="635A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5" w:type="dxa"/>
                </w:tcPr>
                <w:p w14:paraId="3EEB8A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cs="Times New Roman"/>
                      <w:b/>
                      <w:bCs/>
                      <w:color w:val="auto"/>
                      <w:sz w:val="21"/>
                      <w:szCs w:val="21"/>
                      <w:lang w:val="en-US" w:eastAsia="zh-CN"/>
                    </w:rPr>
                  </w:pPr>
                  <w:r>
                    <w:rPr>
                      <w:rFonts w:hint="eastAsia" w:cs="Times New Roman"/>
                      <w:b/>
                      <w:bCs/>
                      <w:color w:val="auto"/>
                      <w:sz w:val="21"/>
                      <w:szCs w:val="21"/>
                      <w:lang w:val="en-US" w:eastAsia="zh-CN"/>
                    </w:rPr>
                    <w:drawing>
                      <wp:inline distT="0" distB="0" distL="0" distR="0">
                        <wp:extent cx="2529205" cy="1873250"/>
                        <wp:effectExtent l="0" t="0" r="4445" b="3175"/>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8"/>
                                <a:stretch>
                                  <a:fillRect/>
                                </a:stretch>
                              </pic:blipFill>
                              <pic:spPr>
                                <a:xfrm>
                                  <a:off x="0" y="0"/>
                                  <a:ext cx="2529205" cy="1873250"/>
                                </a:xfrm>
                                <a:prstGeom prst="rect">
                                  <a:avLst/>
                                </a:prstGeom>
                              </pic:spPr>
                            </pic:pic>
                          </a:graphicData>
                        </a:graphic>
                      </wp:inline>
                    </w:drawing>
                  </w:r>
                </w:p>
              </w:tc>
              <w:tc>
                <w:tcPr>
                  <w:tcW w:w="4196" w:type="dxa"/>
                </w:tcPr>
                <w:p w14:paraId="6191EA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cs="Times New Roman"/>
                      <w:b/>
                      <w:bCs/>
                      <w:color w:val="auto"/>
                      <w:sz w:val="21"/>
                      <w:szCs w:val="21"/>
                      <w:lang w:val="en-US" w:eastAsia="zh-CN"/>
                    </w:rPr>
                  </w:pPr>
                  <w:r>
                    <w:rPr>
                      <w:rFonts w:hint="eastAsia" w:cs="Times New Roman"/>
                      <w:b/>
                      <w:bCs/>
                      <w:color w:val="auto"/>
                      <w:sz w:val="21"/>
                      <w:szCs w:val="21"/>
                      <w:lang w:val="en-US" w:eastAsia="zh-CN"/>
                    </w:rPr>
                    <w:drawing>
                      <wp:inline distT="0" distB="0" distL="0" distR="0">
                        <wp:extent cx="2657475" cy="1877060"/>
                        <wp:effectExtent l="0" t="0" r="0" b="889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9"/>
                                <a:stretch>
                                  <a:fillRect/>
                                </a:stretch>
                              </pic:blipFill>
                              <pic:spPr>
                                <a:xfrm>
                                  <a:off x="0" y="0"/>
                                  <a:ext cx="2657855" cy="1877060"/>
                                </a:xfrm>
                                <a:prstGeom prst="rect">
                                  <a:avLst/>
                                </a:prstGeom>
                              </pic:spPr>
                            </pic:pic>
                          </a:graphicData>
                        </a:graphic>
                      </wp:inline>
                    </w:drawing>
                  </w:r>
                </w:p>
              </w:tc>
            </w:tr>
            <w:tr w14:paraId="45F7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5" w:type="dxa"/>
                </w:tcPr>
                <w:p w14:paraId="79154C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color w:val="auto"/>
                      <w:sz w:val="21"/>
                      <w:szCs w:val="21"/>
                      <w:lang w:val="en-US" w:eastAsia="zh-CN"/>
                    </w:rPr>
                  </w:pPr>
                  <w:r>
                    <w:rPr>
                      <w:rFonts w:hint="eastAsia" w:cs="Times New Roman"/>
                      <w:b/>
                      <w:bCs/>
                      <w:color w:val="auto"/>
                      <w:sz w:val="21"/>
                      <w:szCs w:val="21"/>
                      <w:lang w:val="en-US" w:eastAsia="zh-CN"/>
                    </w:rPr>
                    <w:t>自卸车运土</w:t>
                  </w:r>
                </w:p>
              </w:tc>
              <w:tc>
                <w:tcPr>
                  <w:tcW w:w="4196" w:type="dxa"/>
                </w:tcPr>
                <w:p w14:paraId="348CF7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color w:val="auto"/>
                      <w:sz w:val="21"/>
                      <w:szCs w:val="21"/>
                      <w:lang w:val="en-US" w:eastAsia="zh-CN"/>
                    </w:rPr>
                  </w:pPr>
                  <w:r>
                    <w:rPr>
                      <w:rFonts w:hint="eastAsia" w:cs="Times New Roman"/>
                      <w:b/>
                      <w:bCs/>
                      <w:color w:val="auto"/>
                      <w:sz w:val="21"/>
                      <w:szCs w:val="21"/>
                      <w:lang w:val="en-US" w:eastAsia="zh-CN"/>
                    </w:rPr>
                    <w:t>植被恢复后火区地貌</w:t>
                  </w:r>
                </w:p>
              </w:tc>
            </w:tr>
          </w:tbl>
          <w:p w14:paraId="0E2C776B">
            <w:pPr>
              <w:keepNext w:val="0"/>
              <w:keepLines w:val="0"/>
              <w:suppressLineNumbers w:val="0"/>
              <w:adjustRightInd w:val="0"/>
              <w:snapToGrid w:val="0"/>
              <w:spacing w:before="0" w:beforeAutospacing="0" w:after="0" w:afterAutospacing="0" w:line="360" w:lineRule="auto"/>
              <w:ind w:left="0" w:right="0"/>
              <w:jc w:val="both"/>
              <w:rPr>
                <w:rFonts w:hint="eastAsia" w:cs="Times New Roman"/>
                <w:b/>
                <w:bCs/>
                <w:color w:val="auto"/>
                <w:sz w:val="24"/>
                <w:lang w:val="en-US" w:eastAsia="zh-CN"/>
              </w:rPr>
            </w:pPr>
          </w:p>
          <w:p w14:paraId="71F6DD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cs="Times New Roman"/>
                <w:b/>
                <w:bCs/>
                <w:color w:val="auto"/>
                <w:sz w:val="24"/>
                <w:lang w:val="en-US" w:eastAsia="zh-CN"/>
              </w:rPr>
            </w:pPr>
            <w:r>
              <w:rPr>
                <w:rFonts w:hint="eastAsia" w:cs="Times New Roman"/>
                <w:b/>
                <w:bCs/>
                <w:color w:val="auto"/>
                <w:sz w:val="24"/>
                <w:lang w:val="en-US" w:eastAsia="zh-CN"/>
              </w:rPr>
              <w:t xml:space="preserve">（2）各施工段工艺 </w:t>
            </w:r>
          </w:p>
          <w:p w14:paraId="023C2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cs="Times New Roman"/>
                <w:b/>
                <w:bCs/>
                <w:color w:val="auto"/>
                <w:sz w:val="24"/>
                <w:lang w:val="en-US" w:eastAsia="zh-CN"/>
              </w:rPr>
            </w:pPr>
            <w:r>
              <w:rPr>
                <w:rFonts w:hint="eastAsia" w:cs="Times New Roman"/>
                <w:b/>
                <w:bCs/>
                <w:color w:val="auto"/>
                <w:sz w:val="24"/>
                <w:lang w:val="en-US" w:eastAsia="zh-CN"/>
              </w:rPr>
              <w:t>1）钻探工程</w:t>
            </w:r>
          </w:p>
          <w:p w14:paraId="19B94B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s="Times New Roman"/>
                <w:b w:val="0"/>
                <w:bCs w:val="0"/>
                <w:color w:val="auto"/>
                <w:sz w:val="24"/>
                <w:lang w:val="en-US" w:eastAsia="zh-CN"/>
              </w:rPr>
            </w:pPr>
            <w:r>
              <w:rPr>
                <w:rFonts w:hint="eastAsia" w:cs="Times New Roman"/>
                <w:b w:val="0"/>
                <w:bCs w:val="0"/>
                <w:color w:val="auto"/>
                <w:sz w:val="24"/>
                <w:lang w:val="en-US" w:eastAsia="zh-CN"/>
              </w:rPr>
              <w:t>钻探工程在已剥离成型的工作面上实施，根据钻孔的目的可分为两种：灭火钻孔和观测钻孔。</w:t>
            </w:r>
          </w:p>
          <w:p w14:paraId="0B3C5C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s="Times New Roman"/>
                <w:b w:val="0"/>
                <w:bCs w:val="0"/>
                <w:color w:val="auto"/>
                <w:sz w:val="24"/>
                <w:lang w:val="en-US" w:eastAsia="zh-CN"/>
              </w:rPr>
            </w:pPr>
            <w:r>
              <w:rPr>
                <w:rFonts w:hint="eastAsia" w:ascii="宋体" w:hAnsi="宋体" w:eastAsia="宋体" w:cs="宋体"/>
                <w:b w:val="0"/>
                <w:bCs w:val="0"/>
                <w:color w:val="auto"/>
                <w:sz w:val="24"/>
                <w:lang w:val="en-US" w:eastAsia="zh-CN"/>
              </w:rPr>
              <w:t>①</w:t>
            </w:r>
            <w:r>
              <w:rPr>
                <w:rFonts w:hint="eastAsia" w:cs="Times New Roman"/>
                <w:b w:val="0"/>
                <w:bCs w:val="0"/>
                <w:color w:val="auto"/>
                <w:sz w:val="24"/>
                <w:lang w:val="en-US" w:eastAsia="zh-CN"/>
              </w:rPr>
              <w:t>灭火钻孔</w:t>
            </w:r>
          </w:p>
          <w:p w14:paraId="661F44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s="Times New Roman"/>
                <w:b w:val="0"/>
                <w:bCs w:val="0"/>
                <w:color w:val="auto"/>
                <w:sz w:val="24"/>
                <w:lang w:val="en-US" w:eastAsia="zh-CN"/>
              </w:rPr>
            </w:pPr>
            <w:r>
              <w:rPr>
                <w:rFonts w:hint="eastAsia" w:cs="Times New Roman"/>
                <w:b w:val="0"/>
                <w:bCs w:val="0"/>
                <w:color w:val="auto"/>
                <w:sz w:val="24"/>
                <w:lang w:val="en-US" w:eastAsia="zh-CN"/>
              </w:rPr>
              <w:t>对于地下岩层完整的深度火源，地表裂隙和人工鱼鳞坑注水无法直接到达火源，灭火效果不明显，此时钻孔注水是一种最有效的灭火方法，通过灭火钻孔向深部火源注水、注浆 ，可以扑灭深部火区或降低煤岩体温度。</w:t>
            </w:r>
          </w:p>
          <w:p w14:paraId="6BBDE460">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根据国内外煤田灭火的经验、《煤田火灾灭火规范》和《新疆煤田火区治理工作规范（试行）》要求，沿煤层倾向，布置灭火孔线，灭火孔线间距根据不同区域分别布置。</w:t>
            </w:r>
          </w:p>
          <w:p w14:paraId="030EB947">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根据火区详勘报告，火区高温点散布于整个火区范围。火区地表主要表现为采坑及裂隙，高温区主要分布在采坑内，呈条带状分布。</w:t>
            </w:r>
          </w:p>
          <w:p w14:paraId="1330F993">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由于该火区内地表裂隙发育、面积大、燃烧深度较深、燃烧煤层属急倾斜煤层，煤层厚小，为有效治理阜康西沙沟火区灾害问题，根据岩石裂隙率及浆液扩散半径，结合自治区多年的灭火施工经验，针对不同区域的特点分别确定孔线间距，各灭火钻孔全区布置，提高钻孔布置率。由于该火区沿着煤层走向燃烧，地表剥离以缓坡的形式，火区燃烧深度较深，最大为105m，为保证钻孔布置率，达到设计注水降温及灌浆充填效果，因此，设计线间距为25m（尽量与详勘剖面位置一致，便于对比验证），孔间距为25m。根据实验取得的注水及注浆作用半径及以往煤田火区治理经验，钻孔线间距及孔间距能满足该火区的注水及注浆施工需要。为保证火区治理成效，本次设计预留机动灭火钻孔工程量。为有效控制煤层燃烧体，并尽量减少钻孔工程量，针对急倾斜煤层的特点，根据钻孔所在位置 ，终孔位置布置在燃烧底界以上不大于5m 。为降低距离煤层顶底板较远的燃烧体温度并充填裂隙，根据新疆煤田灭火多年的施工经验，本次设计该部分区域钻孔采用深孔布置，以保证灭火效果。现场实际施工时，应先施工探火孔，探火孔终孔位置应进入燃烧底界以下5m，根据揭露的实际燃烧状况，适当进行调整灭火钻孔布置，在高温区域，适当加密钻孔布置，保证灭火的效率。所有钻孔兼做采空区勘查任务，并提出阶段性采空区勘查报告。</w:t>
            </w:r>
          </w:p>
          <w:p w14:paraId="54150B7E">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灭火孔径的选择主要考虑钻孔深度，根据国内外成熟的钻探灌浆经验，钻孔采用孔径为123mm的钻孔 ，钻孔施工完成后钻孔全孔下套管 ，有利于灌浆工程的实施 ，套管孔径为108mm。</w:t>
            </w:r>
          </w:p>
          <w:p w14:paraId="70182F5E">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由于本次火区剥离工程主要为推土机平整作业配合挖掘机局部剥离台阶，推土机平整作业区进行钻孔作业前，需对松散物料分层压实，以提高钻孔作业时的成孔率。分层厚度不大于50cm ，压实系数控制在90%左右。</w:t>
            </w:r>
          </w:p>
          <w:p w14:paraId="556D8DC1">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drawing>
                <wp:inline distT="0" distB="0" distL="0" distR="0">
                  <wp:extent cx="3639185" cy="900430"/>
                  <wp:effectExtent l="0" t="0" r="8890" b="4445"/>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20"/>
                          <a:stretch>
                            <a:fillRect/>
                          </a:stretch>
                        </pic:blipFill>
                        <pic:spPr>
                          <a:xfrm>
                            <a:off x="0" y="0"/>
                            <a:ext cx="3639185" cy="900430"/>
                          </a:xfrm>
                          <a:prstGeom prst="rect">
                            <a:avLst/>
                          </a:prstGeom>
                        </pic:spPr>
                      </pic:pic>
                    </a:graphicData>
                  </a:graphic>
                </wp:inline>
              </w:drawing>
            </w:r>
          </w:p>
          <w:p w14:paraId="5D396617">
            <w:pPr>
              <w:keepNext w:val="0"/>
              <w:keepLines w:val="0"/>
              <w:suppressLineNumbers w:val="0"/>
              <w:adjustRightInd w:val="0"/>
              <w:snapToGrid w:val="0"/>
              <w:spacing w:before="0" w:beforeAutospacing="0" w:after="0" w:afterAutospacing="0" w:line="360" w:lineRule="auto"/>
              <w:ind w:left="0" w:right="0" w:firstLine="482" w:firstLineChars="200"/>
              <w:jc w:val="center"/>
              <w:rPr>
                <w:rFonts w:hint="eastAsia" w:cs="Times New Roman"/>
                <w:b w:val="0"/>
                <w:bCs w:val="0"/>
                <w:color w:val="auto"/>
                <w:sz w:val="24"/>
                <w:szCs w:val="24"/>
                <w:lang w:val="en-US" w:eastAsia="zh-CN"/>
              </w:rPr>
            </w:pPr>
            <w:r>
              <w:rPr>
                <w:rFonts w:hint="eastAsia" w:cs="Times New Roman"/>
                <w:b/>
                <w:bCs/>
                <w:color w:val="auto"/>
                <w:sz w:val="24"/>
                <w:szCs w:val="24"/>
                <w:lang w:val="en-US" w:eastAsia="zh-CN"/>
              </w:rPr>
              <w:t>图2-4    钻孔布置示意图</w:t>
            </w:r>
          </w:p>
          <w:p w14:paraId="2580ED4A">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ascii="宋体" w:hAnsi="宋体" w:eastAsia="宋体" w:cs="宋体"/>
                <w:b w:val="0"/>
                <w:bCs w:val="0"/>
                <w:color w:val="auto"/>
                <w:sz w:val="24"/>
                <w:lang w:val="en-US" w:eastAsia="zh-CN"/>
              </w:rPr>
              <w:t>②</w:t>
            </w:r>
            <w:r>
              <w:rPr>
                <w:rFonts w:hint="eastAsia" w:cs="Times New Roman"/>
                <w:b w:val="0"/>
                <w:bCs w:val="0"/>
                <w:color w:val="auto"/>
                <w:sz w:val="24"/>
                <w:lang w:val="en-US" w:eastAsia="zh-CN"/>
              </w:rPr>
              <w:t>观测钻孔</w:t>
            </w:r>
          </w:p>
          <w:p w14:paraId="139B47A5">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观测钻孔作为长期观测孔为后期监测工作服务，一般在火源中心位置布设。根据《煤田火灾灭火规范》，观测孔孔间距为 50m～80m，该火区区域均为高温区，为有效监测火区治理效果，因此火区全区布设监测孔，观测孔孔间距为 60m。钻孔后同样下套管、注水，为方便监测时直接测量火源处温度和气体浓度。在地表上部留0.5m～1m的实管，并在孔口加装活动盖子，定期监测时打开，平时封闭。</w:t>
            </w:r>
          </w:p>
          <w:p w14:paraId="070882B9">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b/>
                <w:bCs/>
                <w:color w:val="auto"/>
                <w:sz w:val="24"/>
                <w:lang w:val="en-US" w:eastAsia="zh-CN"/>
              </w:rPr>
            </w:pPr>
          </w:p>
          <w:p w14:paraId="70F90882">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b/>
                <w:bCs/>
                <w:color w:val="auto"/>
                <w:sz w:val="24"/>
                <w:lang w:val="en-US" w:eastAsia="zh-CN"/>
              </w:rPr>
            </w:pPr>
          </w:p>
          <w:p w14:paraId="0100DE0D">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b/>
                <w:bCs/>
                <w:color w:val="auto"/>
                <w:sz w:val="24"/>
                <w:lang w:val="en-US" w:eastAsia="zh-CN"/>
              </w:rPr>
            </w:pPr>
            <w:r>
              <w:rPr>
                <w:rFonts w:hint="eastAsia" w:cs="Times New Roman"/>
                <w:b/>
                <w:bCs/>
                <w:color w:val="auto"/>
                <w:sz w:val="24"/>
                <w:lang w:val="en-US" w:eastAsia="zh-CN"/>
              </w:rPr>
              <w:t>2）注水工程</w:t>
            </w:r>
          </w:p>
          <w:p w14:paraId="6720D001">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 xml:space="preserve">注水施工包括地面注水施工和钻孔注水施工两个方面，地面注水目的是扑灭地表明火和降低地面温度，以确保钻探施工和剥离施工的安全实施。因此，该火区开展灭火施工前，首先向火区地面注水。开始可利用地表裂隙、塌陷坑注水，之后可利用人工鱼鳞坑注水，在火区地表温度降到要求温度以下后，实施火区机械剥离平整作业。 </w:t>
            </w:r>
          </w:p>
          <w:p w14:paraId="0DA2D5D6">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钻孔注水的目的是扑灭火区深部火源，在钻孔终孔后，应对钻孔实行大压力，适量的间歇式注水。实行大压力注水是为了扩大注水渗透范围， 最大范围的控制火源；适量注水是为了提高水的汽化率，尽可能多的带走燃烧体的热量；间歇式注水是为了避免在裂隙中形成冷却通道，防止注水沿着冷却通道流走。灭火用水由供水系统主管道供给。要求必须在主管路分配口处安装流量计，便于统计火区的注水量。</w:t>
            </w:r>
          </w:p>
          <w:p w14:paraId="5F73DFE1">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 xml:space="preserve">火区注水工程实施时，先对火区周边的高温裂隙注水。在注水过程中，应不断变动注水位置，使水充分汽化。当温度达到《煤田火灾灭火规范》的要求后，逐步向火区中间推进。 </w:t>
            </w:r>
          </w:p>
          <w:p w14:paraId="2D9E8958">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b/>
                <w:bCs/>
                <w:color w:val="auto"/>
                <w:sz w:val="24"/>
                <w:lang w:val="en-US" w:eastAsia="zh-CN"/>
              </w:rPr>
            </w:pPr>
            <w:r>
              <w:rPr>
                <w:rFonts w:hint="eastAsia" w:cs="Times New Roman"/>
                <w:b/>
                <w:bCs/>
                <w:color w:val="auto"/>
                <w:sz w:val="24"/>
                <w:lang w:val="en-US" w:eastAsia="zh-CN"/>
              </w:rPr>
              <w:t>3）注浆工程</w:t>
            </w:r>
          </w:p>
          <w:p w14:paraId="02AE2D15">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 xml:space="preserve">注浆是通过地表、鱼鳞坑、裂隙和钻孔，向火区注入配置好的惰性充填材料，起到封闭火区裂隙的作用。 </w:t>
            </w:r>
          </w:p>
          <w:p w14:paraId="32CB7C4D">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火区注浆包括地表注浆和深部注浆。地表注浆是利用地表塌陷坑、裂隙及人工鱼鳞坑进行注浆，目的是封闭地表浅层裂隙及地下烧空区。钻孔注浆是利用钻孔对火区深部进行封闭。在钻孔内一组煤岩体注水结束后即可对该段实施注浆工程，先在钻孔内下入注浆管（实管），注浆管下到注浆层位，利用注浆管把泥浆直接输送到该层位实施封闭。封闭结束待泥浆基本硬化后，再对其上部燃烧层注水降温，如此交替进行直至每个钻孔封闭结束。对火区实施钻孔注浆的目的是封闭充填火区下部的裂隙，阻断向火区内可燃物的供风通道，利用泥浆包裹可燃物以隔绝氧气，防止火区复燃。火区存在深部燃烧，采用深部注浆。</w:t>
            </w:r>
          </w:p>
          <w:p w14:paraId="0FFAE5D5">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注浆系统由供水系统、供料系统、制浆站、输浆系统和钻孔组成，可采用集中式或分区式布置。注浆材料一般为不含可燃及助燃的材料，直径不大于2mm ，小于1mm 应占75%，含砂量应达到25%～30%。一般采用黄土，必要时可采用其他材料。泥浆水土比一般为5:1～1:1。</w:t>
            </w:r>
          </w:p>
          <w:p w14:paraId="6460E334">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本设计采用地面固定式灌浆系统，由浆料储存场地连续式定量制浆、计量、输浆及管网系统等部分组成。灌浆介质为黄土，均由取土场进行取土。</w:t>
            </w:r>
          </w:p>
          <w:p w14:paraId="7BFA1150">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设计地表活火区采用水土比为3:1的黄泥浆灌注，该种注浆材料堆积性较高，不易流失，能充分堆积在隐蔽裂隙内，隔绝火区通道，以达到火区治理目标。浆液主要由水和土组成，根据灭火施工现场试验数据：制备1m</w:t>
            </w:r>
            <w:r>
              <w:rPr>
                <w:rFonts w:hint="eastAsia" w:cs="Times New Roman"/>
                <w:b w:val="0"/>
                <w:bCs w:val="0"/>
                <w:color w:val="auto"/>
                <w:sz w:val="24"/>
                <w:vertAlign w:val="superscript"/>
                <w:lang w:val="en-US" w:eastAsia="zh-CN"/>
              </w:rPr>
              <w:t>3</w:t>
            </w:r>
            <w:r>
              <w:rPr>
                <w:rFonts w:hint="eastAsia" w:cs="Times New Roman"/>
                <w:b w:val="0"/>
                <w:bCs w:val="0"/>
                <w:color w:val="auto"/>
                <w:sz w:val="24"/>
                <w:lang w:val="en-US" w:eastAsia="zh-CN"/>
              </w:rPr>
              <w:t>水土比为3:1普通黄泥浆灌注，需水约为 0.9m³、土约为 0.25m³。 泥浆由泥浆搅拌机来进行搅拌制备，通过管路注浆工程需要，在注浆的火区高点上建立制浆站。制浆站由2台泥浆搅拌机和1个泥浆池组成。搅拌机配制好的泥浆通过筛网排入泥浆池中，然后由泥浆池下部的排浆口通过胶管或淌槽利用自然高差输送到灭火孔及鱼鳞坑内。泥浆到达灭火孔的孔口时要再次过滤，以确保泥浆无杂物。</w:t>
            </w:r>
          </w:p>
          <w:p w14:paraId="25248ACB">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由于本火区后期为井工煤矿开采，结合专家现场论证意见及治理主体意愿，施工时，先施工探火孔，进一步查明火区分布，当温度较高时，施工灭火钻孔；当温度小于70℃时，可不施工灭火钻孔。灭火钻孔可采用液氮进行降温灭火，再进行封堵。尽量避免注浆影响后期井工煤矿安全开采。</w:t>
            </w:r>
          </w:p>
          <w:p w14:paraId="505BC4C7">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b/>
                <w:bCs/>
                <w:color w:val="auto"/>
                <w:sz w:val="24"/>
                <w:lang w:val="en-US" w:eastAsia="zh-CN"/>
              </w:rPr>
            </w:pPr>
            <w:r>
              <w:rPr>
                <w:rFonts w:hint="eastAsia" w:cs="Times New Roman"/>
                <w:b/>
                <w:bCs/>
                <w:color w:val="auto"/>
                <w:sz w:val="24"/>
                <w:lang w:val="en-US" w:eastAsia="zh-CN"/>
              </w:rPr>
              <w:t>4）剥离平整工程</w:t>
            </w:r>
          </w:p>
          <w:p w14:paraId="72BC5DEB">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剥离平整是灭火施工最重要和最基础的一道工艺，是为了剥除火区浅部露头火源及部分煤层顶板烧变岩，并改造深部火区上部的地形条件，为钻探、注水、注浆及砂土覆盖等工程创造一个合适的施工场地，对火区原始地形进行剥离形成台阶形成阶梯式场地。同时对地表塌陷坑及裂隙等进行回填，使火区地表形成能满足其它灭火工艺施工的工作环境。</w:t>
            </w:r>
          </w:p>
          <w:p w14:paraId="5FF57150">
            <w:pPr>
              <w:keepNext w:val="0"/>
              <w:keepLines w:val="0"/>
              <w:suppressLineNumbers w:val="0"/>
              <w:adjustRightInd w:val="0"/>
              <w:snapToGrid w:val="0"/>
              <w:spacing w:before="0" w:beforeAutospacing="0" w:after="0" w:afterAutospacing="0" w:line="360" w:lineRule="auto"/>
              <w:ind w:left="0" w:right="0" w:firstLine="480" w:firstLineChars="200"/>
              <w:rPr>
                <w:rFonts w:hint="default" w:cs="Times New Roman"/>
                <w:b w:val="0"/>
                <w:bCs w:val="0"/>
                <w:color w:val="auto"/>
                <w:sz w:val="24"/>
                <w:lang w:val="en-US" w:eastAsia="zh-CN"/>
              </w:rPr>
            </w:pPr>
            <w:r>
              <w:rPr>
                <w:rFonts w:hint="eastAsia" w:ascii="宋体" w:hAnsi="宋体" w:eastAsia="宋体" w:cs="宋体"/>
                <w:b w:val="0"/>
                <w:bCs w:val="0"/>
                <w:color w:val="auto"/>
                <w:sz w:val="24"/>
                <w:lang w:val="en-US" w:eastAsia="zh-CN"/>
              </w:rPr>
              <w:t>①</w:t>
            </w:r>
            <w:r>
              <w:rPr>
                <w:rFonts w:hint="eastAsia" w:cs="Times New Roman"/>
                <w:b w:val="0"/>
                <w:bCs w:val="0"/>
                <w:color w:val="auto"/>
                <w:sz w:val="24"/>
                <w:lang w:val="en-US" w:eastAsia="zh-CN"/>
              </w:rPr>
              <w:t>施工形式</w:t>
            </w:r>
          </w:p>
          <w:p w14:paraId="4448F7DD">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根据火区内坡度变化不大，且地表范围内无建构筑物的特点，结合其他火区灭火施工方式，本火区大部分原始地形坡度较缓的区域采用斜坡式剥离平整方式，局部原始地形坡度较大的区域采用台阶式剥离平整方式。</w:t>
            </w:r>
          </w:p>
          <w:p w14:paraId="06BE0852">
            <w:pPr>
              <w:keepNext w:val="0"/>
              <w:keepLines w:val="0"/>
              <w:suppressLineNumbers w:val="0"/>
              <w:adjustRightInd w:val="0"/>
              <w:snapToGrid w:val="0"/>
              <w:spacing w:before="0" w:beforeAutospacing="0" w:after="0" w:afterAutospacing="0" w:line="360" w:lineRule="auto"/>
              <w:ind w:left="0" w:right="0" w:firstLine="480" w:firstLineChars="200"/>
              <w:rPr>
                <w:rFonts w:hint="default" w:cs="Times New Roman"/>
                <w:b w:val="0"/>
                <w:bCs w:val="0"/>
                <w:color w:val="auto"/>
                <w:sz w:val="24"/>
                <w:lang w:val="en-US" w:eastAsia="zh-CN"/>
              </w:rPr>
            </w:pPr>
            <w:r>
              <w:rPr>
                <w:rFonts w:hint="eastAsia" w:ascii="宋体" w:hAnsi="宋体" w:eastAsia="宋体" w:cs="宋体"/>
                <w:b w:val="0"/>
                <w:bCs w:val="0"/>
                <w:color w:val="auto"/>
                <w:sz w:val="24"/>
                <w:lang w:val="en-US" w:eastAsia="zh-CN"/>
              </w:rPr>
              <w:t>②</w:t>
            </w:r>
            <w:r>
              <w:rPr>
                <w:rFonts w:hint="eastAsia" w:cs="Times New Roman"/>
                <w:b w:val="0"/>
                <w:bCs w:val="0"/>
                <w:color w:val="auto"/>
                <w:sz w:val="24"/>
                <w:lang w:val="en-US" w:eastAsia="zh-CN"/>
              </w:rPr>
              <w:t>火区剥离范围</w:t>
            </w:r>
          </w:p>
          <w:p w14:paraId="09B60B57">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由于本次火区治理采用注水注浆为主，需要在火区范围内的坡地剥离出注水注浆孔位工作平台，火区不进行深挖剥离。</w:t>
            </w:r>
          </w:p>
          <w:p w14:paraId="34E074FA">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仅对火区内地形坡度较大处或单个孔位作业平台范围进行开挖 ，不扰动其他区域。三个子火区的剥离扰土范围如下：</w:t>
            </w:r>
          </w:p>
          <w:p w14:paraId="202C8B3C">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1号子火区：主要扰土范围在子火区的东侧，主要剥离地段位于钻孔布置平台。</w:t>
            </w:r>
          </w:p>
          <w:p w14:paraId="74C64850">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2地子火区：范围较小，原始地形相对较大，设计剥离台阶和斜坡相结合，几乎整个子火区范围均受到扰动。</w:t>
            </w:r>
          </w:p>
          <w:p w14:paraId="17908443">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3号子火区 ：范围较小，原始地形相对较平坦 ，仅进行平整即可。</w:t>
            </w:r>
          </w:p>
          <w:p w14:paraId="41CF0969">
            <w:pPr>
              <w:keepNext w:val="0"/>
              <w:keepLines w:val="0"/>
              <w:suppressLineNumbers w:val="0"/>
              <w:adjustRightInd w:val="0"/>
              <w:snapToGrid w:val="0"/>
              <w:spacing w:before="0" w:beforeAutospacing="0" w:after="0" w:afterAutospacing="0" w:line="360" w:lineRule="auto"/>
              <w:ind w:left="0" w:right="0" w:firstLine="480" w:firstLineChars="200"/>
              <w:rPr>
                <w:rFonts w:hint="default" w:cs="Times New Roman"/>
                <w:b w:val="0"/>
                <w:bCs w:val="0"/>
                <w:color w:val="auto"/>
                <w:sz w:val="24"/>
                <w:lang w:val="en-US" w:eastAsia="zh-CN"/>
              </w:rPr>
            </w:pPr>
            <w:r>
              <w:rPr>
                <w:rFonts w:hint="eastAsia" w:cs="Times New Roman"/>
                <w:b w:val="0"/>
                <w:bCs w:val="0"/>
                <w:color w:val="auto"/>
                <w:sz w:val="24"/>
                <w:lang w:val="en-US" w:eastAsia="zh-CN"/>
              </w:rPr>
              <w:t>各火区扰土范围详见表2-10。</w:t>
            </w:r>
          </w:p>
          <w:p w14:paraId="377CE078">
            <w:pPr>
              <w:keepNext w:val="0"/>
              <w:keepLines w:val="0"/>
              <w:suppressLineNumbers w:val="0"/>
              <w:adjustRightInd w:val="0"/>
              <w:snapToGrid w:val="0"/>
              <w:spacing w:before="0" w:beforeAutospacing="0" w:after="0" w:afterAutospacing="0" w:line="360" w:lineRule="auto"/>
              <w:ind w:left="0" w:right="0"/>
              <w:jc w:val="center"/>
              <w:rPr>
                <w:rFonts w:hint="eastAsia" w:cs="Times New Roman"/>
                <w:b/>
                <w:bCs/>
                <w:color w:val="auto"/>
                <w:sz w:val="21"/>
                <w:szCs w:val="21"/>
                <w:lang w:val="en-US" w:eastAsia="zh-CN"/>
              </w:rPr>
            </w:pPr>
            <w:r>
              <w:rPr>
                <w:rFonts w:hint="eastAsia" w:cs="Times New Roman"/>
                <w:b/>
                <w:bCs/>
                <w:color w:val="auto"/>
                <w:sz w:val="21"/>
                <w:szCs w:val="21"/>
                <w:lang w:val="en-US" w:eastAsia="zh-CN"/>
              </w:rPr>
              <w:t>表2-10    火区剥离范围拐点坐标一览表</w:t>
            </w:r>
          </w:p>
          <w:tbl>
            <w:tblPr>
              <w:tblStyle w:val="27"/>
              <w:tblW w:w="8391"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908"/>
              <w:gridCol w:w="2640"/>
              <w:gridCol w:w="2746"/>
            </w:tblGrid>
            <w:tr w14:paraId="527C41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tcBorders>
                    <w:tl2br w:val="nil"/>
                    <w:tr2bl w:val="nil"/>
                  </w:tcBorders>
                  <w:vAlign w:val="center"/>
                </w:tcPr>
                <w:p w14:paraId="00F6425D">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火区编号</w:t>
                  </w:r>
                </w:p>
              </w:tc>
              <w:tc>
                <w:tcPr>
                  <w:tcW w:w="908" w:type="dxa"/>
                  <w:tcBorders>
                    <w:tl2br w:val="nil"/>
                    <w:tr2bl w:val="nil"/>
                  </w:tcBorders>
                  <w:vAlign w:val="center"/>
                </w:tcPr>
                <w:p w14:paraId="40A362B9">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序号</w:t>
                  </w:r>
                </w:p>
              </w:tc>
              <w:tc>
                <w:tcPr>
                  <w:tcW w:w="2640" w:type="dxa"/>
                  <w:tcBorders>
                    <w:tl2br w:val="nil"/>
                    <w:tr2bl w:val="nil"/>
                  </w:tcBorders>
                  <w:vAlign w:val="center"/>
                </w:tcPr>
                <w:p w14:paraId="23B4AEDC">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X（m）</w:t>
                  </w:r>
                </w:p>
              </w:tc>
              <w:tc>
                <w:tcPr>
                  <w:tcW w:w="2746" w:type="dxa"/>
                  <w:tcBorders>
                    <w:tl2br w:val="nil"/>
                    <w:tr2bl w:val="nil"/>
                  </w:tcBorders>
                  <w:vAlign w:val="center"/>
                </w:tcPr>
                <w:p w14:paraId="3F51A8F7">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Y（m）</w:t>
                  </w:r>
                </w:p>
              </w:tc>
            </w:tr>
            <w:tr w14:paraId="64A5A5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restart"/>
                  <w:tcBorders>
                    <w:tl2br w:val="nil"/>
                    <w:tr2bl w:val="nil"/>
                  </w:tcBorders>
                  <w:vAlign w:val="center"/>
                </w:tcPr>
                <w:p w14:paraId="3909B2A1">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1号子火区</w:t>
                  </w:r>
                </w:p>
              </w:tc>
              <w:tc>
                <w:tcPr>
                  <w:tcW w:w="908" w:type="dxa"/>
                  <w:tcBorders>
                    <w:tl2br w:val="nil"/>
                    <w:tr2bl w:val="nil"/>
                  </w:tcBorders>
                  <w:vAlign w:val="center"/>
                </w:tcPr>
                <w:p w14:paraId="312FD6D0">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1</w:t>
                  </w:r>
                </w:p>
              </w:tc>
              <w:tc>
                <w:tcPr>
                  <w:tcW w:w="2640" w:type="dxa"/>
                  <w:tcBorders>
                    <w:tl2br w:val="nil"/>
                    <w:tr2bl w:val="nil"/>
                  </w:tcBorders>
                  <w:vAlign w:val="top"/>
                </w:tcPr>
                <w:p w14:paraId="49F83381">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47DEDECD">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3A47F8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2097" w:type="dxa"/>
                  <w:vMerge w:val="continue"/>
                  <w:tcBorders>
                    <w:tl2br w:val="nil"/>
                    <w:tr2bl w:val="nil"/>
                  </w:tcBorders>
                  <w:vAlign w:val="center"/>
                </w:tcPr>
                <w:p w14:paraId="5EAE8C60">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3E237E8F">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2</w:t>
                  </w:r>
                </w:p>
              </w:tc>
              <w:tc>
                <w:tcPr>
                  <w:tcW w:w="2640" w:type="dxa"/>
                  <w:tcBorders>
                    <w:tl2br w:val="nil"/>
                    <w:tr2bl w:val="nil"/>
                  </w:tcBorders>
                  <w:vAlign w:val="top"/>
                </w:tcPr>
                <w:p w14:paraId="0FCB2C95">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3907ED52">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1CAF23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continue"/>
                  <w:tcBorders>
                    <w:tl2br w:val="nil"/>
                    <w:tr2bl w:val="nil"/>
                  </w:tcBorders>
                  <w:vAlign w:val="center"/>
                </w:tcPr>
                <w:p w14:paraId="51E83325">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0DABD13D">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3</w:t>
                  </w:r>
                </w:p>
              </w:tc>
              <w:tc>
                <w:tcPr>
                  <w:tcW w:w="2640" w:type="dxa"/>
                  <w:tcBorders>
                    <w:tl2br w:val="nil"/>
                    <w:tr2bl w:val="nil"/>
                  </w:tcBorders>
                  <w:vAlign w:val="top"/>
                </w:tcPr>
                <w:p w14:paraId="0BD0F2C3">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23822A39">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7FAF5D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continue"/>
                  <w:tcBorders>
                    <w:tl2br w:val="nil"/>
                    <w:tr2bl w:val="nil"/>
                  </w:tcBorders>
                  <w:vAlign w:val="center"/>
                </w:tcPr>
                <w:p w14:paraId="7C7E12A6">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4E537686">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4</w:t>
                  </w:r>
                </w:p>
              </w:tc>
              <w:tc>
                <w:tcPr>
                  <w:tcW w:w="2640" w:type="dxa"/>
                  <w:tcBorders>
                    <w:tl2br w:val="nil"/>
                    <w:tr2bl w:val="nil"/>
                  </w:tcBorders>
                  <w:vAlign w:val="top"/>
                </w:tcPr>
                <w:p w14:paraId="1B7E79CF">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5308D7F5">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6A8D9D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continue"/>
                  <w:tcBorders>
                    <w:tl2br w:val="nil"/>
                    <w:tr2bl w:val="nil"/>
                  </w:tcBorders>
                  <w:vAlign w:val="center"/>
                </w:tcPr>
                <w:p w14:paraId="23AA1292">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4419FD05">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5</w:t>
                  </w:r>
                </w:p>
              </w:tc>
              <w:tc>
                <w:tcPr>
                  <w:tcW w:w="2640" w:type="dxa"/>
                  <w:tcBorders>
                    <w:tl2br w:val="nil"/>
                    <w:tr2bl w:val="nil"/>
                  </w:tcBorders>
                  <w:vAlign w:val="top"/>
                </w:tcPr>
                <w:p w14:paraId="698C456A">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7F9F889B">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609C59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restart"/>
                  <w:tcBorders>
                    <w:tl2br w:val="nil"/>
                    <w:tr2bl w:val="nil"/>
                  </w:tcBorders>
                  <w:vAlign w:val="center"/>
                </w:tcPr>
                <w:p w14:paraId="696A41C7">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2地子火区</w:t>
                  </w:r>
                </w:p>
              </w:tc>
              <w:tc>
                <w:tcPr>
                  <w:tcW w:w="908" w:type="dxa"/>
                  <w:tcBorders>
                    <w:tl2br w:val="nil"/>
                    <w:tr2bl w:val="nil"/>
                  </w:tcBorders>
                  <w:vAlign w:val="center"/>
                </w:tcPr>
                <w:p w14:paraId="732A28F8">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1</w:t>
                  </w:r>
                </w:p>
              </w:tc>
              <w:tc>
                <w:tcPr>
                  <w:tcW w:w="2640" w:type="dxa"/>
                  <w:tcBorders>
                    <w:tl2br w:val="nil"/>
                    <w:tr2bl w:val="nil"/>
                  </w:tcBorders>
                  <w:vAlign w:val="top"/>
                </w:tcPr>
                <w:p w14:paraId="41BF41C6">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175A9918">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7CD951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continue"/>
                  <w:tcBorders>
                    <w:tl2br w:val="nil"/>
                    <w:tr2bl w:val="nil"/>
                  </w:tcBorders>
                  <w:vAlign w:val="center"/>
                </w:tcPr>
                <w:p w14:paraId="012037E6">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40B47E61">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2</w:t>
                  </w:r>
                </w:p>
              </w:tc>
              <w:tc>
                <w:tcPr>
                  <w:tcW w:w="2640" w:type="dxa"/>
                  <w:tcBorders>
                    <w:tl2br w:val="nil"/>
                    <w:tr2bl w:val="nil"/>
                  </w:tcBorders>
                  <w:vAlign w:val="top"/>
                </w:tcPr>
                <w:p w14:paraId="7BD98276">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71BCB30C">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188CF4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continue"/>
                  <w:tcBorders>
                    <w:tl2br w:val="nil"/>
                    <w:tr2bl w:val="nil"/>
                  </w:tcBorders>
                  <w:vAlign w:val="center"/>
                </w:tcPr>
                <w:p w14:paraId="7C9D853F">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4D95C348">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3</w:t>
                  </w:r>
                </w:p>
              </w:tc>
              <w:tc>
                <w:tcPr>
                  <w:tcW w:w="2640" w:type="dxa"/>
                  <w:tcBorders>
                    <w:tl2br w:val="nil"/>
                    <w:tr2bl w:val="nil"/>
                  </w:tcBorders>
                  <w:vAlign w:val="top"/>
                </w:tcPr>
                <w:p w14:paraId="4A06F22B">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439DC7E1">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086BC3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continue"/>
                  <w:tcBorders>
                    <w:tl2br w:val="nil"/>
                    <w:tr2bl w:val="nil"/>
                  </w:tcBorders>
                  <w:vAlign w:val="center"/>
                </w:tcPr>
                <w:p w14:paraId="0A2E7992">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56A089DE">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4</w:t>
                  </w:r>
                </w:p>
              </w:tc>
              <w:tc>
                <w:tcPr>
                  <w:tcW w:w="2640" w:type="dxa"/>
                  <w:tcBorders>
                    <w:tl2br w:val="nil"/>
                    <w:tr2bl w:val="nil"/>
                  </w:tcBorders>
                  <w:vAlign w:val="top"/>
                </w:tcPr>
                <w:p w14:paraId="70C00064">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438F6227">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1502AC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continue"/>
                  <w:tcBorders>
                    <w:tl2br w:val="nil"/>
                    <w:tr2bl w:val="nil"/>
                  </w:tcBorders>
                  <w:vAlign w:val="center"/>
                </w:tcPr>
                <w:p w14:paraId="7E07A4F0">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613AFE0C">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5</w:t>
                  </w:r>
                </w:p>
              </w:tc>
              <w:tc>
                <w:tcPr>
                  <w:tcW w:w="2640" w:type="dxa"/>
                  <w:tcBorders>
                    <w:tl2br w:val="nil"/>
                    <w:tr2bl w:val="nil"/>
                  </w:tcBorders>
                  <w:vAlign w:val="top"/>
                </w:tcPr>
                <w:p w14:paraId="20397824">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770EB80D">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4166B2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continue"/>
                  <w:tcBorders>
                    <w:tl2br w:val="nil"/>
                    <w:tr2bl w:val="nil"/>
                  </w:tcBorders>
                  <w:vAlign w:val="center"/>
                </w:tcPr>
                <w:p w14:paraId="3942A7CC">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4F629AC7">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6</w:t>
                  </w:r>
                </w:p>
              </w:tc>
              <w:tc>
                <w:tcPr>
                  <w:tcW w:w="2640" w:type="dxa"/>
                  <w:tcBorders>
                    <w:tl2br w:val="nil"/>
                    <w:tr2bl w:val="nil"/>
                  </w:tcBorders>
                  <w:vAlign w:val="top"/>
                </w:tcPr>
                <w:p w14:paraId="30E707D6">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3F7BAE12">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061114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continue"/>
                  <w:tcBorders>
                    <w:tl2br w:val="nil"/>
                    <w:tr2bl w:val="nil"/>
                  </w:tcBorders>
                  <w:vAlign w:val="center"/>
                </w:tcPr>
                <w:p w14:paraId="0C2B5589">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78F97322">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7</w:t>
                  </w:r>
                </w:p>
              </w:tc>
              <w:tc>
                <w:tcPr>
                  <w:tcW w:w="2640" w:type="dxa"/>
                  <w:tcBorders>
                    <w:tl2br w:val="nil"/>
                    <w:tr2bl w:val="nil"/>
                  </w:tcBorders>
                  <w:vAlign w:val="top"/>
                </w:tcPr>
                <w:p w14:paraId="0827354A">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5BC4259F">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0CD7115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continue"/>
                  <w:tcBorders>
                    <w:tl2br w:val="nil"/>
                    <w:tr2bl w:val="nil"/>
                  </w:tcBorders>
                  <w:vAlign w:val="center"/>
                </w:tcPr>
                <w:p w14:paraId="54ED71E7">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1463256E">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8</w:t>
                  </w:r>
                </w:p>
              </w:tc>
              <w:tc>
                <w:tcPr>
                  <w:tcW w:w="2640" w:type="dxa"/>
                  <w:tcBorders>
                    <w:tl2br w:val="nil"/>
                    <w:tr2bl w:val="nil"/>
                  </w:tcBorders>
                  <w:vAlign w:val="top"/>
                </w:tcPr>
                <w:p w14:paraId="0F2E87D1">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185790F1">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r w14:paraId="7BB307A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097" w:type="dxa"/>
                  <w:vMerge w:val="continue"/>
                  <w:tcBorders>
                    <w:tl2br w:val="nil"/>
                    <w:tr2bl w:val="nil"/>
                  </w:tcBorders>
                  <w:vAlign w:val="center"/>
                </w:tcPr>
                <w:p w14:paraId="614884EA">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908" w:type="dxa"/>
                  <w:tcBorders>
                    <w:tl2br w:val="nil"/>
                    <w:tr2bl w:val="nil"/>
                  </w:tcBorders>
                  <w:vAlign w:val="center"/>
                </w:tcPr>
                <w:p w14:paraId="49914C7D">
                  <w:pPr>
                    <w:keepNext w:val="0"/>
                    <w:keepLines w:val="0"/>
                    <w:suppressLineNumbers w:val="0"/>
                    <w:adjustRightInd w:val="0"/>
                    <w:snapToGrid w:val="0"/>
                    <w:spacing w:before="0" w:beforeAutospacing="0" w:after="0" w:afterAutospacing="0" w:line="240" w:lineRule="auto"/>
                    <w:ind w:left="0" w:right="0"/>
                    <w:jc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9</w:t>
                  </w:r>
                </w:p>
              </w:tc>
              <w:tc>
                <w:tcPr>
                  <w:tcW w:w="2640" w:type="dxa"/>
                  <w:tcBorders>
                    <w:tl2br w:val="nil"/>
                    <w:tr2bl w:val="nil"/>
                  </w:tcBorders>
                  <w:vAlign w:val="top"/>
                </w:tcPr>
                <w:p w14:paraId="02D09FA1">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c>
                <w:tcPr>
                  <w:tcW w:w="2746" w:type="dxa"/>
                  <w:tcBorders>
                    <w:tl2br w:val="nil"/>
                    <w:tr2bl w:val="nil"/>
                  </w:tcBorders>
                  <w:vAlign w:val="top"/>
                </w:tcPr>
                <w:p w14:paraId="56EC4F11">
                  <w:pPr>
                    <w:keepNext w:val="0"/>
                    <w:keepLines w:val="0"/>
                    <w:suppressLineNumbers w:val="0"/>
                    <w:adjustRightInd w:val="0"/>
                    <w:snapToGrid w:val="0"/>
                    <w:spacing w:before="0" w:beforeAutospacing="0" w:after="0" w:afterAutospacing="0" w:line="240" w:lineRule="auto"/>
                    <w:ind w:left="0" w:right="0"/>
                    <w:jc w:val="center"/>
                    <w:rPr>
                      <w:rFonts w:hint="eastAsia" w:cs="Times New Roman"/>
                      <w:b w:val="0"/>
                      <w:bCs w:val="0"/>
                      <w:color w:val="auto"/>
                      <w:sz w:val="21"/>
                      <w:szCs w:val="21"/>
                      <w:lang w:val="en-US" w:eastAsia="zh-CN"/>
                    </w:rPr>
                  </w:pPr>
                </w:p>
              </w:tc>
            </w:tr>
          </w:tbl>
          <w:p w14:paraId="6475C3BF">
            <w:pPr>
              <w:keepNext w:val="0"/>
              <w:keepLines w:val="0"/>
              <w:suppressLineNumbers w:val="0"/>
              <w:adjustRightInd w:val="0"/>
              <w:snapToGrid w:val="0"/>
              <w:spacing w:before="0" w:beforeAutospacing="0" w:after="0" w:afterAutospacing="0" w:line="360" w:lineRule="auto"/>
              <w:ind w:left="0" w:right="0" w:firstLine="480" w:firstLineChars="200"/>
              <w:rPr>
                <w:rFonts w:hint="default" w:cs="Times New Roman"/>
                <w:b w:val="0"/>
                <w:bCs w:val="0"/>
                <w:color w:val="auto"/>
                <w:sz w:val="24"/>
                <w:lang w:val="en-US" w:eastAsia="zh-CN"/>
              </w:rPr>
            </w:pPr>
            <w:r>
              <w:rPr>
                <w:rFonts w:hint="eastAsia" w:ascii="仿宋_GB2312" w:hAnsi="仿宋_GB2312" w:eastAsia="仿宋_GB2312" w:cs="仿宋_GB2312"/>
                <w:b w:val="0"/>
                <w:bCs w:val="0"/>
                <w:color w:val="auto"/>
                <w:sz w:val="24"/>
                <w:lang w:val="en-US" w:eastAsia="zh-CN"/>
              </w:rPr>
              <w:t>③</w:t>
            </w:r>
            <w:r>
              <w:rPr>
                <w:rFonts w:hint="eastAsia" w:cs="Times New Roman"/>
                <w:b w:val="0"/>
                <w:bCs w:val="0"/>
                <w:color w:val="auto"/>
                <w:sz w:val="24"/>
                <w:lang w:val="en-US" w:eastAsia="zh-CN"/>
              </w:rPr>
              <w:t>剥离平整施工方式</w:t>
            </w:r>
          </w:p>
          <w:p w14:paraId="1D949BFB">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a.钻孔施工</w:t>
            </w:r>
          </w:p>
          <w:p w14:paraId="33036E5C">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摸清采空区位置，需要采用钻探法对各煤层采空区进行勘探，以提供较为准确的采空区资料。首先采用物探技术探测出异常区，然后再根据异常区进行设计布孔，当钻孔出现采空区的孔位时，再根据此孔位置在其左右两侧10m处继续钻孔，当钻出正常孔位后，退回5m处再钻1个孔，通过此法，可以将采空区的边界控制在2.5m的范围内，以较为准确地确定采空区的空间位置。</w:t>
            </w:r>
          </w:p>
          <w:p w14:paraId="4DC7B125">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b.覆盖作业</w:t>
            </w:r>
          </w:p>
          <w:p w14:paraId="03D052EB">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为确保着火煤层与空气彻底隔绝，需对裸露出的火区进行覆盖，主要采用砂土、粘土等填充物覆盖火区巷道及裸露着火体，降低其燃烧温度，阻断其供氧通道，便于剥离作业。</w:t>
            </w:r>
          </w:p>
          <w:p w14:paraId="0059C108">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c.剥离作业</w:t>
            </w:r>
          </w:p>
          <w:p w14:paraId="4015729B">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bCs/>
                <w:color w:val="auto"/>
                <w:sz w:val="24"/>
                <w:lang w:val="en-US" w:eastAsia="zh-CN"/>
              </w:rPr>
            </w:pPr>
            <w:r>
              <w:rPr>
                <w:rFonts w:hint="eastAsia" w:cs="Times New Roman"/>
                <w:b w:val="0"/>
                <w:bCs w:val="0"/>
                <w:color w:val="auto"/>
                <w:sz w:val="24"/>
                <w:lang w:val="en-US" w:eastAsia="zh-CN"/>
              </w:rPr>
              <w:t>本火区剥离作业主要为机械剥离。斜坡式剥离一般采用推土机和挖掘机配合进行剥离施工，挖掘机对火区上部较为坚硬的岩石进行免爆松动和破碎，然后进行挖运；推土机对火区上部的软岩石或破碎岩石进行推运。台阶剥离一般采用推土机和挖掘机配合进行剥离施工，挖掘机对火区上部较为坚硬的岩石进行免爆松动和破碎，然后进行挖运；推土机对火区上部的软岩石或破碎岩石进行推运。</w:t>
            </w:r>
          </w:p>
          <w:p w14:paraId="0D369FF1">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b/>
                <w:bCs/>
                <w:color w:val="auto"/>
                <w:sz w:val="24"/>
                <w:lang w:val="en-US" w:eastAsia="zh-CN"/>
              </w:rPr>
            </w:pPr>
            <w:r>
              <w:rPr>
                <w:rFonts w:hint="eastAsia" w:cs="Times New Roman"/>
                <w:b/>
                <w:bCs/>
                <w:color w:val="auto"/>
                <w:sz w:val="24"/>
                <w:lang w:val="en-US" w:eastAsia="zh-CN"/>
              </w:rPr>
              <w:t>5）覆盖工程</w:t>
            </w:r>
          </w:p>
          <w:p w14:paraId="32B9F688">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 xml:space="preserve">黄土覆盖是通过对火区地表用黄土等具有一定密实性的惰性材料进行覆盖，起到密闭火区和隔绝氧气的作用。覆盖工程是灭火工程必需的一道工序，避免因为漏风致使已扑灭火灾复燃，同时在火区地表覆盖砂土也有利于植被的生长，起一定的环保作用。 </w:t>
            </w:r>
          </w:p>
          <w:p w14:paraId="7B16011D">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本工程拟选土源地为含沙量适中的黄土，覆盖范围为三个子火区范围全覆盖，覆盖厚度1.5m。</w:t>
            </w:r>
          </w:p>
          <w:p w14:paraId="02D0C0B1">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黄土覆盖施工的程序为：采运→平整→压实→恢复植被。</w:t>
            </w:r>
          </w:p>
          <w:p w14:paraId="3527C03C">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 xml:space="preserve">①采运作业 </w:t>
            </w:r>
          </w:p>
          <w:p w14:paraId="2ABF5385">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 xml:space="preserve">采土场采用挖掘机—自卸汽车开拓工艺，由自卸汽车将覆盖砂土运至火区剥离面。 </w:t>
            </w:r>
          </w:p>
          <w:p w14:paraId="2D7FBD97">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 xml:space="preserve">②平整作业 </w:t>
            </w:r>
          </w:p>
          <w:p w14:paraId="556B2786">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火区的平整作业前，应进行洒水降温，确保施工车辆安全，并保证砂土能与剥离面更好地结合。自卸车将砂土运至洒水后的剥离面卸载，斜坡段由推土机进行平整，阶梯段采用挖掘机平整。覆盖层分层平整，分层厚度不大于25cm，以利于覆盖层压实，当第一层平整完毕后，再进行第二层施工。根据覆土部位深度设置覆盖腰线桩，并将覆盖标高位置在腰线桩上标明，便于施工控制。现场施工人员根据测量提供的数据指挥卸土位置和土方量，避免来回倒运。平整范围为火区剥离范围，平整作业时需去除砂土中混入的碎石等较大物体。</w:t>
            </w:r>
          </w:p>
          <w:p w14:paraId="51344B5F">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 xml:space="preserve">③压实作业 </w:t>
            </w:r>
          </w:p>
          <w:p w14:paraId="11CC9201">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砂土覆盖层必须分层压实，为确保覆盖层的密实性，同时为便于自卸车辆行驶，要求台阶回填阶段的压实度参照四级路基地基表层碾压处理压实度控制标准，覆盖层压实系数控制在90%左右 ，检测不满足处需进行补压处理 。 分层碾压厚度为每层不大于25cm ，具体压实方法为横断面全宽纵向水平分层压实 ，虚铺厚度在35cm~40cm，填筑压实期间，采用弱碾压区冲压补强手段，以达到压实要求。斜坡段洒水后采用推土机往复碾压 ，坡度大于12%的地段 ，采用纵向分层法施工，沿坡分层 ，逐层填压密实。</w:t>
            </w:r>
          </w:p>
          <w:p w14:paraId="1625F9DA">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斜坡面采用挖掘机自下向上培实处理，参照填方段路基边坡处理方式。</w:t>
            </w:r>
          </w:p>
          <w:p w14:paraId="18B9187B">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在不需要台阶剥离的区域，为保障植被对植被土有较高的基质吸力及持水能力，土体压实度不应小于90%。</w:t>
            </w:r>
          </w:p>
          <w:p w14:paraId="7106839A">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④修防洪堤</w:t>
            </w:r>
          </w:p>
          <w:p w14:paraId="72C82A3E">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本火区位于中低山区，火区范围标高较周边地河流高，河流洪水不会对覆盖层构成威胁。但为保证春季融水期和暴雨期产生短暂汇水不会对覆盖区产生影响，设计在覆盖区地势较高处设置截水沟，将上部汇水疏导至较低处，截水沟采用土明沟，深度、宽度均为40cm，长度约600m，面积240m</w:t>
            </w:r>
            <w:r>
              <w:rPr>
                <w:rFonts w:hint="eastAsia" w:cs="Times New Roman"/>
                <w:b w:val="0"/>
                <w:bCs w:val="0"/>
                <w:color w:val="auto"/>
                <w:sz w:val="24"/>
                <w:vertAlign w:val="superscript"/>
                <w:lang w:val="en-US" w:eastAsia="zh-CN"/>
              </w:rPr>
              <w:t>2</w:t>
            </w:r>
            <w:r>
              <w:rPr>
                <w:rFonts w:hint="eastAsia" w:cs="Times New Roman"/>
                <w:b w:val="0"/>
                <w:bCs w:val="0"/>
                <w:color w:val="auto"/>
                <w:sz w:val="24"/>
                <w:lang w:val="en-US" w:eastAsia="zh-CN"/>
              </w:rPr>
              <w:t>。</w:t>
            </w:r>
          </w:p>
          <w:p w14:paraId="444E300E">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⑤恢复植被</w:t>
            </w:r>
          </w:p>
          <w:p w14:paraId="142E9297">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b w:val="0"/>
                <w:bCs w:val="0"/>
                <w:color w:val="auto"/>
                <w:sz w:val="24"/>
                <w:lang w:val="en-US" w:eastAsia="zh-CN"/>
              </w:rPr>
            </w:pPr>
            <w:r>
              <w:rPr>
                <w:rFonts w:hint="eastAsia" w:cs="Times New Roman"/>
                <w:b w:val="0"/>
                <w:bCs w:val="0"/>
                <w:color w:val="auto"/>
                <w:sz w:val="24"/>
                <w:lang w:val="en-US" w:eastAsia="zh-CN"/>
              </w:rPr>
              <w:t>当砂土覆盖层达到施工高度后，再将剥离区、采土场先期剥离的腐殖土覆盖在砂土覆盖层上。并根据周边植被环境，选择适宜的，生长速度较快的植物进行植被恢复。</w:t>
            </w:r>
          </w:p>
          <w:p w14:paraId="2E43593F">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eastAsia="宋体" w:cs="Times New Roman"/>
                <w:b/>
                <w:bCs/>
                <w:color w:val="auto"/>
                <w:sz w:val="24"/>
                <w:highlight w:val="none"/>
                <w:lang w:val="en-US" w:eastAsia="zh-CN"/>
              </w:rPr>
            </w:pPr>
            <w:r>
              <w:rPr>
                <w:rFonts w:hint="eastAsia" w:cs="Times New Roman"/>
                <w:b/>
                <w:bCs/>
                <w:color w:val="auto"/>
                <w:sz w:val="24"/>
                <w:lang w:val="en-US" w:eastAsia="zh-CN"/>
              </w:rPr>
              <w:t>2、</w:t>
            </w:r>
            <w:r>
              <w:rPr>
                <w:rFonts w:hint="eastAsia" w:ascii="Times New Roman" w:hAnsi="Times New Roman" w:eastAsia="宋体" w:cs="Times New Roman"/>
                <w:b/>
                <w:bCs/>
                <w:color w:val="auto"/>
                <w:sz w:val="24"/>
              </w:rPr>
              <w:t>施工时序</w:t>
            </w:r>
            <w:r>
              <w:rPr>
                <w:rFonts w:hint="eastAsia" w:ascii="Times New Roman" w:hAnsi="Times New Roman" w:eastAsia="宋体" w:cs="Times New Roman"/>
                <w:b/>
                <w:bCs/>
                <w:color w:val="auto"/>
                <w:sz w:val="24"/>
                <w:lang w:val="en-US" w:eastAsia="zh-CN"/>
              </w:rPr>
              <w:t>及</w:t>
            </w:r>
            <w:r>
              <w:rPr>
                <w:rFonts w:hint="eastAsia" w:ascii="Times New Roman" w:hAnsi="Times New Roman" w:cs="Times New Roman"/>
                <w:b/>
                <w:bCs/>
                <w:color w:val="auto"/>
                <w:sz w:val="24"/>
              </w:rPr>
              <w:t>建设周期</w:t>
            </w:r>
          </w:p>
          <w:p w14:paraId="573F7C00">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本项目</w:t>
            </w:r>
            <w:r>
              <w:rPr>
                <w:rFonts w:hint="eastAsia" w:cs="Times New Roman"/>
                <w:color w:val="auto"/>
                <w:sz w:val="24"/>
                <w:szCs w:val="24"/>
                <w:highlight w:val="none"/>
                <w:lang w:val="en-US" w:eastAsia="zh-CN"/>
              </w:rPr>
              <w:t>建设周期8个月，</w:t>
            </w:r>
            <w:r>
              <w:rPr>
                <w:rFonts w:hint="eastAsia" w:ascii="Times New Roman" w:hAnsi="Times New Roman" w:eastAsia="宋体" w:cs="Times New Roman"/>
                <w:color w:val="auto"/>
                <w:sz w:val="24"/>
                <w:szCs w:val="24"/>
                <w:highlight w:val="none"/>
              </w:rPr>
              <w:t>计划于</w:t>
            </w:r>
            <w:r>
              <w:rPr>
                <w:rFonts w:hint="eastAsia" w:cs="Times New Roman"/>
                <w:color w:val="auto"/>
                <w:sz w:val="24"/>
                <w:szCs w:val="24"/>
                <w:highlight w:val="none"/>
                <w:lang w:val="en-US" w:eastAsia="zh-CN"/>
              </w:rPr>
              <w:t>2026</w:t>
            </w:r>
            <w:r>
              <w:rPr>
                <w:rFonts w:hint="eastAsia" w:ascii="Times New Roman" w:hAnsi="Times New Roman" w:eastAsia="宋体" w:cs="Times New Roman"/>
                <w:color w:val="auto"/>
                <w:sz w:val="24"/>
                <w:szCs w:val="24"/>
                <w:highlight w:val="none"/>
              </w:rPr>
              <w:t>年</w:t>
            </w:r>
            <w:r>
              <w:rPr>
                <w:rFonts w:hint="eastAsia" w:cs="Times New Roman"/>
                <w:color w:val="auto"/>
                <w:sz w:val="24"/>
                <w:szCs w:val="24"/>
                <w:highlight w:val="none"/>
                <w:lang w:val="en-US" w:eastAsia="zh-CN"/>
              </w:rPr>
              <w:t>9</w:t>
            </w:r>
            <w:r>
              <w:rPr>
                <w:rFonts w:hint="eastAsia" w:ascii="Times New Roman" w:hAnsi="Times New Roman" w:eastAsia="宋体" w:cs="Times New Roman"/>
                <w:color w:val="auto"/>
                <w:sz w:val="24"/>
                <w:szCs w:val="24"/>
                <w:highlight w:val="none"/>
              </w:rPr>
              <w:t>月开工建设。</w:t>
            </w:r>
          </w:p>
          <w:p w14:paraId="17719BB1">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项目准备阶段（1个月）：包括地质勘察、施工图设计等项目准备工作；</w:t>
            </w:r>
          </w:p>
          <w:p w14:paraId="6C74EE1C">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项目实施阶段（6个月）：包括入场准备、临建工程建设、剥离工程、注水工程、钻探工程、注浆工程、覆盖工程等实施；</w:t>
            </w:r>
          </w:p>
          <w:p w14:paraId="47CD5416">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项目验收阶段（1个月）：包括灭火效果监测，完成工程竣工验收工作。</w:t>
            </w:r>
          </w:p>
          <w:p w14:paraId="1004D5D0">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p>
          <w:p w14:paraId="58D1B6CA">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p>
          <w:p w14:paraId="3352E855">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p>
          <w:p w14:paraId="1B5ED0BD">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p>
          <w:p w14:paraId="6298FAA8">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szCs w:val="24"/>
                <w:highlight w:val="none"/>
                <w:lang w:val="en-US" w:eastAsia="zh-CN"/>
              </w:rPr>
            </w:pPr>
          </w:p>
        </w:tc>
      </w:tr>
      <w:tr w14:paraId="0E3F0A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1" w:hRule="atLeast"/>
          <w:jc w:val="center"/>
        </w:trPr>
        <w:tc>
          <w:tcPr>
            <w:tcW w:w="705" w:type="dxa"/>
            <w:noWrap w:val="0"/>
            <w:vAlign w:val="center"/>
          </w:tcPr>
          <w:p w14:paraId="6AF41AF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color w:val="auto"/>
                <w:kern w:val="0"/>
                <w:sz w:val="24"/>
                <w:szCs w:val="24"/>
              </w:rPr>
            </w:pPr>
            <w:r>
              <w:rPr>
                <w:rFonts w:hint="eastAsia" w:ascii="Times New Roman" w:hAnsi="Times New Roman" w:cs="宋体"/>
                <w:b/>
                <w:bCs/>
                <w:color w:val="auto"/>
                <w:kern w:val="0"/>
                <w:sz w:val="24"/>
                <w:szCs w:val="24"/>
              </w:rPr>
              <w:t>其他</w:t>
            </w:r>
          </w:p>
        </w:tc>
        <w:tc>
          <w:tcPr>
            <w:tcW w:w="8607" w:type="dxa"/>
            <w:noWrap w:val="0"/>
            <w:vAlign w:val="center"/>
          </w:tcPr>
          <w:p w14:paraId="7C2220CE">
            <w:pPr>
              <w:keepNext w:val="0"/>
              <w:keepLines w:val="0"/>
              <w:widowControl/>
              <w:suppressLineNumbers w:val="0"/>
              <w:spacing w:before="0" w:beforeAutospacing="0" w:after="0" w:afterAutospacing="0" w:line="360" w:lineRule="auto"/>
              <w:ind w:left="0" w:right="0" w:firstLine="482" w:firstLineChars="200"/>
              <w:jc w:val="left"/>
              <w:rPr>
                <w:rFonts w:hint="default"/>
              </w:rPr>
            </w:pPr>
            <w:r>
              <w:rPr>
                <w:rFonts w:hint="default" w:ascii="Times New Roman" w:hAnsi="Times New Roman" w:eastAsia="宋体" w:cs="Times New Roman"/>
                <w:b/>
                <w:bCs/>
                <w:color w:val="000000"/>
                <w:kern w:val="0"/>
                <w:sz w:val="24"/>
                <w:szCs w:val="24"/>
                <w:lang w:val="en-US" w:eastAsia="zh-CN" w:bidi="ar"/>
              </w:rPr>
              <w:t>1</w:t>
            </w:r>
            <w:r>
              <w:rPr>
                <w:rFonts w:hint="eastAsia" w:ascii="宋体" w:hAnsi="宋体" w:eastAsia="宋体" w:cs="宋体"/>
                <w:b/>
                <w:bCs/>
                <w:color w:val="000000"/>
                <w:kern w:val="0"/>
                <w:sz w:val="24"/>
                <w:szCs w:val="24"/>
                <w:lang w:val="en-US" w:eastAsia="zh-CN" w:bidi="ar"/>
              </w:rPr>
              <w:t>、灭火方法</w:t>
            </w:r>
          </w:p>
          <w:p w14:paraId="764DC692">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 xml:space="preserve">根据火区燃烧状况、外部条件，结合国内外采用的先进、高效和实用的煤田火区灭火工艺，现阶段国内外煤田火区主要采用地表黄土覆盖、钻探注水、注浆、剥离挖除火源、惰性气体充填及综合灭火方法等。本次灭火方法的选择最终以火区熄灭为治理目标来确定。 </w:t>
            </w:r>
          </w:p>
          <w:p w14:paraId="6384EF74">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）灭火方法 </w:t>
            </w:r>
          </w:p>
          <w:p w14:paraId="682B3352">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 xml:space="preserve">①地表黄土覆盖灭火方法 </w:t>
            </w:r>
          </w:p>
          <w:p w14:paraId="16D3770D">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 xml:space="preserve">地表黄土覆盖灭火方法是利用黄土充填覆盖火区地表裂缝、塌陷坑、废弃老窑等，使火区达到封闭状态，断绝火区通风供氧通道，致使火区火情缓慢窒息熄灭。其特点是施工工期短、施工后火区地貌容易快速恢复，但由于火源及蓄热不能在短时间内消除，火区灭火必须经过较长时间。 </w:t>
            </w:r>
          </w:p>
          <w:p w14:paraId="56AD0EF0">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 xml:space="preserve">②钻探、注水、注浆灭火方法 </w:t>
            </w:r>
          </w:p>
          <w:p w14:paraId="5F891D49">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 xml:space="preserve">通过火区地表裂隙、塌陷及地表打钻孔向火区内注水或灌注黄泥浆（阻燃胶体、固体充填材料），降低燃烧体温度，隔绝、阻止煤层进一步燃烧，从而熄灭火区。其特点是不受火区面积、深度等条件限制，施工灵活，效果较好。 </w:t>
            </w:r>
          </w:p>
          <w:p w14:paraId="4F757A15">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 xml:space="preserve">③剥离挖除火源灭火方法 </w:t>
            </w:r>
          </w:p>
          <w:p w14:paraId="60D863FA">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 xml:space="preserve">首先对火源体进行注水降温，自上而下分台阶剥离，直至挖除火源，特点是灭火效果彻底，但施工工艺复杂，灵活性差，工程量较大，投资较大，且该方法仅适用于火源体埋藏浅、面积较小，且火区燃烧速度较慢的火区。该方案治理彻底，但工程量大、投资高、对地表破坏相对较大。 </w:t>
            </w:r>
          </w:p>
          <w:p w14:paraId="393104B1">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 xml:space="preserve">④惰性气体充填灭火方法 </w:t>
            </w:r>
          </w:p>
          <w:p w14:paraId="63456BD2">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利用</w:t>
            </w:r>
            <w:r>
              <w:rPr>
                <w:rFonts w:hint="default" w:ascii="Times New Roman" w:hAnsi="Times New Roman" w:eastAsia="宋体" w:cs="Times New Roman"/>
                <w:color w:val="000000"/>
                <w:kern w:val="0"/>
                <w:sz w:val="24"/>
                <w:szCs w:val="24"/>
                <w:lang w:val="en-US" w:eastAsia="zh-CN" w:bidi="ar"/>
              </w:rPr>
              <w:t>CO</w:t>
            </w:r>
            <w:r>
              <w:rPr>
                <w:rFonts w:hint="default" w:ascii="Times New Roman" w:hAnsi="Times New Roman" w:eastAsia="宋体" w:cs="Times New Roman"/>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N</w:t>
            </w:r>
            <w:r>
              <w:rPr>
                <w:rFonts w:hint="default" w:ascii="Times New Roman" w:hAnsi="Times New Roman" w:eastAsia="宋体" w:cs="Times New Roman"/>
                <w:color w:val="000000"/>
                <w:kern w:val="0"/>
                <w:sz w:val="15"/>
                <w:szCs w:val="15"/>
                <w:lang w:val="en-US" w:eastAsia="zh-CN" w:bidi="ar"/>
              </w:rPr>
              <w:t>2</w:t>
            </w:r>
            <w:r>
              <w:rPr>
                <w:rFonts w:hint="eastAsia" w:ascii="宋体" w:hAnsi="宋体" w:eastAsia="宋体" w:cs="宋体"/>
                <w:color w:val="000000"/>
                <w:kern w:val="0"/>
                <w:sz w:val="24"/>
                <w:szCs w:val="24"/>
                <w:lang w:val="en-US" w:eastAsia="zh-CN" w:bidi="ar"/>
              </w:rPr>
              <w:t xml:space="preserve">、炉烟等惰性气体冲入燃烧煤层，密闭熄灭火区。因其只能用于密闭空间火区治理，对地表裂隙和漏风处密闭后才能有效，而煤田火区由于大量小煤矿滥采乱掘形成多处供氧通道、地表裂隙发育及火区面积大等情况，难以达到预期效果。 </w:t>
            </w:r>
          </w:p>
          <w:p w14:paraId="2151589B">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 xml:space="preserve">⑤综合灭火方法 </w:t>
            </w:r>
          </w:p>
          <w:p w14:paraId="30ECA8F7">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 xml:space="preserve">根据火区现状及灭火条件采用地表剥离、黄土覆盖、钻探、注水、注浆、挖除浅部火源等多种灭火工艺相结合的综合性灭火方法，具有灵活性高、易控制、经济合理及安全可靠等特点。此方法为国内外广泛采用的煤田灭火方法。 </w:t>
            </w:r>
          </w:p>
          <w:p w14:paraId="0D83C868">
            <w:pPr>
              <w:keepNext w:val="0"/>
              <w:keepLines w:val="0"/>
              <w:widowControl/>
              <w:suppressLineNumbers w:val="0"/>
              <w:spacing w:before="0" w:beforeAutospacing="0" w:after="0" w:afterAutospacing="0" w:line="360" w:lineRule="auto"/>
              <w:ind w:left="0" w:right="0" w:firstLine="480" w:firstLineChars="200"/>
              <w:jc w:val="left"/>
              <w:rPr>
                <w:rFonts w:hint="default"/>
              </w:rPr>
            </w:pPr>
            <w:r>
              <w:rPr>
                <w:rFonts w:hint="eastAsia" w:ascii="宋体" w:hAnsi="宋体" w:eastAsia="宋体" w:cs="宋体"/>
                <w:color w:val="000000"/>
                <w:kern w:val="0"/>
                <w:sz w:val="24"/>
                <w:szCs w:val="24"/>
                <w:lang w:val="en-US" w:eastAsia="zh-CN" w:bidi="ar"/>
              </w:rPr>
              <w:t xml:space="preserve">以上各种灭火方法优缺点详见表 </w:t>
            </w:r>
            <w:r>
              <w:rPr>
                <w:rFonts w:hint="default" w:ascii="Times New Roman" w:hAnsi="Times New Roman" w:eastAsia="宋体" w:cs="Times New Roman"/>
                <w:color w:val="000000"/>
                <w:kern w:val="0"/>
                <w:sz w:val="24"/>
                <w:szCs w:val="24"/>
                <w:lang w:val="en-US" w:eastAsia="zh-CN" w:bidi="ar"/>
              </w:rPr>
              <w:t>2-</w:t>
            </w:r>
            <w:r>
              <w:rPr>
                <w:rFonts w:hint="eastAsia" w:ascii="Times New Roman" w:hAnsi="Times New Roman" w:eastAsia="宋体" w:cs="Times New Roman"/>
                <w:color w:val="000000"/>
                <w:kern w:val="0"/>
                <w:sz w:val="24"/>
                <w:szCs w:val="24"/>
                <w:lang w:val="en-US" w:eastAsia="zh-CN" w:bidi="ar"/>
              </w:rPr>
              <w:t>11</w:t>
            </w:r>
            <w:r>
              <w:rPr>
                <w:rFonts w:hint="eastAsia" w:ascii="宋体" w:hAnsi="宋体" w:eastAsia="宋体" w:cs="宋体"/>
                <w:color w:val="000000"/>
                <w:kern w:val="0"/>
                <w:sz w:val="24"/>
                <w:szCs w:val="24"/>
                <w:lang w:val="en-US" w:eastAsia="zh-CN" w:bidi="ar"/>
              </w:rPr>
              <w:t>。</w:t>
            </w:r>
          </w:p>
          <w:p w14:paraId="79C3F792">
            <w:pPr>
              <w:keepNext w:val="0"/>
              <w:keepLines w:val="0"/>
              <w:suppressLineNumbers w:val="0"/>
              <w:adjustRightInd w:val="0"/>
              <w:snapToGrid w:val="0"/>
              <w:spacing w:before="0" w:beforeAutospacing="0" w:after="0" w:afterAutospacing="0" w:line="360" w:lineRule="auto"/>
              <w:ind w:left="0" w:right="0"/>
              <w:jc w:val="center"/>
              <w:rPr>
                <w:rFonts w:hint="default" w:cs="Times New Roman"/>
                <w:b/>
                <w:bCs/>
                <w:color w:val="auto"/>
                <w:sz w:val="21"/>
                <w:szCs w:val="21"/>
                <w:lang w:val="en-US" w:eastAsia="zh-CN"/>
              </w:rPr>
            </w:pPr>
            <w:r>
              <w:rPr>
                <w:rFonts w:hint="eastAsia" w:cs="Times New Roman"/>
                <w:b/>
                <w:bCs/>
                <w:color w:val="auto"/>
                <w:sz w:val="21"/>
                <w:szCs w:val="21"/>
                <w:lang w:val="en-US" w:eastAsia="zh-CN"/>
              </w:rPr>
              <w:t>表2-11    火区灭火方法技术分析比较</w:t>
            </w:r>
          </w:p>
          <w:tbl>
            <w:tblPr>
              <w:tblStyle w:val="27"/>
              <w:tblW w:w="8391"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3225"/>
              <w:gridCol w:w="3574"/>
            </w:tblGrid>
            <w:tr w14:paraId="4843BC5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592" w:type="dxa"/>
                  <w:tcBorders>
                    <w:tl2br w:val="nil"/>
                    <w:tr2bl w:val="nil"/>
                  </w:tcBorders>
                  <w:vAlign w:val="center"/>
                </w:tcPr>
                <w:p w14:paraId="1E49B7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b w:val="0"/>
                      <w:bCs w:val="0"/>
                      <w:color w:val="auto"/>
                      <w:kern w:val="0"/>
                      <w:sz w:val="21"/>
                      <w:szCs w:val="21"/>
                      <w:vertAlign w:val="baseline"/>
                    </w:rPr>
                  </w:pPr>
                  <w:r>
                    <w:rPr>
                      <w:rFonts w:hint="default" w:ascii="Times New Roman" w:hAnsi="Times New Roman" w:eastAsia="宋体" w:cs="Times New Roman"/>
                      <w:b w:val="0"/>
                      <w:bCs w:val="0"/>
                      <w:spacing w:val="-4"/>
                      <w:sz w:val="21"/>
                      <w:szCs w:val="21"/>
                    </w:rPr>
                    <w:t>灭火方法</w:t>
                  </w:r>
                </w:p>
              </w:tc>
              <w:tc>
                <w:tcPr>
                  <w:tcW w:w="3225" w:type="dxa"/>
                  <w:tcBorders>
                    <w:tl2br w:val="nil"/>
                    <w:tr2bl w:val="nil"/>
                  </w:tcBorders>
                  <w:vAlign w:val="center"/>
                </w:tcPr>
                <w:p w14:paraId="6EE2A0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b w:val="0"/>
                      <w:bCs w:val="0"/>
                      <w:color w:val="auto"/>
                      <w:kern w:val="0"/>
                      <w:sz w:val="21"/>
                      <w:szCs w:val="21"/>
                      <w:vertAlign w:val="baseline"/>
                    </w:rPr>
                  </w:pPr>
                  <w:r>
                    <w:rPr>
                      <w:rFonts w:hint="default" w:ascii="Times New Roman" w:hAnsi="Times New Roman" w:eastAsia="宋体" w:cs="Times New Roman"/>
                      <w:b w:val="0"/>
                      <w:bCs w:val="0"/>
                      <w:spacing w:val="-6"/>
                      <w:sz w:val="21"/>
                      <w:szCs w:val="21"/>
                    </w:rPr>
                    <w:t>优点</w:t>
                  </w:r>
                </w:p>
              </w:tc>
              <w:tc>
                <w:tcPr>
                  <w:tcW w:w="3574" w:type="dxa"/>
                  <w:tcBorders>
                    <w:tl2br w:val="nil"/>
                    <w:tr2bl w:val="nil"/>
                  </w:tcBorders>
                  <w:vAlign w:val="center"/>
                </w:tcPr>
                <w:p w14:paraId="4A2AA0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b w:val="0"/>
                      <w:bCs w:val="0"/>
                      <w:color w:val="auto"/>
                      <w:kern w:val="0"/>
                      <w:sz w:val="21"/>
                      <w:szCs w:val="21"/>
                      <w:vertAlign w:val="baseline"/>
                    </w:rPr>
                  </w:pPr>
                  <w:r>
                    <w:rPr>
                      <w:rFonts w:hint="default" w:ascii="Times New Roman" w:hAnsi="Times New Roman" w:eastAsia="宋体" w:cs="Times New Roman"/>
                      <w:b w:val="0"/>
                      <w:bCs w:val="0"/>
                      <w:spacing w:val="-6"/>
                      <w:sz w:val="21"/>
                      <w:szCs w:val="21"/>
                    </w:rPr>
                    <w:t>缺点</w:t>
                  </w:r>
                </w:p>
              </w:tc>
            </w:tr>
            <w:tr w14:paraId="72FC50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92" w:type="dxa"/>
                  <w:tcBorders>
                    <w:tl2br w:val="nil"/>
                    <w:tr2bl w:val="nil"/>
                  </w:tcBorders>
                  <w:vAlign w:val="center"/>
                </w:tcPr>
                <w:p w14:paraId="256DB9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2"/>
                      <w:sz w:val="21"/>
                      <w:szCs w:val="21"/>
                    </w:rPr>
                    <w:t>剥离挖除火源灭火方法</w:t>
                  </w:r>
                </w:p>
              </w:tc>
              <w:tc>
                <w:tcPr>
                  <w:tcW w:w="3225" w:type="dxa"/>
                  <w:tcBorders>
                    <w:tl2br w:val="nil"/>
                    <w:tr2bl w:val="nil"/>
                  </w:tcBorders>
                  <w:vAlign w:val="center"/>
                </w:tcPr>
                <w:p w14:paraId="344E3E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p>
                <w:p w14:paraId="38C9BADB">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6"/>
                      <w:sz w:val="21"/>
                      <w:szCs w:val="21"/>
                    </w:rPr>
                    <w:t>火区治理彻底。</w:t>
                  </w:r>
                </w:p>
              </w:tc>
              <w:tc>
                <w:tcPr>
                  <w:tcW w:w="3574" w:type="dxa"/>
                  <w:tcBorders>
                    <w:tl2br w:val="nil"/>
                    <w:tr2bl w:val="nil"/>
                  </w:tcBorders>
                  <w:vAlign w:val="center"/>
                </w:tcPr>
                <w:p w14:paraId="46EFDBE1">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r>
                    <w:rPr>
                      <w:rFonts w:hint="eastAsia" w:ascii="Times New Roman" w:hAnsi="Times New Roman" w:eastAsia="宋体" w:cs="Times New Roman"/>
                      <w:spacing w:val="-4"/>
                      <w:sz w:val="21"/>
                      <w:szCs w:val="21"/>
                      <w:lang w:val="en-US" w:eastAsia="zh-CN"/>
                    </w:rPr>
                    <w:t>1.</w:t>
                  </w:r>
                  <w:r>
                    <w:rPr>
                      <w:rFonts w:hint="default" w:ascii="Times New Roman" w:hAnsi="Times New Roman" w:eastAsia="宋体" w:cs="Times New Roman"/>
                      <w:spacing w:val="-4"/>
                      <w:sz w:val="21"/>
                      <w:szCs w:val="21"/>
                    </w:rPr>
                    <w:t>火区面积大，燃烧深度深，剥离工程量大，产生</w:t>
                  </w:r>
                  <w:r>
                    <w:rPr>
                      <w:rFonts w:hint="default" w:ascii="Times New Roman" w:hAnsi="Times New Roman" w:eastAsia="宋体" w:cs="Times New Roman"/>
                      <w:spacing w:val="-1"/>
                      <w:sz w:val="21"/>
                      <w:szCs w:val="21"/>
                    </w:rPr>
                    <w:t>大量剥离物需要开阔场地堆积。</w:t>
                  </w:r>
                </w:p>
                <w:p w14:paraId="48283F6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r>
                    <w:rPr>
                      <w:rFonts w:hint="eastAsia" w:ascii="Times New Roman" w:hAnsi="Times New Roman" w:eastAsia="宋体" w:cs="Times New Roman"/>
                      <w:spacing w:val="-4"/>
                      <w:sz w:val="21"/>
                      <w:szCs w:val="21"/>
                      <w:lang w:val="en-US" w:eastAsia="zh-CN"/>
                    </w:rPr>
                    <w:t>2.</w:t>
                  </w:r>
                  <w:r>
                    <w:rPr>
                      <w:rFonts w:hint="default" w:ascii="Times New Roman" w:hAnsi="Times New Roman" w:eastAsia="宋体" w:cs="Times New Roman"/>
                      <w:spacing w:val="-4"/>
                      <w:sz w:val="21"/>
                      <w:szCs w:val="21"/>
                    </w:rPr>
                    <w:t>火区内以次坚岩石为主</w:t>
                  </w:r>
                  <w:r>
                    <w:rPr>
                      <w:rFonts w:hint="default" w:ascii="Times New Roman" w:hAnsi="Times New Roman" w:eastAsia="宋体" w:cs="Times New Roman"/>
                      <w:spacing w:val="-30"/>
                      <w:sz w:val="21"/>
                      <w:szCs w:val="21"/>
                    </w:rPr>
                    <w:t xml:space="preserve"> </w:t>
                  </w:r>
                  <w:r>
                    <w:rPr>
                      <w:rFonts w:hint="default" w:ascii="Times New Roman" w:hAnsi="Times New Roman" w:eastAsia="宋体" w:cs="Times New Roman"/>
                      <w:spacing w:val="-4"/>
                      <w:sz w:val="21"/>
                      <w:szCs w:val="21"/>
                    </w:rPr>
                    <w:t>，投资较大。</w:t>
                  </w:r>
                </w:p>
                <w:p w14:paraId="49DF9C9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kern w:val="0"/>
                      <w:sz w:val="21"/>
                      <w:szCs w:val="21"/>
                      <w:vertAlign w:val="baseline"/>
                    </w:rPr>
                  </w:pPr>
                  <w:r>
                    <w:rPr>
                      <w:rFonts w:hint="eastAsia" w:ascii="Times New Roman" w:hAnsi="Times New Roman" w:eastAsia="宋体" w:cs="Times New Roman"/>
                      <w:spacing w:val="-4"/>
                      <w:sz w:val="21"/>
                      <w:szCs w:val="21"/>
                      <w:lang w:val="en-US" w:eastAsia="zh-CN"/>
                    </w:rPr>
                    <w:t>3.</w:t>
                  </w:r>
                  <w:r>
                    <w:rPr>
                      <w:rFonts w:hint="default" w:ascii="Times New Roman" w:hAnsi="Times New Roman" w:eastAsia="宋体" w:cs="Times New Roman"/>
                      <w:spacing w:val="-4"/>
                      <w:sz w:val="21"/>
                      <w:szCs w:val="21"/>
                    </w:rPr>
                    <w:t>大量剥离挖除火源体，施工期间对地表破坏较大，</w:t>
                  </w:r>
                  <w:r>
                    <w:rPr>
                      <w:rFonts w:hint="default" w:ascii="Times New Roman" w:hAnsi="Times New Roman" w:eastAsia="宋体" w:cs="Times New Roman"/>
                      <w:spacing w:val="-2"/>
                      <w:sz w:val="21"/>
                      <w:szCs w:val="21"/>
                    </w:rPr>
                    <w:t>后期地表恢复成本高。</w:t>
                  </w:r>
                </w:p>
              </w:tc>
            </w:tr>
            <w:tr w14:paraId="33F286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592" w:type="dxa"/>
                  <w:tcBorders>
                    <w:tl2br w:val="nil"/>
                    <w:tr2bl w:val="nil"/>
                  </w:tcBorders>
                  <w:vAlign w:val="center"/>
                </w:tcPr>
                <w:p w14:paraId="014AB9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2"/>
                      <w:sz w:val="21"/>
                      <w:szCs w:val="21"/>
                    </w:rPr>
                    <w:t>钻探注水、注浆灭火方法</w:t>
                  </w:r>
                </w:p>
              </w:tc>
              <w:tc>
                <w:tcPr>
                  <w:tcW w:w="3225" w:type="dxa"/>
                  <w:tcBorders>
                    <w:tl2br w:val="nil"/>
                    <w:tr2bl w:val="nil"/>
                  </w:tcBorders>
                  <w:vAlign w:val="center"/>
                </w:tcPr>
                <w:p w14:paraId="5C22AF77">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r>
                    <w:rPr>
                      <w:rFonts w:hint="eastAsia" w:ascii="Times New Roman" w:hAnsi="Times New Roman" w:eastAsia="宋体" w:cs="Times New Roman"/>
                      <w:spacing w:val="-4"/>
                      <w:sz w:val="21"/>
                      <w:szCs w:val="21"/>
                      <w:lang w:val="en-US" w:eastAsia="zh-CN"/>
                    </w:rPr>
                    <w:t>1.</w:t>
                  </w:r>
                  <w:r>
                    <w:rPr>
                      <w:rFonts w:hint="default" w:ascii="Times New Roman" w:hAnsi="Times New Roman" w:eastAsia="宋体" w:cs="Times New Roman"/>
                      <w:spacing w:val="-4"/>
                      <w:sz w:val="21"/>
                      <w:szCs w:val="21"/>
                    </w:rPr>
                    <w:t>不受火区面积、深度等条件限制。</w:t>
                  </w:r>
                </w:p>
                <w:p w14:paraId="42FF2107">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r>
                    <w:rPr>
                      <w:rFonts w:hint="eastAsia" w:ascii="Times New Roman" w:hAnsi="Times New Roman" w:eastAsia="宋体" w:cs="Times New Roman"/>
                      <w:spacing w:val="-3"/>
                      <w:sz w:val="21"/>
                      <w:szCs w:val="21"/>
                      <w:lang w:val="en-US" w:eastAsia="zh-CN"/>
                    </w:rPr>
                    <w:t>2.</w:t>
                  </w:r>
                  <w:r>
                    <w:rPr>
                      <w:rFonts w:hint="default" w:ascii="Times New Roman" w:hAnsi="Times New Roman" w:eastAsia="宋体" w:cs="Times New Roman"/>
                      <w:spacing w:val="-3"/>
                      <w:sz w:val="21"/>
                      <w:szCs w:val="21"/>
                    </w:rPr>
                    <w:t>施工灵活</w:t>
                  </w:r>
                  <w:r>
                    <w:rPr>
                      <w:rFonts w:hint="default" w:ascii="Times New Roman" w:hAnsi="Times New Roman" w:eastAsia="宋体" w:cs="Times New Roman"/>
                      <w:spacing w:val="-28"/>
                      <w:sz w:val="21"/>
                      <w:szCs w:val="21"/>
                    </w:rPr>
                    <w:t xml:space="preserve"> </w:t>
                  </w:r>
                  <w:r>
                    <w:rPr>
                      <w:rFonts w:hint="default" w:ascii="Times New Roman" w:hAnsi="Times New Roman" w:eastAsia="宋体" w:cs="Times New Roman"/>
                      <w:spacing w:val="-3"/>
                      <w:sz w:val="21"/>
                      <w:szCs w:val="21"/>
                    </w:rPr>
                    <w:t>，操作性强。</w:t>
                  </w:r>
                </w:p>
                <w:p w14:paraId="2FB2CE53">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宋体" w:cs="Times New Roman"/>
                      <w:color w:val="auto"/>
                      <w:kern w:val="0"/>
                      <w:sz w:val="21"/>
                      <w:szCs w:val="21"/>
                      <w:vertAlign w:val="baseline"/>
                    </w:rPr>
                  </w:pPr>
                  <w:r>
                    <w:rPr>
                      <w:rFonts w:hint="eastAsia" w:ascii="Times New Roman" w:hAnsi="Times New Roman" w:eastAsia="宋体" w:cs="Times New Roman"/>
                      <w:spacing w:val="-1"/>
                      <w:sz w:val="21"/>
                      <w:szCs w:val="21"/>
                      <w:lang w:val="en-US" w:eastAsia="zh-CN"/>
                    </w:rPr>
                    <w:t>3.</w:t>
                  </w:r>
                  <w:r>
                    <w:rPr>
                      <w:rFonts w:hint="default" w:ascii="Times New Roman" w:hAnsi="Times New Roman" w:eastAsia="宋体" w:cs="Times New Roman"/>
                      <w:spacing w:val="-1"/>
                      <w:sz w:val="21"/>
                      <w:szCs w:val="21"/>
                    </w:rPr>
                    <w:t>施工期间对周围环境影响较小。</w:t>
                  </w:r>
                </w:p>
              </w:tc>
              <w:tc>
                <w:tcPr>
                  <w:tcW w:w="3574" w:type="dxa"/>
                  <w:tcBorders>
                    <w:tl2br w:val="nil"/>
                    <w:tr2bl w:val="nil"/>
                  </w:tcBorders>
                  <w:vAlign w:val="center"/>
                </w:tcPr>
                <w:p w14:paraId="5D6E32FE">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kern w:val="0"/>
                      <w:sz w:val="21"/>
                      <w:szCs w:val="21"/>
                      <w:vertAlign w:val="baseline"/>
                    </w:rPr>
                  </w:pPr>
                  <w:r>
                    <w:rPr>
                      <w:rFonts w:hint="eastAsia" w:ascii="Times New Roman" w:hAnsi="Times New Roman" w:eastAsia="宋体" w:cs="Times New Roman"/>
                      <w:spacing w:val="-2"/>
                      <w:sz w:val="21"/>
                      <w:szCs w:val="21"/>
                      <w:lang w:val="en-US" w:eastAsia="zh-CN"/>
                    </w:rPr>
                    <w:t>1.</w:t>
                  </w:r>
                  <w:r>
                    <w:rPr>
                      <w:rFonts w:hint="default" w:ascii="Times New Roman" w:hAnsi="Times New Roman" w:eastAsia="宋体" w:cs="Times New Roman"/>
                      <w:spacing w:val="-2"/>
                      <w:sz w:val="21"/>
                      <w:szCs w:val="21"/>
                    </w:rPr>
                    <w:t>火区燃烧剧烈，地形复杂，不易施工注</w:t>
                  </w:r>
                  <w:r>
                    <w:rPr>
                      <w:rFonts w:hint="default" w:ascii="Times New Roman" w:hAnsi="Times New Roman" w:eastAsia="宋体" w:cs="Times New Roman"/>
                      <w:spacing w:val="-3"/>
                      <w:sz w:val="21"/>
                      <w:szCs w:val="21"/>
                    </w:rPr>
                    <w:t>水、灌浆钻孔。</w:t>
                  </w:r>
                </w:p>
              </w:tc>
            </w:tr>
            <w:tr w14:paraId="02BBD54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92" w:type="dxa"/>
                  <w:tcBorders>
                    <w:tl2br w:val="nil"/>
                    <w:tr2bl w:val="nil"/>
                  </w:tcBorders>
                  <w:vAlign w:val="center"/>
                </w:tcPr>
                <w:p w14:paraId="124A4F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2"/>
                      <w:sz w:val="21"/>
                      <w:szCs w:val="21"/>
                    </w:rPr>
                    <w:t>惰性气体充填灭火方法</w:t>
                  </w:r>
                </w:p>
              </w:tc>
              <w:tc>
                <w:tcPr>
                  <w:tcW w:w="3225" w:type="dxa"/>
                  <w:tcBorders>
                    <w:tl2br w:val="nil"/>
                    <w:tr2bl w:val="nil"/>
                  </w:tcBorders>
                  <w:vAlign w:val="center"/>
                </w:tcPr>
                <w:p w14:paraId="5DF5628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r>
                    <w:rPr>
                      <w:rFonts w:hint="eastAsia" w:ascii="Times New Roman" w:hAnsi="Times New Roman" w:eastAsia="宋体" w:cs="Times New Roman"/>
                      <w:spacing w:val="-4"/>
                      <w:sz w:val="21"/>
                      <w:szCs w:val="21"/>
                      <w:lang w:val="en-US" w:eastAsia="zh-CN"/>
                    </w:rPr>
                    <w:t>1.</w:t>
                  </w:r>
                  <w:r>
                    <w:rPr>
                      <w:rFonts w:hint="default" w:ascii="Times New Roman" w:hAnsi="Times New Roman" w:eastAsia="宋体" w:cs="Times New Roman"/>
                      <w:spacing w:val="-4"/>
                      <w:sz w:val="21"/>
                      <w:szCs w:val="21"/>
                    </w:rPr>
                    <w:t>惰性气体无毒无害，对周围环境无影响。</w:t>
                  </w:r>
                </w:p>
                <w:p w14:paraId="7D01130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kern w:val="0"/>
                      <w:sz w:val="21"/>
                      <w:szCs w:val="21"/>
                      <w:vertAlign w:val="baseline"/>
                      <w:lang w:eastAsia="zh-CN"/>
                    </w:rPr>
                  </w:pPr>
                  <w:r>
                    <w:rPr>
                      <w:rFonts w:hint="eastAsia" w:ascii="Times New Roman" w:hAnsi="Times New Roman" w:eastAsia="宋体" w:cs="Times New Roman"/>
                      <w:spacing w:val="-3"/>
                      <w:sz w:val="21"/>
                      <w:szCs w:val="21"/>
                      <w:lang w:val="en-US" w:eastAsia="zh-CN"/>
                    </w:rPr>
                    <w:t>2.</w:t>
                  </w:r>
                  <w:r>
                    <w:rPr>
                      <w:rFonts w:hint="default" w:ascii="Times New Roman" w:hAnsi="Times New Roman" w:eastAsia="宋体" w:cs="Times New Roman"/>
                      <w:spacing w:val="-3"/>
                      <w:sz w:val="21"/>
                      <w:szCs w:val="21"/>
                    </w:rPr>
                    <w:t>高浓度的惰性气体能快速隔绝燃烧体的供氧通道，达到快速灭火的效果</w:t>
                  </w:r>
                  <w:r>
                    <w:rPr>
                      <w:rFonts w:hint="eastAsia" w:ascii="Times New Roman" w:hAnsi="Times New Roman" w:eastAsia="宋体" w:cs="Times New Roman"/>
                      <w:spacing w:val="-3"/>
                      <w:sz w:val="21"/>
                      <w:szCs w:val="21"/>
                      <w:lang w:eastAsia="zh-CN"/>
                    </w:rPr>
                    <w:t>。</w:t>
                  </w:r>
                </w:p>
              </w:tc>
              <w:tc>
                <w:tcPr>
                  <w:tcW w:w="3574" w:type="dxa"/>
                  <w:tcBorders>
                    <w:tl2br w:val="nil"/>
                    <w:tr2bl w:val="nil"/>
                  </w:tcBorders>
                  <w:vAlign w:val="center"/>
                </w:tcPr>
                <w:p w14:paraId="6EF032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p>
                <w:p w14:paraId="2AA2941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kern w:val="0"/>
                      <w:sz w:val="21"/>
                      <w:szCs w:val="21"/>
                      <w:vertAlign w:val="baseline"/>
                    </w:rPr>
                  </w:pPr>
                  <w:r>
                    <w:rPr>
                      <w:rFonts w:hint="eastAsia" w:ascii="Times New Roman" w:hAnsi="Times New Roman" w:eastAsia="宋体" w:cs="Times New Roman"/>
                      <w:spacing w:val="-3"/>
                      <w:sz w:val="21"/>
                      <w:szCs w:val="21"/>
                      <w:lang w:val="en-US" w:eastAsia="zh-CN"/>
                    </w:rPr>
                    <w:t>1.</w:t>
                  </w:r>
                  <w:r>
                    <w:rPr>
                      <w:rFonts w:hint="default" w:ascii="Times New Roman" w:hAnsi="Times New Roman" w:eastAsia="宋体" w:cs="Times New Roman"/>
                      <w:spacing w:val="-3"/>
                      <w:sz w:val="21"/>
                      <w:szCs w:val="21"/>
                    </w:rPr>
                    <w:t>火区面积较大，无法对地表裂隙和漏风处密闭，</w:t>
                  </w:r>
                  <w:r>
                    <w:rPr>
                      <w:rFonts w:hint="default" w:ascii="Times New Roman" w:hAnsi="Times New Roman" w:eastAsia="宋体" w:cs="Times New Roman"/>
                      <w:spacing w:val="-2"/>
                      <w:sz w:val="21"/>
                      <w:szCs w:val="21"/>
                    </w:rPr>
                    <w:t>因此不适用采用此灭火方法。</w:t>
                  </w:r>
                </w:p>
              </w:tc>
            </w:tr>
            <w:tr w14:paraId="027B1C4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81" w:hRule="atLeast"/>
              </w:trPr>
              <w:tc>
                <w:tcPr>
                  <w:tcW w:w="1592" w:type="dxa"/>
                  <w:tcBorders>
                    <w:tl2br w:val="nil"/>
                    <w:tr2bl w:val="nil"/>
                  </w:tcBorders>
                  <w:vAlign w:val="center"/>
                </w:tcPr>
                <w:p w14:paraId="374072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1"/>
                      <w:sz w:val="21"/>
                      <w:szCs w:val="21"/>
                    </w:rPr>
                    <w:t>地表黄土覆盖</w:t>
                  </w:r>
                  <w:r>
                    <w:rPr>
                      <w:rFonts w:hint="default" w:ascii="Times New Roman" w:hAnsi="Times New Roman" w:eastAsia="宋体" w:cs="Times New Roman"/>
                      <w:spacing w:val="-2"/>
                      <w:sz w:val="21"/>
                      <w:szCs w:val="21"/>
                    </w:rPr>
                    <w:t>灭火方法</w:t>
                  </w:r>
                </w:p>
              </w:tc>
              <w:tc>
                <w:tcPr>
                  <w:tcW w:w="3225" w:type="dxa"/>
                  <w:tcBorders>
                    <w:tl2br w:val="nil"/>
                    <w:tr2bl w:val="nil"/>
                  </w:tcBorders>
                  <w:vAlign w:val="center"/>
                </w:tcPr>
                <w:p w14:paraId="52E0B2AF">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6"/>
                      <w:sz w:val="21"/>
                      <w:szCs w:val="21"/>
                    </w:rPr>
                    <w:t>1.灭火工艺简单，施工灵活，火区治理</w:t>
                  </w:r>
                  <w:r>
                    <w:rPr>
                      <w:rFonts w:hint="default" w:ascii="Times New Roman" w:hAnsi="Times New Roman" w:eastAsia="宋体" w:cs="Times New Roman"/>
                      <w:spacing w:val="-1"/>
                      <w:sz w:val="21"/>
                      <w:szCs w:val="21"/>
                    </w:rPr>
                    <w:t>后地表地貌恢复效果较好。</w:t>
                  </w:r>
                </w:p>
              </w:tc>
              <w:tc>
                <w:tcPr>
                  <w:tcW w:w="3574" w:type="dxa"/>
                  <w:tcBorders>
                    <w:tl2br w:val="nil"/>
                    <w:tr2bl w:val="nil"/>
                  </w:tcBorders>
                  <w:vAlign w:val="center"/>
                </w:tcPr>
                <w:p w14:paraId="23E4A32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r>
                    <w:rPr>
                      <w:rFonts w:hint="eastAsia" w:ascii="Times New Roman" w:hAnsi="Times New Roman" w:eastAsia="宋体" w:cs="Times New Roman"/>
                      <w:spacing w:val="-3"/>
                      <w:sz w:val="21"/>
                      <w:szCs w:val="21"/>
                      <w:lang w:val="en-US" w:eastAsia="zh-CN"/>
                    </w:rPr>
                    <w:t>1.</w:t>
                  </w:r>
                  <w:r>
                    <w:rPr>
                      <w:rFonts w:hint="default" w:ascii="Times New Roman" w:hAnsi="Times New Roman" w:eastAsia="宋体" w:cs="Times New Roman"/>
                      <w:spacing w:val="-3"/>
                      <w:sz w:val="21"/>
                      <w:szCs w:val="21"/>
                    </w:rPr>
                    <w:t>火区地表裂隙发育，采用黄土覆盖灭火方法，不</w:t>
                  </w:r>
                  <w:r>
                    <w:rPr>
                      <w:rFonts w:hint="default" w:ascii="Times New Roman" w:hAnsi="Times New Roman" w:eastAsia="宋体" w:cs="Times New Roman"/>
                      <w:spacing w:val="-2"/>
                      <w:sz w:val="21"/>
                      <w:szCs w:val="21"/>
                    </w:rPr>
                    <w:t>易完全断绝火区通风供氧通道，灭火效果不佳。</w:t>
                  </w:r>
                </w:p>
                <w:p w14:paraId="64F581C8">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kern w:val="0"/>
                      <w:sz w:val="21"/>
                      <w:szCs w:val="21"/>
                      <w:vertAlign w:val="baseline"/>
                    </w:rPr>
                  </w:pPr>
                  <w:r>
                    <w:rPr>
                      <w:rFonts w:hint="eastAsia" w:ascii="Times New Roman" w:hAnsi="Times New Roman" w:eastAsia="宋体" w:cs="Times New Roman"/>
                      <w:spacing w:val="-1"/>
                      <w:sz w:val="21"/>
                      <w:szCs w:val="21"/>
                      <w:lang w:val="en-US" w:eastAsia="zh-CN"/>
                    </w:rPr>
                    <w:t>2.</w:t>
                  </w:r>
                  <w:r>
                    <w:rPr>
                      <w:rFonts w:hint="default" w:ascii="Times New Roman" w:hAnsi="Times New Roman" w:eastAsia="宋体" w:cs="Times New Roman"/>
                      <w:spacing w:val="-1"/>
                      <w:sz w:val="21"/>
                      <w:szCs w:val="21"/>
                    </w:rPr>
                    <w:t>火区采用黄土覆盖灭火方法，火区治理需要较长</w:t>
                  </w:r>
                  <w:r>
                    <w:rPr>
                      <w:rFonts w:hint="default" w:ascii="Times New Roman" w:hAnsi="Times New Roman" w:eastAsia="宋体" w:cs="Times New Roman"/>
                      <w:spacing w:val="-5"/>
                      <w:sz w:val="21"/>
                      <w:szCs w:val="21"/>
                    </w:rPr>
                    <w:t>时间</w:t>
                  </w:r>
                  <w:r>
                    <w:rPr>
                      <w:rFonts w:hint="default" w:ascii="Times New Roman" w:hAnsi="Times New Roman" w:eastAsia="宋体" w:cs="Times New Roman"/>
                      <w:spacing w:val="-22"/>
                      <w:sz w:val="21"/>
                      <w:szCs w:val="21"/>
                    </w:rPr>
                    <w:t xml:space="preserve"> </w:t>
                  </w:r>
                  <w:r>
                    <w:rPr>
                      <w:rFonts w:hint="default" w:ascii="Times New Roman" w:hAnsi="Times New Roman" w:eastAsia="宋体" w:cs="Times New Roman"/>
                      <w:spacing w:val="-5"/>
                      <w:sz w:val="21"/>
                      <w:szCs w:val="21"/>
                    </w:rPr>
                    <w:t>，对资源损失较大。</w:t>
                  </w:r>
                </w:p>
              </w:tc>
            </w:tr>
            <w:tr w14:paraId="202DD1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51" w:hRule="atLeast"/>
              </w:trPr>
              <w:tc>
                <w:tcPr>
                  <w:tcW w:w="1592" w:type="dxa"/>
                  <w:tcBorders>
                    <w:tl2br w:val="nil"/>
                    <w:tr2bl w:val="nil"/>
                  </w:tcBorders>
                  <w:vAlign w:val="center"/>
                </w:tcPr>
                <w:p w14:paraId="090055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2"/>
                      <w:sz w:val="21"/>
                      <w:szCs w:val="21"/>
                    </w:rPr>
                    <w:t>综合灭火方法</w:t>
                  </w:r>
                </w:p>
              </w:tc>
              <w:tc>
                <w:tcPr>
                  <w:tcW w:w="3225" w:type="dxa"/>
                  <w:tcBorders>
                    <w:tl2br w:val="nil"/>
                    <w:tr2bl w:val="nil"/>
                  </w:tcBorders>
                  <w:vAlign w:val="center"/>
                </w:tcPr>
                <w:p w14:paraId="51B0BB9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r>
                    <w:rPr>
                      <w:rFonts w:hint="eastAsia" w:ascii="Times New Roman" w:hAnsi="Times New Roman" w:eastAsia="宋体" w:cs="Times New Roman"/>
                      <w:spacing w:val="-5"/>
                      <w:sz w:val="21"/>
                      <w:szCs w:val="21"/>
                      <w:lang w:val="en-US" w:eastAsia="zh-CN"/>
                    </w:rPr>
                    <w:t>1.</w:t>
                  </w:r>
                  <w:r>
                    <w:rPr>
                      <w:rFonts w:hint="default" w:ascii="Times New Roman" w:hAnsi="Times New Roman" w:eastAsia="宋体" w:cs="Times New Roman"/>
                      <w:spacing w:val="-5"/>
                      <w:sz w:val="21"/>
                      <w:szCs w:val="21"/>
                    </w:rPr>
                    <w:t>技术成熟，不易复燃。</w:t>
                  </w:r>
                </w:p>
                <w:p w14:paraId="4E9C600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r>
                    <w:rPr>
                      <w:rFonts w:hint="eastAsia" w:ascii="Times New Roman" w:hAnsi="Times New Roman" w:eastAsia="宋体" w:cs="Times New Roman"/>
                      <w:spacing w:val="-3"/>
                      <w:sz w:val="21"/>
                      <w:szCs w:val="21"/>
                      <w:lang w:val="en-US" w:eastAsia="zh-CN"/>
                    </w:rPr>
                    <w:t>2.</w:t>
                  </w:r>
                  <w:r>
                    <w:rPr>
                      <w:rFonts w:hint="default" w:ascii="Times New Roman" w:hAnsi="Times New Roman" w:eastAsia="宋体" w:cs="Times New Roman"/>
                      <w:spacing w:val="-3"/>
                      <w:sz w:val="21"/>
                      <w:szCs w:val="21"/>
                    </w:rPr>
                    <w:t>采用多种灭火工艺，根据火区条件</w:t>
                  </w:r>
                  <w:r>
                    <w:rPr>
                      <w:rFonts w:hint="default" w:ascii="Times New Roman" w:hAnsi="Times New Roman" w:eastAsia="宋体" w:cs="Times New Roman"/>
                      <w:spacing w:val="-5"/>
                      <w:sz w:val="21"/>
                      <w:szCs w:val="21"/>
                    </w:rPr>
                    <w:t>进行选择，具有以上灭火方法的优点。</w:t>
                  </w:r>
                </w:p>
                <w:p w14:paraId="6FC76745">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r>
                    <w:rPr>
                      <w:rFonts w:hint="eastAsia" w:ascii="Times New Roman" w:hAnsi="Times New Roman" w:eastAsia="宋体" w:cs="Times New Roman"/>
                      <w:spacing w:val="-1"/>
                      <w:sz w:val="21"/>
                      <w:szCs w:val="21"/>
                      <w:lang w:val="en-US" w:eastAsia="zh-CN"/>
                    </w:rPr>
                    <w:t>3.</w:t>
                  </w:r>
                  <w:r>
                    <w:rPr>
                      <w:rFonts w:hint="default" w:ascii="Times New Roman" w:hAnsi="Times New Roman" w:eastAsia="宋体" w:cs="Times New Roman"/>
                      <w:spacing w:val="-1"/>
                      <w:sz w:val="21"/>
                      <w:szCs w:val="21"/>
                    </w:rPr>
                    <w:t>适用于各种复杂条件的煤田火灾。</w:t>
                  </w:r>
                </w:p>
                <w:p w14:paraId="69E3B07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宋体" w:cs="Times New Roman"/>
                      <w:color w:val="auto"/>
                      <w:kern w:val="0"/>
                      <w:sz w:val="21"/>
                      <w:szCs w:val="21"/>
                      <w:vertAlign w:val="baseline"/>
                    </w:rPr>
                  </w:pPr>
                  <w:r>
                    <w:rPr>
                      <w:rFonts w:hint="eastAsia" w:ascii="Times New Roman" w:hAnsi="Times New Roman" w:eastAsia="宋体" w:cs="Times New Roman"/>
                      <w:spacing w:val="-1"/>
                      <w:sz w:val="21"/>
                      <w:szCs w:val="21"/>
                      <w:lang w:val="en-US" w:eastAsia="zh-CN"/>
                    </w:rPr>
                    <w:t>4.</w:t>
                  </w:r>
                  <w:r>
                    <w:rPr>
                      <w:rFonts w:hint="default" w:ascii="Times New Roman" w:hAnsi="Times New Roman" w:eastAsia="宋体" w:cs="Times New Roman"/>
                      <w:spacing w:val="-1"/>
                      <w:sz w:val="21"/>
                      <w:szCs w:val="21"/>
                    </w:rPr>
                    <w:t>投资相对较低。</w:t>
                  </w:r>
                </w:p>
              </w:tc>
              <w:tc>
                <w:tcPr>
                  <w:tcW w:w="3574" w:type="dxa"/>
                  <w:tcBorders>
                    <w:tl2br w:val="nil"/>
                    <w:tr2bl w:val="nil"/>
                  </w:tcBorders>
                  <w:vAlign w:val="center"/>
                </w:tcPr>
                <w:p w14:paraId="01CCAF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rPr>
                  </w:pPr>
                </w:p>
                <w:p w14:paraId="3943E9EF">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kern w:val="0"/>
                      <w:sz w:val="21"/>
                      <w:szCs w:val="21"/>
                      <w:vertAlign w:val="baseline"/>
                    </w:rPr>
                  </w:pPr>
                  <w:r>
                    <w:rPr>
                      <w:rFonts w:hint="eastAsia" w:ascii="Times New Roman" w:hAnsi="Times New Roman" w:eastAsia="宋体" w:cs="Times New Roman"/>
                      <w:spacing w:val="-3"/>
                      <w:sz w:val="21"/>
                      <w:szCs w:val="21"/>
                      <w:lang w:val="en-US" w:eastAsia="zh-CN"/>
                    </w:rPr>
                    <w:t>1.</w:t>
                  </w:r>
                  <w:r>
                    <w:rPr>
                      <w:rFonts w:hint="default" w:ascii="Times New Roman" w:hAnsi="Times New Roman" w:eastAsia="宋体" w:cs="Times New Roman"/>
                      <w:spacing w:val="-3"/>
                      <w:sz w:val="21"/>
                      <w:szCs w:val="21"/>
                    </w:rPr>
                    <w:t>采用灭火工艺较多，需灭火工程设施设备种类较</w:t>
                  </w:r>
                  <w:r>
                    <w:rPr>
                      <w:rFonts w:hint="default" w:ascii="Times New Roman" w:hAnsi="Times New Roman" w:eastAsia="宋体" w:cs="Times New Roman"/>
                      <w:spacing w:val="-2"/>
                      <w:sz w:val="21"/>
                      <w:szCs w:val="21"/>
                    </w:rPr>
                    <w:t>多，同时需要专业能力较强的技术管理人员对火区工</w:t>
                  </w:r>
                  <w:r>
                    <w:rPr>
                      <w:rFonts w:hint="default" w:ascii="Times New Roman" w:hAnsi="Times New Roman" w:eastAsia="宋体" w:cs="Times New Roman"/>
                      <w:spacing w:val="-1"/>
                      <w:sz w:val="21"/>
                      <w:szCs w:val="21"/>
                    </w:rPr>
                    <w:t>程统一调度。</w:t>
                  </w:r>
                </w:p>
              </w:tc>
            </w:tr>
          </w:tbl>
          <w:p w14:paraId="67E3586B">
            <w:pPr>
              <w:keepNext w:val="0"/>
              <w:keepLines w:val="0"/>
              <w:numPr>
                <w:ilvl w:val="0"/>
                <w:numId w:val="0"/>
              </w:numPr>
              <w:suppressLineNumbers w:val="0"/>
              <w:adjustRightInd w:val="0"/>
              <w:snapToGrid w:val="0"/>
              <w:spacing w:before="0" w:beforeAutospacing="0" w:after="0" w:afterAutospacing="0" w:line="360" w:lineRule="auto"/>
              <w:ind w:left="0" w:right="0" w:rightChars="0" w:firstLine="482" w:firstLineChars="200"/>
              <w:jc w:val="both"/>
              <w:rPr>
                <w:rFonts w:hint="default" w:ascii="Times New Roman" w:hAnsi="Times New Roman" w:cs="Times New Roman"/>
                <w:b/>
                <w:bCs/>
                <w:color w:val="000000"/>
                <w:kern w:val="0"/>
                <w:sz w:val="24"/>
                <w:szCs w:val="24"/>
                <w:lang w:val="en-US" w:eastAsia="zh-CN" w:bidi="ar"/>
              </w:rPr>
            </w:pPr>
            <w:r>
              <w:rPr>
                <w:rFonts w:hint="default" w:ascii="Times New Roman" w:hAnsi="Times New Roman" w:cs="Times New Roman"/>
                <w:b/>
                <w:bCs/>
                <w:color w:val="000000"/>
                <w:kern w:val="0"/>
                <w:sz w:val="24"/>
                <w:szCs w:val="24"/>
                <w:lang w:val="en-US" w:eastAsia="zh-CN" w:bidi="ar"/>
              </w:rPr>
              <w:t>2、</w:t>
            </w:r>
            <w:r>
              <w:rPr>
                <w:rFonts w:hint="default" w:ascii="Times New Roman" w:hAnsi="Times New Roman" w:eastAsia="宋体" w:cs="Times New Roman"/>
                <w:b/>
                <w:bCs/>
                <w:color w:val="000000"/>
                <w:kern w:val="0"/>
                <w:sz w:val="24"/>
                <w:szCs w:val="24"/>
                <w:lang w:val="en-US" w:eastAsia="zh-CN" w:bidi="ar"/>
              </w:rPr>
              <w:t>灭火方法</w:t>
            </w:r>
            <w:r>
              <w:rPr>
                <w:rFonts w:hint="default" w:ascii="Times New Roman" w:hAnsi="Times New Roman" w:cs="Times New Roman"/>
                <w:b/>
                <w:bCs/>
                <w:color w:val="000000"/>
                <w:kern w:val="0"/>
                <w:sz w:val="24"/>
                <w:szCs w:val="24"/>
                <w:lang w:val="en-US" w:eastAsia="zh-CN" w:bidi="ar"/>
              </w:rPr>
              <w:t>比较</w:t>
            </w:r>
          </w:p>
          <w:p w14:paraId="7131913C">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123"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2021年8月3日 ，经新疆维吾尔自治区发展改革委批准同意 ，新疆煤田火灾防治研讨会在自治区矿山安全服务保障中心（原</w:t>
            </w:r>
            <w:r>
              <w:rPr>
                <w:rFonts w:hint="eastAsia" w:cs="Times New Roman"/>
                <w:color w:val="000000"/>
                <w:kern w:val="0"/>
                <w:sz w:val="24"/>
                <w:szCs w:val="24"/>
                <w:lang w:val="en-US" w:eastAsia="zh-CN" w:bidi="ar"/>
              </w:rPr>
              <w:t>新疆维吾尔自治区</w:t>
            </w:r>
            <w:r>
              <w:rPr>
                <w:rFonts w:hint="default" w:ascii="Times New Roman" w:hAnsi="Times New Roman" w:eastAsia="宋体" w:cs="Times New Roman"/>
                <w:color w:val="000000"/>
                <w:kern w:val="0"/>
                <w:sz w:val="24"/>
                <w:szCs w:val="24"/>
                <w:lang w:val="en-US" w:eastAsia="zh-CN" w:bidi="ar"/>
              </w:rPr>
              <w:t>煤田灭火工程局）召开。会议由自治区矿山安全服务保障中心（原</w:t>
            </w:r>
            <w:r>
              <w:rPr>
                <w:rFonts w:hint="eastAsia" w:cs="Times New Roman"/>
                <w:color w:val="000000"/>
                <w:kern w:val="0"/>
                <w:sz w:val="24"/>
                <w:szCs w:val="24"/>
                <w:lang w:val="en-US" w:eastAsia="zh-CN" w:bidi="ar"/>
              </w:rPr>
              <w:t>新疆维吾尔自治区</w:t>
            </w:r>
            <w:r>
              <w:rPr>
                <w:rFonts w:hint="default" w:ascii="Times New Roman" w:hAnsi="Times New Roman" w:eastAsia="宋体" w:cs="Times New Roman"/>
                <w:color w:val="000000"/>
                <w:kern w:val="0"/>
                <w:sz w:val="24"/>
                <w:szCs w:val="24"/>
                <w:lang w:val="en-US" w:eastAsia="zh-CN" w:bidi="ar"/>
              </w:rPr>
              <w:t>煤田灭火工程局）、新疆煤炭设计研究院有限责任公司联合组织，中国工程院院士武强等区内外有关专家学者及自治区相关厅局及区内外有关煤矿企业参加会议，会议形成了《新疆煤田火灾防治研讨会纪要》（2021年8月3日）：明确火区治理应当坚持实事求是、具体问题具体分析的原则，敢于打破传统灭火方法的束缚，因地制宜、优化组合灭火方法：</w:t>
            </w:r>
          </w:p>
          <w:p w14:paraId="47E3BC08">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59"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一是以剥离挖除火源体为主的灭火方法 。主要适用于低山丘陵急倾斜煤层露头火区、低山丘陵倾斜煤层露头火区、低山丘陵急倾斜煤层采空区火区、低山丘陵倾斜煤层采空区火区、山地急倾斜煤层露头火区、山地倾斜煤层露头火区、正在生产的矿井火区或即将开发建设的火区。</w:t>
            </w:r>
          </w:p>
          <w:p w14:paraId="0E99D7D7">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59" w:firstLine="480" w:firstLineChars="200"/>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二是综合灭火方法。主要适用于山地急倾斜煤层采空区火区、山地倾斜煤层采空区火区、短期内不开发建设的火区、地表植被条件和环境好的火区。</w:t>
            </w:r>
          </w:p>
          <w:p w14:paraId="622DCD7A">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59"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三是以回填、平整、覆盖为主，剥离为辅的灭火方法。微小火区、易发煤火风险区采用以回填、平整、覆盖为主的灭火方法进行治理，对于局部温度异常区域，可同时辅以剥离挖除的方法。</w:t>
            </w:r>
          </w:p>
          <w:p w14:paraId="677DD130">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四是灭火水土条件有限、周边有重要建构筑物的火区等 ，应积极开展灭火新方法、新工艺、新材料的研究 ，针对火区具体情况 ，采用相应的灭火方法进行治理。</w:t>
            </w:r>
          </w:p>
          <w:p w14:paraId="6117A597">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59"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根据以上各灭火方法的适用性，阜康西沙沟煤田火区属于低山丘陵急倾斜煤层露头火区、采空区火区和正在生产煤矿范围内的火区，一般宜采用剥离挖除火源体为主的灭火方法或综合灭火方法。根据阜康西沙沟煤田火区燃烧状况、治理现状，结合现有火区治理方法和施工经验、外部条件、施工工期、煤矿开发等情况，本着单一的灭火方法难以达到治理火区的目的原则提出以下可行的治理方案：</w:t>
            </w:r>
          </w:p>
          <w:p w14:paraId="67437249">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firstLine="482" w:firstLineChars="200"/>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方案一：火区采用剥离、钻探、注水、注浆及覆盖的综合灭火方法。</w:t>
            </w:r>
          </w:p>
          <w:p w14:paraId="10DBD9D0">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59" w:firstLine="480" w:firstLineChars="200"/>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即对火区通过剥离平整的方法，施工钻探平台，通过钻孔对火源体进行注水降温灭火、注浆封堵 ，最后进行黄土覆盖， 防止火区复燃。</w:t>
            </w:r>
          </w:p>
          <w:p w14:paraId="029F99E1">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firstLine="482" w:firstLineChars="200"/>
              <w:textAlignment w:val="auto"/>
              <w:outlineLvl w:val="3"/>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方案二 ：火区采用地表注水降温、剥离挖除火源体及覆盖的治理方法。</w:t>
            </w:r>
          </w:p>
          <w:p w14:paraId="03B42581">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62" w:firstLine="480" w:firstLineChars="200"/>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即对火区地表高温区注水，扑灭地面明火，降低地面温度，满足机械设备安全作业的条件 ，然后将火源体挖除 ，彻底熄灭火区 ，最后进行黄土覆盖， 防止火区复燃。</w:t>
            </w:r>
          </w:p>
          <w:p w14:paraId="3E650CD0">
            <w:pPr>
              <w:keepNext w:val="0"/>
              <w:keepLines w:val="0"/>
              <w:suppressLineNumbers w:val="0"/>
              <w:adjustRightInd w:val="0"/>
              <w:snapToGrid w:val="0"/>
              <w:spacing w:before="0" w:beforeAutospacing="0" w:after="0" w:afterAutospacing="0" w:line="360" w:lineRule="auto"/>
              <w:ind w:left="0" w:right="0"/>
              <w:jc w:val="center"/>
              <w:rPr>
                <w:rFonts w:hint="eastAsia" w:cs="Times New Roman"/>
                <w:b/>
                <w:bCs/>
                <w:color w:val="auto"/>
                <w:sz w:val="21"/>
                <w:szCs w:val="21"/>
                <w:lang w:val="en-US" w:eastAsia="zh-CN"/>
              </w:rPr>
            </w:pPr>
          </w:p>
          <w:p w14:paraId="37B7BBE7">
            <w:pPr>
              <w:keepNext w:val="0"/>
              <w:keepLines w:val="0"/>
              <w:suppressLineNumbers w:val="0"/>
              <w:adjustRightInd w:val="0"/>
              <w:snapToGrid w:val="0"/>
              <w:spacing w:before="0" w:beforeAutospacing="0" w:after="0" w:afterAutospacing="0" w:line="360" w:lineRule="auto"/>
              <w:ind w:left="0" w:right="0"/>
              <w:jc w:val="center"/>
              <w:rPr>
                <w:rFonts w:hint="eastAsia" w:cs="Times New Roman"/>
                <w:b/>
                <w:bCs/>
                <w:color w:val="auto"/>
                <w:sz w:val="21"/>
                <w:szCs w:val="21"/>
                <w:lang w:val="en-US" w:eastAsia="zh-CN"/>
              </w:rPr>
            </w:pPr>
          </w:p>
          <w:p w14:paraId="42D7EC63">
            <w:pPr>
              <w:keepNext w:val="0"/>
              <w:keepLines w:val="0"/>
              <w:suppressLineNumbers w:val="0"/>
              <w:adjustRightInd w:val="0"/>
              <w:snapToGrid w:val="0"/>
              <w:spacing w:before="0" w:beforeAutospacing="0" w:after="0" w:afterAutospacing="0" w:line="360" w:lineRule="auto"/>
              <w:ind w:left="0" w:right="0"/>
              <w:jc w:val="center"/>
              <w:rPr>
                <w:rFonts w:hint="eastAsia" w:cs="Times New Roman"/>
                <w:b/>
                <w:bCs/>
                <w:color w:val="auto"/>
                <w:sz w:val="21"/>
                <w:szCs w:val="21"/>
                <w:lang w:val="en-US" w:eastAsia="zh-CN"/>
              </w:rPr>
            </w:pPr>
          </w:p>
          <w:p w14:paraId="3EAB5D28">
            <w:pPr>
              <w:keepNext w:val="0"/>
              <w:keepLines w:val="0"/>
              <w:suppressLineNumbers w:val="0"/>
              <w:adjustRightInd w:val="0"/>
              <w:snapToGrid w:val="0"/>
              <w:spacing w:before="0" w:beforeAutospacing="0" w:after="0" w:afterAutospacing="0" w:line="360" w:lineRule="auto"/>
              <w:ind w:left="0" w:right="0"/>
              <w:jc w:val="center"/>
              <w:rPr>
                <w:rFonts w:hint="eastAsia" w:cs="Times New Roman"/>
                <w:b/>
                <w:bCs/>
                <w:color w:val="auto"/>
                <w:sz w:val="21"/>
                <w:szCs w:val="21"/>
                <w:lang w:val="en-US" w:eastAsia="zh-CN"/>
              </w:rPr>
            </w:pPr>
          </w:p>
          <w:p w14:paraId="711A4644">
            <w:pPr>
              <w:keepNext w:val="0"/>
              <w:keepLines w:val="0"/>
              <w:suppressLineNumbers w:val="0"/>
              <w:adjustRightInd w:val="0"/>
              <w:snapToGrid w:val="0"/>
              <w:spacing w:before="0" w:beforeAutospacing="0" w:after="0" w:afterAutospacing="0" w:line="360" w:lineRule="auto"/>
              <w:ind w:left="0" w:right="0"/>
              <w:jc w:val="center"/>
              <w:rPr>
                <w:rFonts w:hint="default" w:cs="Times New Roman"/>
                <w:b/>
                <w:bCs/>
                <w:color w:val="auto"/>
                <w:sz w:val="21"/>
                <w:szCs w:val="21"/>
                <w:lang w:val="en-US" w:eastAsia="zh-CN"/>
              </w:rPr>
            </w:pPr>
            <w:r>
              <w:rPr>
                <w:rFonts w:hint="eastAsia" w:cs="Times New Roman"/>
                <w:b/>
                <w:bCs/>
                <w:color w:val="auto"/>
                <w:sz w:val="21"/>
                <w:szCs w:val="21"/>
                <w:lang w:val="en-US" w:eastAsia="zh-CN"/>
              </w:rPr>
              <w:t>表2-12    灭火方法综合对比分析</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3255"/>
              <w:gridCol w:w="3195"/>
            </w:tblGrid>
            <w:tr w14:paraId="1972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Align w:val="center"/>
                </w:tcPr>
                <w:p w14:paraId="480B049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对比纬度</w:t>
                  </w:r>
                </w:p>
              </w:tc>
              <w:tc>
                <w:tcPr>
                  <w:tcW w:w="3255" w:type="dxa"/>
                </w:tcPr>
                <w:p w14:paraId="45634C1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方案一</w:t>
                  </w:r>
                </w:p>
              </w:tc>
              <w:tc>
                <w:tcPr>
                  <w:tcW w:w="3195" w:type="dxa"/>
                </w:tcPr>
                <w:p w14:paraId="2A3A3F3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方案二</w:t>
                  </w:r>
                </w:p>
              </w:tc>
            </w:tr>
            <w:tr w14:paraId="0F62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8" w:hRule="atLeast"/>
              </w:trPr>
              <w:tc>
                <w:tcPr>
                  <w:tcW w:w="1758" w:type="dxa"/>
                  <w:vAlign w:val="center"/>
                </w:tcPr>
                <w:p w14:paraId="1112A9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sz w:val="21"/>
                      <w:szCs w:val="21"/>
                    </w:rPr>
                  </w:pPr>
                  <w:r>
                    <w:rPr>
                      <w:rStyle w:val="29"/>
                      <w:rFonts w:hint="default" w:ascii="宋体" w:hAnsi="宋体" w:eastAsia="宋体" w:cs="宋体"/>
                      <w:b w:val="0"/>
                      <w:bCs w:val="0"/>
                      <w:kern w:val="0"/>
                      <w:sz w:val="21"/>
                      <w:szCs w:val="21"/>
                      <w:lang w:val="en-US" w:eastAsia="zh-CN" w:bidi="ar"/>
                    </w:rPr>
                    <w:t>技术可行性</w:t>
                  </w:r>
                </w:p>
                <w:p w14:paraId="5070393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p>
              </w:tc>
              <w:tc>
                <w:tcPr>
                  <w:tcW w:w="3255" w:type="dxa"/>
                  <w:vAlign w:val="center"/>
                </w:tcPr>
                <w:p w14:paraId="7FA4F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Style w:val="29"/>
                      <w:rFonts w:hint="default" w:ascii="宋体" w:hAnsi="宋体" w:eastAsia="宋体" w:cs="宋体"/>
                      <w:b w:val="0"/>
                      <w:bCs w:val="0"/>
                      <w:kern w:val="0"/>
                      <w:sz w:val="21"/>
                      <w:szCs w:val="21"/>
                      <w:lang w:val="en-US" w:eastAsia="zh-CN" w:bidi="ar"/>
                    </w:rPr>
                    <w:t>优势</w:t>
                  </w:r>
                  <w:r>
                    <w:rPr>
                      <w:rFonts w:hint="default" w:ascii="宋体" w:hAnsi="宋体" w:eastAsia="宋体" w:cs="宋体"/>
                      <w:b w:val="0"/>
                      <w:bCs w:val="0"/>
                      <w:kern w:val="0"/>
                      <w:sz w:val="21"/>
                      <w:szCs w:val="21"/>
                      <w:lang w:val="en-US" w:eastAsia="zh-CN" w:bidi="ar"/>
                    </w:rPr>
                    <w:t>：工艺成熟、体系完整，适配深部、厚覆盖层、山地沟壑型火区，不受煤层埋深限制；无大规模开挖作业，规避边坡失稳、山体坍塌等地质风险；可分区分段施工，配套全过程监测，完全契合规范技术管控要求。</w:t>
                  </w:r>
                  <w:r>
                    <w:rPr>
                      <w:rStyle w:val="29"/>
                      <w:rFonts w:hint="default" w:ascii="宋体" w:hAnsi="宋体" w:eastAsia="宋体" w:cs="宋体"/>
                      <w:b w:val="0"/>
                      <w:bCs w:val="0"/>
                      <w:kern w:val="0"/>
                      <w:sz w:val="21"/>
                      <w:szCs w:val="21"/>
                      <w:lang w:val="en-US" w:eastAsia="zh-CN" w:bidi="ar"/>
                    </w:rPr>
                    <w:t>短板</w:t>
                  </w:r>
                  <w:r>
                    <w:rPr>
                      <w:rFonts w:hint="default" w:ascii="宋体" w:hAnsi="宋体" w:eastAsia="宋体" w:cs="宋体"/>
                      <w:b w:val="0"/>
                      <w:bCs w:val="0"/>
                      <w:kern w:val="0"/>
                      <w:sz w:val="21"/>
                      <w:szCs w:val="21"/>
                      <w:lang w:val="en-US" w:eastAsia="zh-CN" w:bidi="ar"/>
                    </w:rPr>
                    <w:t>：多层空洞、裂隙极发育火区需多次补孔复注，极浅层明火治理见效速度略慢。</w:t>
                  </w:r>
                </w:p>
              </w:tc>
              <w:tc>
                <w:tcPr>
                  <w:tcW w:w="3195" w:type="dxa"/>
                  <w:vAlign w:val="center"/>
                </w:tcPr>
                <w:p w14:paraId="7914E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Style w:val="29"/>
                      <w:rFonts w:hint="default" w:ascii="宋体" w:hAnsi="宋体" w:eastAsia="宋体" w:cs="宋体"/>
                      <w:b w:val="0"/>
                      <w:bCs w:val="0"/>
                      <w:kern w:val="0"/>
                      <w:sz w:val="21"/>
                      <w:szCs w:val="21"/>
                      <w:lang w:val="en-US" w:eastAsia="zh-CN" w:bidi="ar"/>
                    </w:rPr>
                    <w:t>优势</w:t>
                  </w:r>
                  <w:r>
                    <w:rPr>
                      <w:rFonts w:hint="default" w:ascii="宋体" w:hAnsi="宋体" w:eastAsia="宋体" w:cs="宋体"/>
                      <w:b w:val="0"/>
                      <w:bCs w:val="0"/>
                      <w:kern w:val="0"/>
                      <w:sz w:val="21"/>
                      <w:szCs w:val="21"/>
                      <w:lang w:val="en-US" w:eastAsia="zh-CN" w:bidi="ar"/>
                    </w:rPr>
                    <w:t>：浅层可视明火清除直观、施工简单、设备通用，可直接核查表层燃烧煤层清理情况。</w:t>
                  </w:r>
                  <w:r>
                    <w:rPr>
                      <w:rStyle w:val="29"/>
                      <w:rFonts w:hint="default" w:ascii="宋体" w:hAnsi="宋体" w:eastAsia="宋体" w:cs="宋体"/>
                      <w:b w:val="0"/>
                      <w:bCs w:val="0"/>
                      <w:kern w:val="0"/>
                      <w:sz w:val="21"/>
                      <w:szCs w:val="21"/>
                      <w:lang w:val="en-US" w:eastAsia="zh-CN" w:bidi="ar"/>
                    </w:rPr>
                    <w:t>短板</w:t>
                  </w:r>
                  <w:r>
                    <w:rPr>
                      <w:rFonts w:hint="default" w:ascii="宋体" w:hAnsi="宋体" w:eastAsia="宋体" w:cs="宋体"/>
                      <w:b w:val="0"/>
                      <w:bCs w:val="0"/>
                      <w:kern w:val="0"/>
                      <w:sz w:val="21"/>
                      <w:szCs w:val="21"/>
                      <w:lang w:val="en-US" w:eastAsia="zh-CN" w:bidi="ar"/>
                    </w:rPr>
                    <w:t>：仅适用于浅埋平缓小型火区，深部隐蔽火点无法治理；深埋火区剥离工程量剧增，高陡边坡易引发地质灾害；开挖易产生新通风裂隙，加剧煤层自燃，技术局限性极强。</w:t>
                  </w:r>
                </w:p>
              </w:tc>
            </w:tr>
            <w:tr w14:paraId="349B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6" w:hRule="atLeast"/>
              </w:trPr>
              <w:tc>
                <w:tcPr>
                  <w:tcW w:w="1758" w:type="dxa"/>
                  <w:vAlign w:val="center"/>
                </w:tcPr>
                <w:p w14:paraId="7BA6D99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经济合理性</w:t>
                  </w:r>
                </w:p>
              </w:tc>
              <w:tc>
                <w:tcPr>
                  <w:tcW w:w="3255" w:type="dxa"/>
                  <w:vAlign w:val="center"/>
                </w:tcPr>
                <w:p w14:paraId="623A7A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Style w:val="29"/>
                      <w:rFonts w:hint="default" w:ascii="宋体" w:hAnsi="宋体" w:eastAsia="宋体" w:cs="宋体"/>
                      <w:b w:val="0"/>
                      <w:bCs w:val="0"/>
                      <w:kern w:val="0"/>
                      <w:sz w:val="21"/>
                      <w:szCs w:val="21"/>
                      <w:lang w:val="en-US" w:eastAsia="zh-CN" w:bidi="ar"/>
                    </w:rPr>
                    <w:t>核心优势</w:t>
                  </w:r>
                  <w:r>
                    <w:rPr>
                      <w:rFonts w:hint="default" w:ascii="宋体" w:hAnsi="宋体" w:eastAsia="宋体" w:cs="宋体"/>
                      <w:b w:val="0"/>
                      <w:bCs w:val="0"/>
                      <w:kern w:val="0"/>
                      <w:sz w:val="21"/>
                      <w:szCs w:val="21"/>
                      <w:lang w:val="en-US" w:eastAsia="zh-CN" w:bidi="ar"/>
                    </w:rPr>
                    <w:t>：无巨量土石方剥离、转运、支护成本，大面积深部火区造价远低于剥离法；可就地取用戈壁黄土、粉煤灰等原材料，耗材成本低；后期仅需少量补浆、常态化监测，运维费用低廉。</w:t>
                  </w:r>
                  <w:r>
                    <w:rPr>
                      <w:rStyle w:val="29"/>
                      <w:rFonts w:hint="default" w:ascii="宋体" w:hAnsi="宋体" w:eastAsia="宋体" w:cs="宋体"/>
                      <w:b w:val="0"/>
                      <w:bCs w:val="0"/>
                      <w:kern w:val="0"/>
                      <w:sz w:val="21"/>
                      <w:szCs w:val="21"/>
                      <w:lang w:val="en-US" w:eastAsia="zh-CN" w:bidi="ar"/>
                    </w:rPr>
                    <w:t>适配规范</w:t>
                  </w:r>
                  <w:r>
                    <w:rPr>
                      <w:rFonts w:hint="default" w:ascii="宋体" w:hAnsi="宋体" w:eastAsia="宋体" w:cs="宋体"/>
                      <w:b w:val="0"/>
                      <w:bCs w:val="0"/>
                      <w:kern w:val="0"/>
                      <w:sz w:val="21"/>
                      <w:szCs w:val="21"/>
                      <w:lang w:val="en-US" w:eastAsia="zh-CN" w:bidi="ar"/>
                    </w:rPr>
                    <w:t>：符合新疆规范“严控大规模土方开挖、节约治理投资”的经济优化原则。</w:t>
                  </w:r>
                </w:p>
              </w:tc>
              <w:tc>
                <w:tcPr>
                  <w:tcW w:w="3195" w:type="dxa"/>
                  <w:vAlign w:val="center"/>
                </w:tcPr>
                <w:p w14:paraId="3F9992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Style w:val="29"/>
                      <w:rFonts w:hint="default" w:ascii="宋体" w:hAnsi="宋体" w:eastAsia="宋体" w:cs="宋体"/>
                      <w:b w:val="0"/>
                      <w:bCs w:val="0"/>
                      <w:kern w:val="0"/>
                      <w:sz w:val="21"/>
                      <w:szCs w:val="21"/>
                      <w:lang w:val="en-US" w:eastAsia="zh-CN" w:bidi="ar"/>
                    </w:rPr>
                    <w:t>核心短板</w:t>
                  </w:r>
                  <w:r>
                    <w:rPr>
                      <w:rFonts w:hint="default" w:ascii="宋体" w:hAnsi="宋体" w:eastAsia="宋体" w:cs="宋体"/>
                      <w:b w:val="0"/>
                      <w:bCs w:val="0"/>
                      <w:kern w:val="0"/>
                      <w:sz w:val="21"/>
                      <w:szCs w:val="21"/>
                      <w:lang w:val="en-US" w:eastAsia="zh-CN" w:bidi="ar"/>
                    </w:rPr>
                    <w:t>：仅小型浅层火区造价可控；中大型、深部火区土石方工程量大，边坡支护、渣土堆场、道路改造投资极高；存在地质灾害治理、生态修复、复燃返工等高额隐性成本。</w:t>
                  </w:r>
                </w:p>
              </w:tc>
            </w:tr>
            <w:tr w14:paraId="5A2C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Align w:val="center"/>
                </w:tcPr>
                <w:p w14:paraId="040A1B1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生态环境影响</w:t>
                  </w:r>
                </w:p>
              </w:tc>
              <w:tc>
                <w:tcPr>
                  <w:tcW w:w="3255" w:type="dxa"/>
                  <w:vAlign w:val="center"/>
                </w:tcPr>
                <w:p w14:paraId="117E39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Style w:val="29"/>
                      <w:rFonts w:hint="default" w:ascii="宋体" w:hAnsi="宋体" w:eastAsia="宋体" w:cs="宋体"/>
                      <w:b w:val="0"/>
                      <w:bCs w:val="0"/>
                      <w:kern w:val="0"/>
                      <w:sz w:val="21"/>
                      <w:szCs w:val="21"/>
                      <w:lang w:val="en-US" w:eastAsia="zh-CN" w:bidi="ar"/>
                    </w:rPr>
                    <w:t>低影响、高合规性</w:t>
                  </w:r>
                  <w:r>
                    <w:rPr>
                      <w:rFonts w:hint="default" w:ascii="宋体" w:hAnsi="宋体" w:eastAsia="宋体" w:cs="宋体"/>
                      <w:b w:val="0"/>
                      <w:bCs w:val="0"/>
                      <w:kern w:val="0"/>
                      <w:sz w:val="21"/>
                      <w:szCs w:val="21"/>
                      <w:lang w:val="en-US" w:eastAsia="zh-CN" w:bidi="ar"/>
                    </w:rPr>
                    <w:t>：地表扰动范围极小，基本保留原生戈壁地貌及植被，无大量渣土产出；施工扬尘、废气排放可控，可持续抑制煤层燃烧排烟；不破坏地层结构，无水土流失、滑坡、泥石流隐患，可封堵裂隙保护地下水，完全符合新疆生态保护、水土保持规范要求。</w:t>
                  </w:r>
                </w:p>
              </w:tc>
              <w:tc>
                <w:tcPr>
                  <w:tcW w:w="3195" w:type="dxa"/>
                  <w:vAlign w:val="center"/>
                </w:tcPr>
                <w:p w14:paraId="0E9FB2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Style w:val="29"/>
                      <w:rFonts w:hint="default" w:ascii="宋体" w:hAnsi="宋体" w:eastAsia="宋体" w:cs="宋体"/>
                      <w:b w:val="0"/>
                      <w:bCs w:val="0"/>
                      <w:kern w:val="0"/>
                      <w:sz w:val="21"/>
                      <w:szCs w:val="21"/>
                      <w:lang w:val="en-US" w:eastAsia="zh-CN" w:bidi="ar"/>
                    </w:rPr>
                    <w:t>高扰动、多环境风险</w:t>
                  </w:r>
                  <w:r>
                    <w:rPr>
                      <w:rFonts w:hint="default" w:ascii="宋体" w:hAnsi="宋体" w:eastAsia="宋体" w:cs="宋体"/>
                      <w:b w:val="0"/>
                      <w:bCs w:val="0"/>
                      <w:kern w:val="0"/>
                      <w:sz w:val="21"/>
                      <w:szCs w:val="21"/>
                      <w:lang w:val="en-US" w:eastAsia="zh-CN" w:bidi="ar"/>
                    </w:rPr>
                    <w:t>：大面积开挖损毁原生地貌与植被，土地扰动、损毁规模大；开挖及土方转运产生大量扬尘，新疆大风天气易引发大范围粉尘污染；裸露煤层集中释放有毒有害烟气，松散渣土易造成水土流失，开挖裂隙易污染地下水、加剧自燃。</w:t>
                  </w:r>
                </w:p>
              </w:tc>
            </w:tr>
            <w:tr w14:paraId="41F5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Align w:val="center"/>
                </w:tcPr>
                <w:p w14:paraId="3F60FF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sz w:val="21"/>
                      <w:szCs w:val="21"/>
                    </w:rPr>
                  </w:pPr>
                  <w:r>
                    <w:rPr>
                      <w:rStyle w:val="29"/>
                      <w:rFonts w:hint="default" w:ascii="宋体" w:hAnsi="宋体" w:eastAsia="宋体" w:cs="宋体"/>
                      <w:b w:val="0"/>
                      <w:bCs w:val="0"/>
                      <w:kern w:val="0"/>
                      <w:sz w:val="21"/>
                      <w:szCs w:val="21"/>
                      <w:lang w:val="en-US" w:eastAsia="zh-CN" w:bidi="ar"/>
                    </w:rPr>
                    <w:t>火区治理效果</w:t>
                  </w:r>
                </w:p>
                <w:p w14:paraId="02FDA3E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p>
              </w:tc>
              <w:tc>
                <w:tcPr>
                  <w:tcW w:w="3255" w:type="dxa"/>
                  <w:vAlign w:val="center"/>
                </w:tcPr>
                <w:p w14:paraId="79EDBF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Style w:val="29"/>
                      <w:rFonts w:hint="default" w:ascii="宋体" w:hAnsi="宋体" w:eastAsia="宋体" w:cs="宋体"/>
                      <w:b w:val="0"/>
                      <w:bCs w:val="0"/>
                      <w:kern w:val="0"/>
                      <w:sz w:val="21"/>
                      <w:szCs w:val="21"/>
                      <w:lang w:val="en-US" w:eastAsia="zh-CN" w:bidi="ar"/>
                    </w:rPr>
                    <w:t>治理彻底、复燃率低</w:t>
                  </w:r>
                  <w:r>
                    <w:rPr>
                      <w:rFonts w:hint="default" w:ascii="宋体" w:hAnsi="宋体" w:eastAsia="宋体" w:cs="宋体"/>
                      <w:b w:val="0"/>
                      <w:bCs w:val="0"/>
                      <w:kern w:val="0"/>
                      <w:sz w:val="21"/>
                      <w:szCs w:val="21"/>
                      <w:lang w:val="en-US" w:eastAsia="zh-CN" w:bidi="ar"/>
                    </w:rPr>
                    <w:t>：通过降温、隔氧、封堵多重机理，从根源切断自燃条件，可全覆盖地下隐蔽火点、高温蓄热区；配套动态监测系统，可及时发现局部高温隐患，定点处置，治理效果长效稳定。</w:t>
                  </w:r>
                </w:p>
              </w:tc>
              <w:tc>
                <w:tcPr>
                  <w:tcW w:w="3195" w:type="dxa"/>
                  <w:vAlign w:val="center"/>
                </w:tcPr>
                <w:p w14:paraId="0C9DC9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Style w:val="29"/>
                      <w:rFonts w:hint="default" w:ascii="宋体" w:hAnsi="宋体" w:eastAsia="宋体" w:cs="宋体"/>
                      <w:b w:val="0"/>
                      <w:bCs w:val="0"/>
                      <w:kern w:val="0"/>
                      <w:sz w:val="21"/>
                      <w:szCs w:val="21"/>
                      <w:lang w:val="en-US" w:eastAsia="zh-CN" w:bidi="ar"/>
                    </w:rPr>
                    <w:t>治标不治本、复燃风险极高</w:t>
                  </w:r>
                  <w:r>
                    <w:rPr>
                      <w:rFonts w:hint="default" w:ascii="宋体" w:hAnsi="宋体" w:eastAsia="宋体" w:cs="宋体"/>
                      <w:b w:val="0"/>
                      <w:bCs w:val="0"/>
                      <w:kern w:val="0"/>
                      <w:sz w:val="21"/>
                      <w:szCs w:val="21"/>
                      <w:lang w:val="en-US" w:eastAsia="zh-CN" w:bidi="ar"/>
                    </w:rPr>
                    <w:t>：仅清除表层可视明火，无法处理深部夹层、断层裂隙隐蔽火与高温蓄热体；开挖形成的新生通风裂隙持续供氧，极易引发二次自燃，需反复施工治理，无法实现长效灭燃。</w:t>
                  </w:r>
                </w:p>
              </w:tc>
            </w:tr>
            <w:tr w14:paraId="36D5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Align w:val="center"/>
                </w:tcPr>
                <w:p w14:paraId="454C634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施工安全管控</w:t>
                  </w:r>
                </w:p>
              </w:tc>
              <w:tc>
                <w:tcPr>
                  <w:tcW w:w="3255" w:type="dxa"/>
                  <w:vAlign w:val="center"/>
                </w:tcPr>
                <w:p w14:paraId="0E8A62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宋体" w:hAnsi="宋体" w:eastAsia="宋体" w:cs="宋体"/>
                      <w:b w:val="0"/>
                      <w:bCs w:val="0"/>
                      <w:kern w:val="0"/>
                      <w:sz w:val="21"/>
                      <w:szCs w:val="21"/>
                      <w:lang w:val="en-US" w:eastAsia="zh-CN" w:bidi="ar"/>
                    </w:rPr>
                    <w:t>施工工序安全可控，无高陡边坡、大面积土方坍塌、渣土溃堆风险；作业分区隔离，人员机械作业风险低，可持续抑制有毒烟气外泄，现场施工安全条件良好，满足规范安全施工条款。</w:t>
                  </w:r>
                </w:p>
              </w:tc>
              <w:tc>
                <w:tcPr>
                  <w:tcW w:w="3195" w:type="dxa"/>
                  <w:vAlign w:val="center"/>
                </w:tcPr>
                <w:p w14:paraId="67CEF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宋体" w:hAnsi="宋体" w:eastAsia="宋体" w:cs="宋体"/>
                      <w:b w:val="0"/>
                      <w:bCs w:val="0"/>
                      <w:kern w:val="0"/>
                      <w:sz w:val="21"/>
                      <w:szCs w:val="21"/>
                      <w:lang w:val="en-US" w:eastAsia="zh-CN" w:bidi="ar"/>
                    </w:rPr>
                    <w:t>高边坡开挖存在滑坡、坠石、坍塌重大安全隐患；裸露高温煤层易发生烫伤、煤层垮塌事故，瞬时烟气喷涌风险高，整体施工安全风险等级高。</w:t>
                  </w:r>
                </w:p>
              </w:tc>
            </w:tr>
            <w:tr w14:paraId="3C07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1758" w:type="dxa"/>
                  <w:vAlign w:val="center"/>
                </w:tcPr>
                <w:p w14:paraId="4E3FDFE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后期运维管理</w:t>
                  </w:r>
                </w:p>
              </w:tc>
              <w:tc>
                <w:tcPr>
                  <w:tcW w:w="3255" w:type="dxa"/>
                  <w:vAlign w:val="center"/>
                </w:tcPr>
                <w:p w14:paraId="484402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宋体" w:hAnsi="宋体" w:eastAsia="宋体" w:cs="宋体"/>
                      <w:b w:val="0"/>
                      <w:bCs w:val="0"/>
                      <w:kern w:val="0"/>
                      <w:sz w:val="21"/>
                      <w:szCs w:val="21"/>
                      <w:lang w:val="en-US" w:eastAsia="zh-CN" w:bidi="ar"/>
                    </w:rPr>
                    <w:t>运维体系简单，依托自动化监测设备常态化巡检，仅需局部定点补浆、裂隙封堵，人力、物资投入少，运维成本低、难度小。</w:t>
                  </w:r>
                </w:p>
              </w:tc>
              <w:tc>
                <w:tcPr>
                  <w:tcW w:w="3195" w:type="dxa"/>
                  <w:vAlign w:val="center"/>
                </w:tcPr>
                <w:p w14:paraId="1C10DC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宋体" w:hAnsi="宋体" w:eastAsia="宋体" w:cs="宋体"/>
                      <w:b w:val="0"/>
                      <w:bCs w:val="0"/>
                      <w:kern w:val="0"/>
                      <w:sz w:val="21"/>
                      <w:szCs w:val="21"/>
                      <w:lang w:val="en-US" w:eastAsia="zh-CN" w:bidi="ar"/>
                    </w:rPr>
                    <w:t>开挖创面易风化开裂，需长期大面积覆土修补、边坡加固；复燃频发，需反复开挖治理，运维工作量大、成本高、持续性差。</w:t>
                  </w:r>
                </w:p>
              </w:tc>
            </w:tr>
            <w:tr w14:paraId="5A2E7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Align w:val="center"/>
                </w:tcPr>
                <w:p w14:paraId="777DCE6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新疆地域适配性</w:t>
                  </w:r>
                </w:p>
              </w:tc>
              <w:tc>
                <w:tcPr>
                  <w:tcW w:w="3255" w:type="dxa"/>
                  <w:vAlign w:val="center"/>
                </w:tcPr>
                <w:p w14:paraId="666984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宋体" w:hAnsi="宋体" w:eastAsia="宋体" w:cs="宋体"/>
                      <w:b w:val="0"/>
                      <w:bCs w:val="0"/>
                      <w:kern w:val="0"/>
                      <w:sz w:val="21"/>
                      <w:szCs w:val="21"/>
                      <w:lang w:val="en-US" w:eastAsia="zh-CN" w:bidi="ar"/>
                    </w:rPr>
                    <w:t>适配新疆准东、阜康、天山北麓等主流深部、大面积、山地戈壁火区；就地取材、少扰动生态，贴合新疆煤田火区治理及生态保护专项要求，为区域主推合规治理工艺。</w:t>
                  </w:r>
                </w:p>
              </w:tc>
              <w:tc>
                <w:tcPr>
                  <w:tcW w:w="3195" w:type="dxa"/>
                  <w:vAlign w:val="center"/>
                </w:tcPr>
                <w:p w14:paraId="5DC841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宋体" w:hAnsi="宋体" w:eastAsia="宋体" w:cs="宋体"/>
                      <w:b w:val="0"/>
                      <w:bCs w:val="0"/>
                      <w:kern w:val="0"/>
                      <w:sz w:val="21"/>
                      <w:szCs w:val="21"/>
                      <w:lang w:val="en-US" w:eastAsia="zh-CN" w:bidi="ar"/>
                    </w:rPr>
                    <w:t>仅适配北疆极小范围地形平缓、埋深极浅的孤立小火点，不适配新疆多数山地、沟壑、生态敏感戈壁火区，方案评审、环评通过率低。</w:t>
                  </w:r>
                </w:p>
              </w:tc>
            </w:tr>
          </w:tbl>
          <w:p w14:paraId="457CC732">
            <w:pPr>
              <w:keepNext w:val="0"/>
              <w:keepLines w:val="0"/>
              <w:suppressLineNumbers w:val="0"/>
              <w:adjustRightInd w:val="0"/>
              <w:snapToGrid w:val="0"/>
              <w:spacing w:before="0" w:beforeAutospacing="0" w:after="0" w:afterAutospacing="0" w:line="360" w:lineRule="auto"/>
              <w:ind w:left="0" w:right="0"/>
              <w:jc w:val="center"/>
              <w:rPr>
                <w:rFonts w:hint="default" w:cs="Times New Roman"/>
                <w:b/>
                <w:bCs/>
                <w:color w:val="auto"/>
                <w:sz w:val="21"/>
                <w:szCs w:val="21"/>
                <w:lang w:val="en-US" w:eastAsia="zh-CN"/>
              </w:rPr>
            </w:pPr>
            <w:r>
              <w:rPr>
                <w:rFonts w:hint="eastAsia" w:cs="Times New Roman"/>
                <w:b/>
                <w:bCs/>
                <w:color w:val="auto"/>
                <w:sz w:val="21"/>
                <w:szCs w:val="21"/>
                <w:lang w:val="en-US" w:eastAsia="zh-CN"/>
              </w:rPr>
              <w:t>表2-13    灭火方法技术经济分析对比表</w:t>
            </w:r>
          </w:p>
          <w:tbl>
            <w:tblPr>
              <w:tblStyle w:val="27"/>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2"/>
              <w:gridCol w:w="2535"/>
              <w:gridCol w:w="2524"/>
            </w:tblGrid>
            <w:tr w14:paraId="51F7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dxa"/>
                  <w:vAlign w:val="center"/>
                </w:tcPr>
                <w:p w14:paraId="6E13F4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5"/>
                      <w:sz w:val="21"/>
                      <w:szCs w:val="21"/>
                    </w:rPr>
                    <w:t>项目</w:t>
                  </w:r>
                </w:p>
              </w:tc>
              <w:tc>
                <w:tcPr>
                  <w:tcW w:w="2535" w:type="dxa"/>
                  <w:vAlign w:val="center"/>
                </w:tcPr>
                <w:p w14:paraId="3E978F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5"/>
                      <w:sz w:val="21"/>
                      <w:szCs w:val="21"/>
                    </w:rPr>
                    <w:t>方案一</w:t>
                  </w:r>
                </w:p>
              </w:tc>
              <w:tc>
                <w:tcPr>
                  <w:tcW w:w="2524" w:type="dxa"/>
                  <w:vAlign w:val="center"/>
                </w:tcPr>
                <w:p w14:paraId="6ABC04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5"/>
                      <w:sz w:val="21"/>
                      <w:szCs w:val="21"/>
                    </w:rPr>
                    <w:t>方案二</w:t>
                  </w:r>
                </w:p>
              </w:tc>
            </w:tr>
            <w:tr w14:paraId="3543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dxa"/>
                  <w:vAlign w:val="center"/>
                </w:tcPr>
                <w:p w14:paraId="7134BD5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6"/>
                      <w:position w:val="3"/>
                      <w:sz w:val="21"/>
                      <w:szCs w:val="21"/>
                    </w:rPr>
                    <w:t>剥离工程（万m</w:t>
                  </w:r>
                  <w:r>
                    <w:rPr>
                      <w:rFonts w:hint="default" w:ascii="Times New Roman" w:hAnsi="Times New Roman" w:eastAsia="宋体" w:cs="Times New Roman"/>
                      <w:spacing w:val="6"/>
                      <w:position w:val="3"/>
                      <w:sz w:val="21"/>
                      <w:szCs w:val="21"/>
                      <w:vertAlign w:val="superscript"/>
                    </w:rPr>
                    <w:t>3</w:t>
                  </w:r>
                  <w:r>
                    <w:rPr>
                      <w:rFonts w:hint="default" w:ascii="Times New Roman" w:hAnsi="Times New Roman" w:eastAsia="宋体" w:cs="Times New Roman"/>
                      <w:spacing w:val="6"/>
                      <w:position w:val="3"/>
                      <w:sz w:val="21"/>
                      <w:szCs w:val="21"/>
                    </w:rPr>
                    <w:t>）</w:t>
                  </w:r>
                </w:p>
              </w:tc>
              <w:tc>
                <w:tcPr>
                  <w:tcW w:w="2535" w:type="dxa"/>
                  <w:vAlign w:val="center"/>
                </w:tcPr>
                <w:p w14:paraId="709E80A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z w:val="21"/>
                      <w:szCs w:val="21"/>
                    </w:rPr>
                    <w:t>3</w:t>
                  </w:r>
                </w:p>
              </w:tc>
              <w:tc>
                <w:tcPr>
                  <w:tcW w:w="2524" w:type="dxa"/>
                  <w:vAlign w:val="center"/>
                </w:tcPr>
                <w:p w14:paraId="40764459">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1"/>
                      <w:sz w:val="21"/>
                      <w:szCs w:val="21"/>
                    </w:rPr>
                    <w:t>1000</w:t>
                  </w:r>
                </w:p>
              </w:tc>
            </w:tr>
            <w:tr w14:paraId="5451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dxa"/>
                  <w:vAlign w:val="center"/>
                </w:tcPr>
                <w:p w14:paraId="692855F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6"/>
                      <w:position w:val="4"/>
                      <w:sz w:val="21"/>
                      <w:szCs w:val="21"/>
                    </w:rPr>
                    <w:t>钻探工程（m）</w:t>
                  </w:r>
                </w:p>
              </w:tc>
              <w:tc>
                <w:tcPr>
                  <w:tcW w:w="2535" w:type="dxa"/>
                  <w:vAlign w:val="center"/>
                </w:tcPr>
                <w:p w14:paraId="2FDFF04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4"/>
                      <w:sz w:val="21"/>
                      <w:szCs w:val="21"/>
                    </w:rPr>
                    <w:t>2602</w:t>
                  </w:r>
                </w:p>
              </w:tc>
              <w:tc>
                <w:tcPr>
                  <w:tcW w:w="2524" w:type="dxa"/>
                  <w:vAlign w:val="center"/>
                </w:tcPr>
                <w:p w14:paraId="1C417314">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z w:val="21"/>
                      <w:szCs w:val="21"/>
                    </w:rPr>
                    <w:t>0</w:t>
                  </w:r>
                </w:p>
              </w:tc>
            </w:tr>
            <w:tr w14:paraId="7C31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dxa"/>
                  <w:vAlign w:val="center"/>
                </w:tcPr>
                <w:p w14:paraId="27DC0888">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6"/>
                      <w:position w:val="3"/>
                      <w:sz w:val="21"/>
                      <w:szCs w:val="21"/>
                    </w:rPr>
                    <w:t>注水工程（万m</w:t>
                  </w:r>
                  <w:r>
                    <w:rPr>
                      <w:rFonts w:hint="default" w:ascii="Times New Roman" w:hAnsi="Times New Roman" w:eastAsia="宋体" w:cs="Times New Roman"/>
                      <w:spacing w:val="6"/>
                      <w:position w:val="3"/>
                      <w:sz w:val="21"/>
                      <w:szCs w:val="21"/>
                      <w:vertAlign w:val="superscript"/>
                    </w:rPr>
                    <w:t>3</w:t>
                  </w:r>
                  <w:r>
                    <w:rPr>
                      <w:rFonts w:hint="default" w:ascii="Times New Roman" w:hAnsi="Times New Roman" w:eastAsia="宋体" w:cs="Times New Roman"/>
                      <w:spacing w:val="6"/>
                      <w:position w:val="3"/>
                      <w:sz w:val="21"/>
                      <w:szCs w:val="21"/>
                    </w:rPr>
                    <w:t>）</w:t>
                  </w:r>
                </w:p>
              </w:tc>
              <w:tc>
                <w:tcPr>
                  <w:tcW w:w="2535" w:type="dxa"/>
                  <w:vAlign w:val="center"/>
                </w:tcPr>
                <w:p w14:paraId="0FE8874A">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2"/>
                      <w:sz w:val="21"/>
                      <w:szCs w:val="21"/>
                    </w:rPr>
                    <w:t>0.18</w:t>
                  </w:r>
                </w:p>
              </w:tc>
              <w:tc>
                <w:tcPr>
                  <w:tcW w:w="2524" w:type="dxa"/>
                  <w:vAlign w:val="center"/>
                </w:tcPr>
                <w:p w14:paraId="690470B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2"/>
                      <w:sz w:val="21"/>
                      <w:szCs w:val="21"/>
                    </w:rPr>
                    <w:t>0.15</w:t>
                  </w:r>
                </w:p>
              </w:tc>
            </w:tr>
            <w:tr w14:paraId="5FE9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dxa"/>
                  <w:vAlign w:val="center"/>
                </w:tcPr>
                <w:p w14:paraId="63EA9F0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4"/>
                      <w:position w:val="3"/>
                      <w:sz w:val="21"/>
                      <w:szCs w:val="21"/>
                    </w:rPr>
                    <w:t>注浆工程3:1普通泥浆（万m</w:t>
                  </w:r>
                  <w:r>
                    <w:rPr>
                      <w:rFonts w:hint="default" w:ascii="Times New Roman" w:hAnsi="Times New Roman" w:eastAsia="宋体" w:cs="Times New Roman"/>
                      <w:spacing w:val="6"/>
                      <w:position w:val="3"/>
                      <w:sz w:val="21"/>
                      <w:szCs w:val="21"/>
                      <w:vertAlign w:val="superscript"/>
                    </w:rPr>
                    <w:t>3</w:t>
                  </w:r>
                  <w:r>
                    <w:rPr>
                      <w:rFonts w:hint="default" w:ascii="Times New Roman" w:hAnsi="Times New Roman" w:eastAsia="宋体" w:cs="Times New Roman"/>
                      <w:spacing w:val="4"/>
                      <w:position w:val="3"/>
                      <w:sz w:val="21"/>
                      <w:szCs w:val="21"/>
                    </w:rPr>
                    <w:t>）</w:t>
                  </w:r>
                </w:p>
              </w:tc>
              <w:tc>
                <w:tcPr>
                  <w:tcW w:w="2535" w:type="dxa"/>
                  <w:vAlign w:val="center"/>
                </w:tcPr>
                <w:p w14:paraId="5141A85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3"/>
                      <w:sz w:val="21"/>
                      <w:szCs w:val="21"/>
                    </w:rPr>
                    <w:t>2.17</w:t>
                  </w:r>
                </w:p>
              </w:tc>
              <w:tc>
                <w:tcPr>
                  <w:tcW w:w="2524" w:type="dxa"/>
                  <w:vAlign w:val="center"/>
                </w:tcPr>
                <w:p w14:paraId="20B39F8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z w:val="21"/>
                      <w:szCs w:val="21"/>
                    </w:rPr>
                    <w:t>0</w:t>
                  </w:r>
                </w:p>
              </w:tc>
            </w:tr>
            <w:tr w14:paraId="7F51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dxa"/>
                  <w:vAlign w:val="center"/>
                </w:tcPr>
                <w:p w14:paraId="4FC34704">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6"/>
                      <w:position w:val="3"/>
                      <w:sz w:val="21"/>
                      <w:szCs w:val="21"/>
                    </w:rPr>
                    <w:t>覆盖工程（万m</w:t>
                  </w:r>
                  <w:r>
                    <w:rPr>
                      <w:rFonts w:hint="default" w:ascii="Times New Roman" w:hAnsi="Times New Roman" w:eastAsia="宋体" w:cs="Times New Roman"/>
                      <w:spacing w:val="6"/>
                      <w:position w:val="3"/>
                      <w:sz w:val="21"/>
                      <w:szCs w:val="21"/>
                      <w:vertAlign w:val="superscript"/>
                    </w:rPr>
                    <w:t>3</w:t>
                  </w:r>
                  <w:r>
                    <w:rPr>
                      <w:rFonts w:hint="default" w:ascii="Times New Roman" w:hAnsi="Times New Roman" w:eastAsia="宋体" w:cs="Times New Roman"/>
                      <w:spacing w:val="6"/>
                      <w:position w:val="3"/>
                      <w:sz w:val="21"/>
                      <w:szCs w:val="21"/>
                    </w:rPr>
                    <w:t>）</w:t>
                  </w:r>
                </w:p>
              </w:tc>
              <w:tc>
                <w:tcPr>
                  <w:tcW w:w="2535" w:type="dxa"/>
                  <w:vAlign w:val="center"/>
                </w:tcPr>
                <w:p w14:paraId="4577B307">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z w:val="21"/>
                      <w:szCs w:val="21"/>
                    </w:rPr>
                    <w:t>3</w:t>
                  </w:r>
                </w:p>
              </w:tc>
              <w:tc>
                <w:tcPr>
                  <w:tcW w:w="2524" w:type="dxa"/>
                  <w:vAlign w:val="center"/>
                </w:tcPr>
                <w:p w14:paraId="61298AEA">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z w:val="21"/>
                      <w:szCs w:val="21"/>
                    </w:rPr>
                    <w:t>5.2</w:t>
                  </w:r>
                </w:p>
              </w:tc>
            </w:tr>
            <w:tr w14:paraId="41F6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dxa"/>
                  <w:vAlign w:val="center"/>
                </w:tcPr>
                <w:p w14:paraId="09B8024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4"/>
                      <w:position w:val="3"/>
                      <w:sz w:val="21"/>
                      <w:szCs w:val="21"/>
                    </w:rPr>
                    <w:t>回填工程（万m</w:t>
                  </w:r>
                  <w:r>
                    <w:rPr>
                      <w:rFonts w:hint="default" w:ascii="Times New Roman" w:hAnsi="Times New Roman" w:eastAsia="宋体" w:cs="Times New Roman"/>
                      <w:spacing w:val="6"/>
                      <w:position w:val="3"/>
                      <w:sz w:val="21"/>
                      <w:szCs w:val="21"/>
                      <w:vertAlign w:val="superscript"/>
                    </w:rPr>
                    <w:t>3</w:t>
                  </w:r>
                  <w:r>
                    <w:rPr>
                      <w:rFonts w:hint="default" w:ascii="Times New Roman" w:hAnsi="Times New Roman" w:eastAsia="宋体" w:cs="Times New Roman"/>
                      <w:spacing w:val="4"/>
                      <w:position w:val="3"/>
                      <w:sz w:val="21"/>
                      <w:szCs w:val="21"/>
                    </w:rPr>
                    <w:t>）</w:t>
                  </w:r>
                </w:p>
              </w:tc>
              <w:tc>
                <w:tcPr>
                  <w:tcW w:w="2535" w:type="dxa"/>
                  <w:vAlign w:val="center"/>
                </w:tcPr>
                <w:p w14:paraId="43D811D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z w:val="21"/>
                      <w:szCs w:val="21"/>
                    </w:rPr>
                    <w:t>0</w:t>
                  </w:r>
                </w:p>
              </w:tc>
              <w:tc>
                <w:tcPr>
                  <w:tcW w:w="2524" w:type="dxa"/>
                  <w:vAlign w:val="center"/>
                </w:tcPr>
                <w:p w14:paraId="7080208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1"/>
                      <w:sz w:val="21"/>
                      <w:szCs w:val="21"/>
                    </w:rPr>
                    <w:t>1000</w:t>
                  </w:r>
                </w:p>
              </w:tc>
            </w:tr>
            <w:tr w14:paraId="2497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dxa"/>
                  <w:vAlign w:val="center"/>
                </w:tcPr>
                <w:p w14:paraId="5F2C7A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7"/>
                      <w:position w:val="3"/>
                      <w:sz w:val="21"/>
                      <w:szCs w:val="21"/>
                    </w:rPr>
                    <w:t>投资（万元）</w:t>
                  </w:r>
                </w:p>
              </w:tc>
              <w:tc>
                <w:tcPr>
                  <w:tcW w:w="2535" w:type="dxa"/>
                  <w:vAlign w:val="center"/>
                </w:tcPr>
                <w:p w14:paraId="2238126B">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z w:val="21"/>
                      <w:szCs w:val="21"/>
                    </w:rPr>
                    <w:t>1280</w:t>
                  </w:r>
                </w:p>
              </w:tc>
              <w:tc>
                <w:tcPr>
                  <w:tcW w:w="2524" w:type="dxa"/>
                  <w:vAlign w:val="center"/>
                </w:tcPr>
                <w:p w14:paraId="5DB7E1D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3"/>
                      <w:sz w:val="21"/>
                      <w:szCs w:val="21"/>
                    </w:rPr>
                    <w:t>35000</w:t>
                  </w:r>
                </w:p>
              </w:tc>
            </w:tr>
            <w:tr w14:paraId="6387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dxa"/>
                  <w:vAlign w:val="center"/>
                </w:tcPr>
                <w:p w14:paraId="3E96C5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5"/>
                      <w:position w:val="3"/>
                      <w:sz w:val="21"/>
                      <w:szCs w:val="21"/>
                    </w:rPr>
                    <w:t>工期（月）</w:t>
                  </w:r>
                </w:p>
              </w:tc>
              <w:tc>
                <w:tcPr>
                  <w:tcW w:w="2535" w:type="dxa"/>
                  <w:vAlign w:val="center"/>
                </w:tcPr>
                <w:p w14:paraId="79D0B1D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z w:val="21"/>
                      <w:szCs w:val="21"/>
                    </w:rPr>
                    <w:t>6</w:t>
                  </w:r>
                </w:p>
              </w:tc>
              <w:tc>
                <w:tcPr>
                  <w:tcW w:w="2524" w:type="dxa"/>
                  <w:vAlign w:val="center"/>
                </w:tcPr>
                <w:p w14:paraId="71856AEA">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2"/>
                      <w:sz w:val="21"/>
                      <w:szCs w:val="21"/>
                    </w:rPr>
                    <w:t>24</w:t>
                  </w:r>
                </w:p>
              </w:tc>
            </w:tr>
            <w:tr w14:paraId="1F66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dxa"/>
                  <w:vAlign w:val="center"/>
                </w:tcPr>
                <w:p w14:paraId="353AEE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7"/>
                      <w:position w:val="3"/>
                      <w:sz w:val="21"/>
                      <w:szCs w:val="21"/>
                    </w:rPr>
                    <w:t>残煤量（万吨）</w:t>
                  </w:r>
                </w:p>
              </w:tc>
              <w:tc>
                <w:tcPr>
                  <w:tcW w:w="2535" w:type="dxa"/>
                  <w:vAlign w:val="center"/>
                </w:tcPr>
                <w:p w14:paraId="17A62D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z w:val="21"/>
                      <w:szCs w:val="21"/>
                    </w:rPr>
                    <w:t>无</w:t>
                  </w:r>
                </w:p>
              </w:tc>
              <w:tc>
                <w:tcPr>
                  <w:tcW w:w="2524" w:type="dxa"/>
                  <w:vAlign w:val="center"/>
                </w:tcPr>
                <w:p w14:paraId="533673F5">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3"/>
                      <w:sz w:val="21"/>
                      <w:szCs w:val="21"/>
                    </w:rPr>
                    <w:t>40</w:t>
                  </w:r>
                </w:p>
              </w:tc>
            </w:tr>
            <w:tr w14:paraId="5FDE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dxa"/>
                  <w:vAlign w:val="center"/>
                </w:tcPr>
                <w:p w14:paraId="5039F7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pacing w:val="7"/>
                      <w:sz w:val="21"/>
                      <w:szCs w:val="21"/>
                    </w:rPr>
                    <w:t>复燃可能</w:t>
                  </w:r>
                </w:p>
              </w:tc>
              <w:tc>
                <w:tcPr>
                  <w:tcW w:w="2535" w:type="dxa"/>
                  <w:vAlign w:val="center"/>
                </w:tcPr>
                <w:p w14:paraId="2FEB76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z w:val="21"/>
                      <w:szCs w:val="21"/>
                    </w:rPr>
                    <w:t>有</w:t>
                  </w:r>
                </w:p>
              </w:tc>
              <w:tc>
                <w:tcPr>
                  <w:tcW w:w="2524" w:type="dxa"/>
                  <w:vAlign w:val="center"/>
                </w:tcPr>
                <w:p w14:paraId="4954F8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sz w:val="21"/>
                      <w:szCs w:val="21"/>
                    </w:rPr>
                    <w:t>无</w:t>
                  </w:r>
                </w:p>
              </w:tc>
            </w:tr>
          </w:tbl>
          <w:p w14:paraId="4475CA76">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123"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经比较，方案一通过综合灭火方法，主要以注水注浆的灭火方式进行治理，该方法具有工程量小、对地表破坏小、投资低（估算投资约1280万元 ，具体经济比较详见表</w:t>
            </w:r>
            <w:r>
              <w:rPr>
                <w:rFonts w:hint="eastAsia" w:ascii="Times New Roman" w:hAnsi="Times New Roman" w:cs="Times New Roman"/>
                <w:color w:val="000000"/>
                <w:kern w:val="0"/>
                <w:sz w:val="24"/>
                <w:szCs w:val="24"/>
                <w:lang w:val="en-US" w:eastAsia="zh-CN" w:bidi="ar"/>
              </w:rPr>
              <w:t>2-12</w:t>
            </w:r>
            <w:r>
              <w:rPr>
                <w:rFonts w:hint="default" w:ascii="Times New Roman" w:hAnsi="Times New Roman" w:eastAsia="宋体" w:cs="Times New Roman"/>
                <w:color w:val="000000"/>
                <w:kern w:val="0"/>
                <w:sz w:val="24"/>
                <w:szCs w:val="24"/>
                <w:lang w:val="en-US" w:eastAsia="zh-CN" w:bidi="ar"/>
              </w:rPr>
              <w:t>）、工期短的优点 ，但存在治理不彻底有复燃风险</w:t>
            </w:r>
            <w:r>
              <w:rPr>
                <w:rFonts w:hint="eastAsia" w:cs="Times New Roman"/>
                <w:color w:val="000000"/>
                <w:kern w:val="0"/>
                <w:sz w:val="24"/>
                <w:szCs w:val="24"/>
                <w:lang w:val="en-US" w:eastAsia="zh-CN" w:bidi="ar"/>
              </w:rPr>
              <w:t>且</w:t>
            </w:r>
            <w:r>
              <w:rPr>
                <w:rFonts w:hint="default" w:ascii="Times New Roman" w:hAnsi="Times New Roman" w:eastAsia="宋体" w:cs="Times New Roman"/>
                <w:color w:val="000000"/>
                <w:kern w:val="0"/>
                <w:sz w:val="24"/>
                <w:szCs w:val="24"/>
                <w:lang w:val="en-US" w:eastAsia="zh-CN" w:bidi="ar"/>
              </w:rPr>
              <w:t>治理资金全由企业投入，无产生残煤处置收益补充，相比方案二综合经济性差。</w:t>
            </w:r>
          </w:p>
          <w:p w14:paraId="619E7443">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123"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方案二通过剥离挖除火源体的方式，经估算该方案主要工程量及投资为剥离工程，其中剥离工程量约1000万m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，工程总投资约3.5亿元（具体经济比较详见表</w:t>
            </w:r>
            <w:r>
              <w:rPr>
                <w:rFonts w:hint="eastAsia" w:ascii="Times New Roman" w:hAnsi="Times New Roman" w:cs="Times New Roman"/>
                <w:color w:val="000000"/>
                <w:kern w:val="0"/>
                <w:sz w:val="24"/>
                <w:szCs w:val="24"/>
                <w:lang w:val="en-US" w:eastAsia="zh-CN" w:bidi="ar"/>
              </w:rPr>
              <w:t>2-12</w:t>
            </w:r>
            <w:r>
              <w:rPr>
                <w:rFonts w:hint="default" w:ascii="Times New Roman" w:hAnsi="Times New Roman" w:eastAsia="宋体" w:cs="Times New Roman"/>
                <w:color w:val="000000"/>
                <w:kern w:val="0"/>
                <w:sz w:val="24"/>
                <w:szCs w:val="24"/>
                <w:lang w:val="en-US" w:eastAsia="zh-CN" w:bidi="ar"/>
              </w:rPr>
              <w:t>），该方法具有治理效果彻底、便于管理的优点，但存在工程量相对大、治理资金相对高的缺点。</w:t>
            </w:r>
          </w:p>
          <w:p w14:paraId="5D2994DA">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123"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根据详勘和煤矿地质资料，通过断面整体估算法计算火区剥离过程中预计产生残煤量约40万吨 ，参考周边煤矿类似煤质的煤价100元/t估算，残煤处置经济价值约4000万元。</w:t>
            </w:r>
          </w:p>
          <w:p w14:paraId="0D997ED4">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123"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根据火区燃烧状况、结合现有火区治理方法和施工经验、外部条件、施工工期、煤炭资源开发等情况，同时根据昌吉州文件要求，按照生态优先、安全第一的原则，</w:t>
            </w:r>
            <w:r>
              <w:rPr>
                <w:rFonts w:hint="default" w:ascii="Times New Roman" w:hAnsi="Times New Roman" w:eastAsia="宋体" w:cs="Times New Roman"/>
                <w:b/>
                <w:bCs/>
                <w:color w:val="000000"/>
                <w:kern w:val="0"/>
                <w:sz w:val="24"/>
                <w:szCs w:val="24"/>
                <w:lang w:val="en-US" w:eastAsia="zh-CN" w:bidi="ar"/>
              </w:rPr>
              <w:t>综合考虑后，确定本火区采用方案一 ，即火区采用剥离、钻探、注水、注浆及覆盖的综合灭火方法</w:t>
            </w:r>
            <w:r>
              <w:rPr>
                <w:rFonts w:hint="eastAsia" w:ascii="Times New Roman" w:hAnsi="Times New Roman" w:cs="Times New Roman"/>
                <w:b/>
                <w:bCs/>
                <w:color w:val="000000"/>
                <w:kern w:val="0"/>
                <w:sz w:val="24"/>
                <w:szCs w:val="24"/>
                <w:lang w:val="en-US" w:eastAsia="zh-CN" w:bidi="ar"/>
              </w:rPr>
              <w:t>。</w:t>
            </w:r>
          </w:p>
          <w:p w14:paraId="02E4B08C">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123" w:firstLine="0"/>
              <w:jc w:val="both"/>
              <w:textAlignment w:val="auto"/>
              <w:rPr>
                <w:rFonts w:hint="default" w:ascii="宋体" w:hAnsi="宋体" w:eastAsia="宋体" w:cs="宋体"/>
                <w:color w:val="000000"/>
                <w:kern w:val="0"/>
                <w:sz w:val="24"/>
                <w:szCs w:val="24"/>
                <w:lang w:val="en-US" w:eastAsia="zh-CN" w:bidi="ar"/>
              </w:rPr>
            </w:pPr>
          </w:p>
          <w:p w14:paraId="0C82479F">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123" w:firstLine="0"/>
              <w:jc w:val="both"/>
              <w:textAlignment w:val="auto"/>
              <w:rPr>
                <w:rFonts w:hint="default" w:ascii="宋体" w:hAnsi="宋体" w:eastAsia="宋体" w:cs="宋体"/>
                <w:color w:val="000000"/>
                <w:kern w:val="0"/>
                <w:sz w:val="24"/>
                <w:szCs w:val="24"/>
                <w:lang w:val="en-US" w:eastAsia="zh-CN" w:bidi="ar"/>
              </w:rPr>
            </w:pPr>
          </w:p>
          <w:p w14:paraId="42FB3BD1">
            <w:pPr>
              <w:keepNext w:val="0"/>
              <w:keepLines w:val="0"/>
              <w:suppressLineNumbers w:val="0"/>
              <w:adjustRightInd w:val="0"/>
              <w:snapToGrid w:val="0"/>
              <w:spacing w:before="0" w:beforeAutospacing="0" w:after="0" w:afterAutospacing="0"/>
              <w:ind w:left="0" w:right="0"/>
              <w:jc w:val="both"/>
              <w:rPr>
                <w:rFonts w:hint="default" w:ascii="Times New Roman" w:hAnsi="Times New Roman" w:cs="宋体"/>
                <w:color w:val="auto"/>
                <w:kern w:val="0"/>
                <w:sz w:val="24"/>
                <w:szCs w:val="24"/>
              </w:rPr>
            </w:pPr>
          </w:p>
        </w:tc>
      </w:tr>
    </w:tbl>
    <w:p w14:paraId="0324EC47">
      <w:pPr>
        <w:pStyle w:val="23"/>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eastAsia" w:ascii="黑体" w:hAnsi="黑体" w:eastAsia="黑体" w:cs="Times New Roman"/>
          <w:snapToGrid w:val="0"/>
          <w:color w:val="auto"/>
          <w:sz w:val="30"/>
          <w:szCs w:val="30"/>
        </w:rPr>
      </w:pPr>
      <w:r>
        <w:rPr>
          <w:rFonts w:eastAsia="仿宋_GB2312"/>
          <w:b/>
          <w:bCs/>
          <w:color w:val="auto"/>
        </w:rPr>
        <w:br w:type="page"/>
      </w:r>
      <w:bookmarkStart w:id="5" w:name="_Toc17922"/>
      <w:r>
        <w:rPr>
          <w:rFonts w:hint="eastAsia" w:ascii="黑体" w:hAnsi="黑体" w:eastAsia="黑体" w:cs="Times New Roman"/>
          <w:snapToGrid w:val="0"/>
          <w:color w:val="auto"/>
          <w:sz w:val="30"/>
          <w:szCs w:val="30"/>
          <w:lang w:val="en-US" w:eastAsia="zh-CN"/>
        </w:rPr>
        <w:t>三、</w:t>
      </w:r>
      <w:r>
        <w:rPr>
          <w:rFonts w:hint="eastAsia" w:ascii="黑体" w:hAnsi="黑体" w:eastAsia="黑体" w:cs="Times New Roman"/>
          <w:snapToGrid w:val="0"/>
          <w:color w:val="auto"/>
          <w:sz w:val="30"/>
          <w:szCs w:val="30"/>
        </w:rPr>
        <w:t>生态环境现状、保护目标及评价标准</w:t>
      </w:r>
      <w:bookmarkEnd w:id="5"/>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8167"/>
      </w:tblGrid>
      <w:tr w14:paraId="4396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vAlign w:val="center"/>
          </w:tcPr>
          <w:p w14:paraId="73819FC7">
            <w:pPr>
              <w:keepNext w:val="0"/>
              <w:keepLines w:val="0"/>
              <w:suppressLineNumbers w:val="0"/>
              <w:adjustRightInd w:val="0"/>
              <w:snapToGrid w:val="0"/>
              <w:spacing w:before="0" w:beforeAutospacing="0" w:after="0" w:afterAutospacing="0"/>
              <w:ind w:left="0" w:leftChars="0" w:right="0" w:rightChars="0"/>
              <w:jc w:val="center"/>
              <w:rPr>
                <w:rFonts w:hint="eastAsia" w:ascii="黑体" w:hAnsi="黑体" w:eastAsia="黑体"/>
                <w:snapToGrid w:val="0"/>
                <w:color w:val="auto"/>
                <w:sz w:val="30"/>
                <w:szCs w:val="30"/>
                <w:vertAlign w:val="baseline"/>
              </w:rPr>
            </w:pPr>
            <w:r>
              <w:rPr>
                <w:rFonts w:hint="eastAsia" w:ascii="Times New Roman" w:hAnsi="Times New Roman" w:cs="宋体"/>
                <w:b/>
                <w:bCs/>
                <w:color w:val="auto"/>
                <w:kern w:val="0"/>
                <w:sz w:val="24"/>
                <w:szCs w:val="24"/>
              </w:rPr>
              <w:t>生态环境现状</w:t>
            </w:r>
          </w:p>
        </w:tc>
        <w:tc>
          <w:tcPr>
            <w:tcW w:w="8167" w:type="dxa"/>
            <w:vAlign w:val="center"/>
          </w:tcPr>
          <w:p w14:paraId="2C5E79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1、</w:t>
            </w:r>
            <w:r>
              <w:rPr>
                <w:rFonts w:hint="eastAsia" w:ascii="Times New Roman" w:hAnsi="Times New Roman" w:cs="Times New Roman"/>
                <w:b/>
                <w:bCs/>
                <w:color w:val="auto"/>
                <w:sz w:val="24"/>
                <w:szCs w:val="24"/>
              </w:rPr>
              <w:t>主体功能区划</w:t>
            </w:r>
          </w:p>
          <w:p w14:paraId="6217FBD8">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lang w:val="en-US" w:eastAsia="zh-CN" w:bidi="ar-SA"/>
              </w:rPr>
              <w:t>根据《新疆维吾尔自治区主体功能区规划》，将新疆国土空间划分为重点开发、限制开发和禁止开发区域。重点开发区域包括：国家层面重点开发区域（主要指天山北坡城市或城区以及县市城关镇和重要工业园区）和自治区层面重点开发区域（主要指内点状分布的承载绿洲经济发展的县市城关镇和重要工业园区）；限制开发区域包括新疆国家级农产品主产区（包括天山北坡主产区和天山南坡主产区）和新疆重点生态功能区（包括3个国家级重点生态功能区和9个自治区级重点生态功能区）；禁止开发区域包括：国家层面禁止开发区域（国家级自然保护区、世界文化自然遗产、国家级风景名胜区、国家森林公园和国家地质公园）和自治区层面禁止开发区域（自治区级及以下各级各类自然文化资源保护区域、重要水源地、重要湿地、湿地公园、水产种质资源保护区及其他自治区人民政府根据</w:t>
            </w:r>
            <w:r>
              <w:rPr>
                <w:rFonts w:hint="default" w:ascii="Times New Roman" w:hAnsi="Times New Roman" w:eastAsia="宋体" w:cs="Times New Roman"/>
                <w:color w:val="auto"/>
                <w:kern w:val="2"/>
                <w:sz w:val="24"/>
                <w:szCs w:val="24"/>
                <w:highlight w:val="none"/>
                <w:lang w:val="en-US" w:eastAsia="zh-CN" w:bidi="ar-SA"/>
              </w:rPr>
              <w:t>需要确定的禁止开发区域）。</w:t>
            </w:r>
          </w:p>
          <w:p w14:paraId="62B02D42">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lang w:val="en-US" w:eastAsia="zh-CN" w:bidi="ar-SA"/>
              </w:rPr>
              <w:t>本项目位于</w:t>
            </w:r>
            <w:r>
              <w:rPr>
                <w:rFonts w:hint="eastAsia" w:cs="Times New Roman"/>
                <w:color w:val="auto"/>
                <w:sz w:val="24"/>
                <w:szCs w:val="24"/>
                <w:u w:val="none"/>
                <w:lang w:val="en-US" w:eastAsia="zh-CN"/>
              </w:rPr>
              <w:t>新疆维吾尔自治区昌吉回族自治州阜康市甘河</w:t>
            </w:r>
            <w:r>
              <w:rPr>
                <w:rFonts w:hint="eastAsia" w:ascii="Times New Roman" w:hAnsi="Times New Roman" w:cs="Times New Roman"/>
                <w:color w:val="auto"/>
                <w:sz w:val="24"/>
                <w:szCs w:val="24"/>
                <w:u w:val="none"/>
                <w:shd w:val="clear" w:color="auto" w:fill="auto"/>
                <w:lang w:val="en-US" w:eastAsia="zh-CN"/>
              </w:rPr>
              <w:t>子镇西南</w:t>
            </w:r>
            <w:r>
              <w:rPr>
                <w:rFonts w:hint="eastAsia" w:cs="Times New Roman"/>
                <w:color w:val="auto"/>
                <w:sz w:val="24"/>
                <w:szCs w:val="24"/>
                <w:u w:val="none"/>
                <w:shd w:val="clear" w:color="auto" w:fill="auto"/>
                <w:lang w:val="en-US" w:eastAsia="zh-CN"/>
              </w:rPr>
              <w:t>约3</w:t>
            </w:r>
            <w:r>
              <w:rPr>
                <w:rFonts w:hint="eastAsia" w:ascii="Times New Roman" w:hAnsi="Times New Roman" w:cs="Times New Roman"/>
                <w:color w:val="auto"/>
                <w:sz w:val="24"/>
                <w:szCs w:val="24"/>
                <w:u w:val="none"/>
                <w:shd w:val="clear" w:color="auto" w:fill="auto"/>
                <w:lang w:val="en-US" w:eastAsia="zh-CN"/>
              </w:rPr>
              <w:t>km处</w:t>
            </w:r>
            <w:r>
              <w:rPr>
                <w:rFonts w:hint="eastAsia" w:cs="Times New Roman"/>
                <w:color w:val="auto"/>
                <w:sz w:val="24"/>
                <w:szCs w:val="24"/>
                <w:u w:val="none"/>
                <w:shd w:val="clear" w:color="auto" w:fill="auto"/>
                <w:lang w:val="en-US" w:eastAsia="zh-CN"/>
              </w:rPr>
              <w:t>康龙煤矿</w:t>
            </w:r>
            <w:r>
              <w:rPr>
                <w:rFonts w:hint="eastAsia" w:ascii="Times New Roman" w:hAnsi="Times New Roman" w:eastAsia="宋体" w:cs="Times New Roman"/>
                <w:color w:val="auto"/>
                <w:kern w:val="2"/>
                <w:sz w:val="24"/>
                <w:szCs w:val="24"/>
                <w:lang w:val="en-US" w:eastAsia="zh-CN" w:bidi="ar-SA"/>
              </w:rPr>
              <w:t>，根据</w:t>
            </w:r>
            <w:r>
              <w:rPr>
                <w:rFonts w:hint="default" w:ascii="Times New Roman" w:hAnsi="Times New Roman" w:eastAsia="宋体" w:cs="Times New Roman"/>
                <w:color w:val="auto"/>
                <w:kern w:val="2"/>
                <w:sz w:val="24"/>
                <w:szCs w:val="24"/>
                <w:lang w:val="en-US" w:eastAsia="zh-CN" w:bidi="ar-SA"/>
              </w:rPr>
              <w:t>《新疆维吾尔自治区主体功能区规划》</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项目</w:t>
            </w:r>
            <w:r>
              <w:rPr>
                <w:rFonts w:hint="eastAsia" w:ascii="Times New Roman" w:hAnsi="Times New Roman" w:eastAsia="宋体" w:cs="Times New Roman"/>
                <w:color w:val="auto"/>
                <w:kern w:val="2"/>
                <w:sz w:val="24"/>
                <w:szCs w:val="24"/>
                <w:lang w:val="en-US" w:eastAsia="zh-CN" w:bidi="ar-SA"/>
              </w:rPr>
              <w:t>位于国家层面重点开发区域，该区域的</w:t>
            </w:r>
            <w:r>
              <w:rPr>
                <w:rFonts w:hint="default" w:ascii="Times New Roman" w:hAnsi="Times New Roman" w:eastAsia="宋体" w:cs="Times New Roman"/>
                <w:color w:val="auto"/>
                <w:kern w:val="2"/>
                <w:sz w:val="24"/>
                <w:szCs w:val="24"/>
                <w:lang w:val="en-US" w:eastAsia="zh-CN" w:bidi="ar-SA"/>
              </w:rPr>
              <w:t>功能定位是：我国面向中亚、西亚地区对外</w:t>
            </w:r>
            <w:r>
              <w:rPr>
                <w:rFonts w:hint="eastAsia" w:ascii="Times New Roman" w:hAnsi="Times New Roman" w:eastAsia="宋体" w:cs="Times New Roman"/>
                <w:color w:val="auto"/>
                <w:kern w:val="2"/>
                <w:sz w:val="24"/>
                <w:szCs w:val="24"/>
                <w:lang w:val="en-US" w:eastAsia="zh-CN" w:bidi="ar-SA"/>
              </w:rPr>
              <w:t>开放的陆路交通枢纽和重要门户，全国重要的能源基地，我国进口资源的国际大通道，西北地区重要的国际商贸中心、物流中心和对外合作加工基地，石油天然气化工、煤电、煤化工、机电工业及纺织工业基地。</w:t>
            </w:r>
          </w:p>
          <w:p w14:paraId="33A7D4DD">
            <w:pPr>
              <w:keepNext w:val="0"/>
              <w:keepLines w:val="0"/>
              <w:suppressLineNumbers w:val="0"/>
              <w:spacing w:before="0" w:beforeAutospacing="0" w:after="0" w:afterAutospacing="0" w:line="360" w:lineRule="auto"/>
              <w:ind w:left="0" w:right="0" w:firstLine="482" w:firstLineChars="200"/>
              <w:jc w:val="left"/>
              <w:rPr>
                <w:rFonts w:hint="eastAsia" w:ascii="Times New Roman" w:hAnsi="Times New Roman" w:cs="Times New Roman"/>
                <w:b/>
                <w:bCs/>
                <w:color w:val="auto"/>
                <w:sz w:val="24"/>
                <w:szCs w:val="24"/>
              </w:rPr>
            </w:pPr>
            <w:r>
              <w:rPr>
                <w:rFonts w:hint="eastAsia" w:cs="Times New Roman"/>
                <w:b/>
                <w:bCs/>
                <w:color w:val="auto"/>
                <w:sz w:val="24"/>
                <w:szCs w:val="24"/>
                <w:lang w:val="en-US" w:eastAsia="zh-CN"/>
              </w:rPr>
              <w:t>2、</w:t>
            </w:r>
            <w:r>
              <w:rPr>
                <w:rFonts w:hint="eastAsia" w:ascii="Times New Roman" w:hAnsi="Times New Roman" w:cs="Times New Roman"/>
                <w:b/>
                <w:bCs/>
                <w:color w:val="auto"/>
                <w:sz w:val="24"/>
                <w:szCs w:val="24"/>
              </w:rPr>
              <w:t>生态功能区划</w:t>
            </w:r>
          </w:p>
          <w:p w14:paraId="46FB6157">
            <w:pPr>
              <w:pStyle w:val="58"/>
              <w:keepNext w:val="0"/>
              <w:keepLines w:val="0"/>
              <w:suppressLineNumbers w:val="0"/>
              <w:adjustRightInd/>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szCs w:val="24"/>
                <w:highlight w:val="yellow"/>
                <w:lang w:val="en-US" w:eastAsia="zh-CN"/>
              </w:rPr>
            </w:pPr>
            <w:r>
              <w:rPr>
                <w:rFonts w:hint="default" w:ascii="Times New Roman" w:hAnsi="Times New Roman" w:eastAsia="宋体" w:cs="Times New Roman"/>
                <w:color w:val="auto"/>
                <w:kern w:val="2"/>
                <w:sz w:val="24"/>
                <w:szCs w:val="24"/>
                <w:lang w:val="en-US" w:eastAsia="zh-CN" w:bidi="ar-SA"/>
              </w:rPr>
              <w:t>根据《新疆生态功能区划》（2005版）</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项目所在区域生态功能区划属于</w:t>
            </w:r>
            <w:r>
              <w:rPr>
                <w:rFonts w:hint="default" w:ascii="Times New Roman" w:hAnsi="Times New Roman" w:cs="Times New Roman"/>
                <w:color w:val="auto"/>
                <w:sz w:val="24"/>
                <w:szCs w:val="24"/>
              </w:rPr>
              <w:t>Ⅱ准噶尔盆地温性荒漠与绿洲农业生态区</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000000"/>
                <w:sz w:val="24"/>
                <w:szCs w:val="24"/>
              </w:rPr>
              <w:t>Ⅱ</w:t>
            </w:r>
            <w:r>
              <w:rPr>
                <w:rFonts w:hint="default" w:ascii="Times New Roman" w:hAnsi="Times New Roman" w:cs="Times New Roman"/>
                <w:color w:val="000000"/>
                <w:sz w:val="24"/>
                <w:szCs w:val="24"/>
                <w:vertAlign w:val="subscript"/>
              </w:rPr>
              <w:t>5</w:t>
            </w:r>
            <w:r>
              <w:rPr>
                <w:rFonts w:hint="default" w:ascii="Times New Roman" w:hAnsi="Times New Roman" w:cs="Times New Roman"/>
                <w:color w:val="000000"/>
                <w:sz w:val="24"/>
                <w:szCs w:val="24"/>
              </w:rPr>
              <w:t>准噶尔盆地南部荒漠绿洲农业生态亚区</w:t>
            </w:r>
            <w:r>
              <w:rPr>
                <w:rFonts w:hint="default" w:ascii="Times New Roman" w:hAnsi="Times New Roman" w:eastAsia="宋体" w:cs="Times New Roman"/>
                <w:color w:val="auto"/>
                <w:kern w:val="0"/>
                <w:sz w:val="24"/>
                <w:szCs w:val="24"/>
                <w:vertAlign w:val="baseline"/>
                <w:lang w:val="en-US" w:eastAsia="zh-CN" w:bidi="ar-SA"/>
              </w:rPr>
              <w:t>—</w:t>
            </w:r>
            <w:r>
              <w:rPr>
                <w:rFonts w:hint="eastAsia" w:ascii="Times New Roman" w:hAnsi="Times New Roman" w:cs="Times New Roman"/>
                <w:color w:val="000000"/>
                <w:sz w:val="24"/>
                <w:szCs w:val="24"/>
                <w:lang w:val="en-US" w:eastAsia="zh-CN"/>
              </w:rPr>
              <w:t>28.</w:t>
            </w:r>
            <w:r>
              <w:rPr>
                <w:rFonts w:hint="default" w:ascii="Times New Roman" w:hAnsi="Times New Roman" w:cs="Times New Roman"/>
                <w:color w:val="000000"/>
                <w:sz w:val="24"/>
                <w:szCs w:val="24"/>
              </w:rPr>
              <w:t>阜康—木垒绿洲农业、荒漠草地保护生态功能区</w:t>
            </w:r>
            <w:r>
              <w:rPr>
                <w:rFonts w:hint="eastAsia" w:ascii="Times New Roman" w:hAnsi="Times New Roman" w:cs="Times New Roman"/>
                <w:color w:val="auto"/>
                <w:kern w:val="2"/>
                <w:sz w:val="24"/>
                <w:szCs w:val="24"/>
                <w:lang w:val="en-US" w:eastAsia="zh-CN" w:bidi="ar-SA"/>
              </w:rPr>
              <w:t>。</w:t>
            </w:r>
            <w:r>
              <w:rPr>
                <w:rFonts w:hint="default" w:ascii="Times New Roman" w:hAnsi="Times New Roman" w:eastAsia="宋体" w:cs="Times New Roman"/>
                <w:color w:val="auto"/>
                <w:kern w:val="0"/>
                <w:sz w:val="24"/>
                <w:szCs w:val="24"/>
                <w:highlight w:val="none"/>
                <w:vertAlign w:val="baseline"/>
                <w:lang w:val="en-US" w:eastAsia="zh-CN" w:bidi="ar-SA"/>
              </w:rPr>
              <w:t>该生态功能区的主要环境状况见表</w:t>
            </w:r>
            <w:r>
              <w:rPr>
                <w:rFonts w:hint="eastAsia" w:ascii="Times New Roman" w:hAnsi="Times New Roman" w:eastAsia="宋体" w:cs="Times New Roman"/>
                <w:color w:val="auto"/>
                <w:kern w:val="0"/>
                <w:sz w:val="24"/>
                <w:szCs w:val="24"/>
                <w:highlight w:val="none"/>
                <w:vertAlign w:val="baseline"/>
                <w:lang w:val="en-US" w:eastAsia="zh-CN" w:bidi="ar-SA"/>
              </w:rPr>
              <w:t>3-1</w:t>
            </w:r>
            <w:r>
              <w:rPr>
                <w:rFonts w:hint="default" w:ascii="Times New Roman" w:hAnsi="Times New Roman" w:eastAsia="宋体" w:cs="Times New Roman"/>
                <w:color w:val="auto"/>
                <w:kern w:val="0"/>
                <w:sz w:val="24"/>
                <w:szCs w:val="24"/>
                <w:highlight w:val="none"/>
                <w:vertAlign w:val="baseline"/>
                <w:lang w:val="en-US" w:eastAsia="zh-CN" w:bidi="ar-SA"/>
              </w:rPr>
              <w:t>，</w:t>
            </w:r>
            <w:r>
              <w:rPr>
                <w:rFonts w:hint="default" w:ascii="Times New Roman" w:hAnsi="Times New Roman" w:cs="Times New Roman"/>
                <w:color w:val="auto"/>
                <w:sz w:val="24"/>
                <w:szCs w:val="24"/>
                <w:highlight w:val="none"/>
              </w:rPr>
              <w:t>生态功能区划图见</w:t>
            </w:r>
            <w:r>
              <w:rPr>
                <w:rFonts w:hint="default" w:ascii="Times New Roman" w:hAnsi="Times New Roman" w:cs="Times New Roman"/>
                <w:b/>
                <w:bCs/>
                <w:color w:val="auto"/>
                <w:sz w:val="24"/>
                <w:szCs w:val="24"/>
                <w:highlight w:val="none"/>
              </w:rPr>
              <w:t>附图</w:t>
            </w:r>
            <w:r>
              <w:rPr>
                <w:rFonts w:hint="eastAsia" w:ascii="Times New Roman" w:hAnsi="Times New Roman" w:cs="Times New Roman"/>
                <w:b/>
                <w:bCs/>
                <w:color w:val="auto"/>
                <w:sz w:val="24"/>
                <w:szCs w:val="24"/>
                <w:highlight w:val="none"/>
                <w:lang w:val="en-US" w:eastAsia="zh-CN"/>
              </w:rPr>
              <w:t>6</w:t>
            </w:r>
            <w:r>
              <w:rPr>
                <w:rFonts w:hint="default" w:ascii="Times New Roman" w:hAnsi="Times New Roman" w:cs="Times New Roman"/>
                <w:color w:val="auto"/>
                <w:sz w:val="24"/>
                <w:szCs w:val="24"/>
                <w:highlight w:val="none"/>
                <w:lang w:val="en-US" w:eastAsia="zh-CN"/>
              </w:rPr>
              <w:t>。</w:t>
            </w:r>
          </w:p>
          <w:p w14:paraId="6B6A3055">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bCs/>
                <w:color w:val="auto"/>
                <w:lang w:val="en-US" w:eastAsia="zh-CN"/>
              </w:rPr>
            </w:pPr>
          </w:p>
          <w:p w14:paraId="13AC0E1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bCs/>
                <w:color w:val="auto"/>
                <w:lang w:val="en-US" w:eastAsia="zh-CN"/>
              </w:rPr>
            </w:pPr>
          </w:p>
          <w:p w14:paraId="6537D5D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bCs/>
                <w:color w:val="auto"/>
                <w:lang w:val="en-US" w:eastAsia="zh-CN"/>
              </w:rPr>
            </w:pPr>
          </w:p>
          <w:p w14:paraId="08ED30F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
                <w:bCs/>
                <w:color w:val="auto"/>
                <w:lang w:val="en-US" w:eastAsia="zh-CN"/>
              </w:rPr>
            </w:pPr>
            <w:r>
              <w:rPr>
                <w:rFonts w:hint="default" w:ascii="Times New Roman" w:hAnsi="Times New Roman" w:cs="Times New Roman"/>
                <w:b/>
                <w:bCs/>
                <w:color w:val="auto"/>
                <w:lang w:val="en-US" w:eastAsia="zh-CN"/>
              </w:rPr>
              <w:t>表</w:t>
            </w:r>
            <w:r>
              <w:rPr>
                <w:rFonts w:hint="eastAsia" w:ascii="Times New Roman" w:hAnsi="Times New Roman" w:cs="Times New Roman"/>
                <w:b/>
                <w:bCs/>
                <w:color w:val="auto"/>
                <w:lang w:val="en-US" w:eastAsia="zh-CN"/>
              </w:rPr>
              <w:t>3-1</w:t>
            </w:r>
            <w:r>
              <w:rPr>
                <w:rFonts w:hint="default" w:ascii="Times New Roman" w:hAnsi="Times New Roman" w:cs="Times New Roman"/>
                <w:b/>
                <w:bCs/>
                <w:color w:val="auto"/>
                <w:lang w:val="en-US" w:eastAsia="zh-CN"/>
              </w:rPr>
              <w:t xml:space="preserve">  项目所在区域生态功能区划</w:t>
            </w:r>
          </w:p>
          <w:tbl>
            <w:tblPr>
              <w:tblStyle w:val="27"/>
              <w:tblW w:w="8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1359"/>
              <w:gridCol w:w="5753"/>
            </w:tblGrid>
            <w:tr w14:paraId="74DD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215" w:type="dxa"/>
                  <w:vMerge w:val="restart"/>
                  <w:noWrap w:val="0"/>
                  <w:vAlign w:val="center"/>
                </w:tcPr>
                <w:p w14:paraId="69A9678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生态功能分区单元</w:t>
                  </w:r>
                </w:p>
              </w:tc>
              <w:tc>
                <w:tcPr>
                  <w:tcW w:w="1359" w:type="dxa"/>
                  <w:noWrap w:val="0"/>
                  <w:vAlign w:val="center"/>
                </w:tcPr>
                <w:p w14:paraId="001D8EF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生态区</w:t>
                  </w:r>
                </w:p>
              </w:tc>
              <w:tc>
                <w:tcPr>
                  <w:tcW w:w="5753" w:type="dxa"/>
                  <w:noWrap w:val="0"/>
                  <w:vAlign w:val="center"/>
                </w:tcPr>
                <w:p w14:paraId="2E93551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Ⅱ 准噶尔盆地温性荒漠与绿洲农业生态区</w:t>
                  </w:r>
                </w:p>
              </w:tc>
            </w:tr>
            <w:tr w14:paraId="706B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15" w:type="dxa"/>
                  <w:vMerge w:val="continue"/>
                  <w:noWrap w:val="0"/>
                  <w:vAlign w:val="center"/>
                </w:tcPr>
                <w:p w14:paraId="22D5FFE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359" w:type="dxa"/>
                  <w:noWrap w:val="0"/>
                  <w:vAlign w:val="center"/>
                </w:tcPr>
                <w:p w14:paraId="4702B99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生态亚区</w:t>
                  </w:r>
                </w:p>
              </w:tc>
              <w:tc>
                <w:tcPr>
                  <w:tcW w:w="5753" w:type="dxa"/>
                  <w:noWrap w:val="0"/>
                  <w:vAlign w:val="center"/>
                </w:tcPr>
                <w:p w14:paraId="5BC546F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000000"/>
                      <w:sz w:val="21"/>
                      <w:szCs w:val="21"/>
                    </w:rPr>
                    <w:t>Ⅱ</w:t>
                  </w:r>
                  <w:r>
                    <w:rPr>
                      <w:rFonts w:hint="default" w:ascii="Times New Roman" w:hAnsi="Times New Roman" w:cs="Times New Roman"/>
                      <w:color w:val="000000"/>
                      <w:sz w:val="21"/>
                      <w:szCs w:val="21"/>
                      <w:vertAlign w:val="subscript"/>
                    </w:rPr>
                    <w:t>5</w:t>
                  </w:r>
                  <w:r>
                    <w:rPr>
                      <w:rFonts w:hint="eastAsia" w:cs="Times New Roman"/>
                      <w:color w:val="000000"/>
                      <w:sz w:val="21"/>
                      <w:szCs w:val="21"/>
                      <w:vertAlign w:val="subscript"/>
                      <w:lang w:val="en-US" w:eastAsia="zh-CN"/>
                    </w:rPr>
                    <w:t xml:space="preserve"> </w:t>
                  </w:r>
                  <w:r>
                    <w:rPr>
                      <w:rFonts w:hint="default" w:ascii="Times New Roman" w:hAnsi="Times New Roman" w:cs="Times New Roman"/>
                      <w:color w:val="000000"/>
                      <w:sz w:val="21"/>
                      <w:szCs w:val="21"/>
                    </w:rPr>
                    <w:t>准噶尔盆地南部荒漠绿洲农业生态亚区</w:t>
                  </w:r>
                </w:p>
              </w:tc>
            </w:tr>
            <w:tr w14:paraId="422B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vMerge w:val="continue"/>
                  <w:noWrap w:val="0"/>
                  <w:vAlign w:val="center"/>
                </w:tcPr>
                <w:p w14:paraId="785279F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359" w:type="dxa"/>
                  <w:noWrap w:val="0"/>
                  <w:vAlign w:val="center"/>
                </w:tcPr>
                <w:p w14:paraId="1E92A9F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生态功能区</w:t>
                  </w:r>
                </w:p>
              </w:tc>
              <w:tc>
                <w:tcPr>
                  <w:tcW w:w="5753" w:type="dxa"/>
                  <w:noWrap w:val="0"/>
                  <w:vAlign w:val="center"/>
                </w:tcPr>
                <w:p w14:paraId="05A52B3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000000"/>
                      <w:sz w:val="21"/>
                      <w:szCs w:val="21"/>
                      <w:lang w:val="en-US" w:eastAsia="zh-CN"/>
                    </w:rPr>
                    <w:t>28.</w:t>
                  </w:r>
                  <w:r>
                    <w:rPr>
                      <w:rFonts w:hint="default" w:ascii="Times New Roman" w:hAnsi="Times New Roman" w:cs="Times New Roman"/>
                      <w:color w:val="000000"/>
                      <w:sz w:val="21"/>
                      <w:szCs w:val="21"/>
                    </w:rPr>
                    <w:t>阜康—木垒绿洲农业、荒漠草地保护生态功能区</w:t>
                  </w:r>
                </w:p>
              </w:tc>
            </w:tr>
            <w:tr w14:paraId="1E86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4" w:type="dxa"/>
                  <w:gridSpan w:val="2"/>
                  <w:noWrap w:val="0"/>
                  <w:vAlign w:val="center"/>
                </w:tcPr>
                <w:p w14:paraId="2229CD5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vertAlign w:val="baseline"/>
                    </w:rPr>
                  </w:pPr>
                  <w:r>
                    <w:rPr>
                      <w:rFonts w:hint="default" w:ascii="Times New Roman" w:hAnsi="Times New Roman" w:cs="Times New Roman"/>
                      <w:color w:val="auto"/>
                      <w:kern w:val="0"/>
                      <w:sz w:val="21"/>
                      <w:szCs w:val="21"/>
                    </w:rPr>
                    <w:t>主要生态服务功能</w:t>
                  </w:r>
                </w:p>
              </w:tc>
              <w:tc>
                <w:tcPr>
                  <w:tcW w:w="5753" w:type="dxa"/>
                  <w:noWrap w:val="0"/>
                  <w:vAlign w:val="center"/>
                </w:tcPr>
                <w:p w14:paraId="44444189">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vertAlign w:val="baseline"/>
                    </w:rPr>
                  </w:pPr>
                  <w:r>
                    <w:rPr>
                      <w:rFonts w:hint="default" w:ascii="Times New Roman" w:hAnsi="Times New Roman" w:cs="Times New Roman"/>
                      <w:sz w:val="21"/>
                      <w:szCs w:val="21"/>
                    </w:rPr>
                    <w:t>农牧业产品生产、人居环境、荒漠化控制</w:t>
                  </w:r>
                </w:p>
              </w:tc>
            </w:tr>
            <w:tr w14:paraId="3FA4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4" w:type="dxa"/>
                  <w:gridSpan w:val="2"/>
                  <w:noWrap w:val="0"/>
                  <w:vAlign w:val="center"/>
                </w:tcPr>
                <w:p w14:paraId="54DBD8D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vertAlign w:val="baseline"/>
                    </w:rPr>
                  </w:pPr>
                  <w:r>
                    <w:rPr>
                      <w:rFonts w:hint="default" w:ascii="Times New Roman" w:hAnsi="Times New Roman" w:cs="Times New Roman"/>
                      <w:color w:val="auto"/>
                      <w:kern w:val="0"/>
                      <w:sz w:val="21"/>
                      <w:szCs w:val="21"/>
                    </w:rPr>
                    <w:t>主要生态环境问题</w:t>
                  </w:r>
                </w:p>
              </w:tc>
              <w:tc>
                <w:tcPr>
                  <w:tcW w:w="5753" w:type="dxa"/>
                  <w:noWrap w:val="0"/>
                  <w:vAlign w:val="center"/>
                </w:tcPr>
                <w:p w14:paraId="1FDF588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sz w:val="21"/>
                      <w:szCs w:val="21"/>
                    </w:rPr>
                    <w:t>地下水超采、荒漠植被退化、沙漠化威胁、局部土壤盐渍化、河流萎缩、滥开荒地</w:t>
                  </w:r>
                </w:p>
              </w:tc>
            </w:tr>
            <w:tr w14:paraId="321B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4" w:type="dxa"/>
                  <w:gridSpan w:val="2"/>
                  <w:noWrap w:val="0"/>
                  <w:vAlign w:val="center"/>
                </w:tcPr>
                <w:p w14:paraId="7A50651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rPr>
                    <w:t>生态敏感因子敏感程度</w:t>
                  </w:r>
                </w:p>
              </w:tc>
              <w:tc>
                <w:tcPr>
                  <w:tcW w:w="5753" w:type="dxa"/>
                  <w:noWrap w:val="0"/>
                  <w:vAlign w:val="center"/>
                </w:tcPr>
                <w:p w14:paraId="5640F77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zh-CN"/>
                    </w:rPr>
                  </w:pPr>
                  <w:r>
                    <w:rPr>
                      <w:rFonts w:hint="default" w:ascii="Times New Roman" w:hAnsi="Times New Roman" w:cs="Times New Roman"/>
                      <w:sz w:val="21"/>
                      <w:szCs w:val="21"/>
                    </w:rPr>
                    <w:t>生物多样性及其生境中度敏感，土壤侵蚀轻度敏感，土地沙漠化中度敏感，土壤盐渍化轻度敏感</w:t>
                  </w:r>
                </w:p>
              </w:tc>
            </w:tr>
            <w:tr w14:paraId="4210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4" w:type="dxa"/>
                  <w:gridSpan w:val="2"/>
                  <w:noWrap w:val="0"/>
                  <w:vAlign w:val="center"/>
                </w:tcPr>
                <w:p w14:paraId="15689A7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rPr>
                    <w:t>主要保护目标</w:t>
                  </w:r>
                </w:p>
              </w:tc>
              <w:tc>
                <w:tcPr>
                  <w:tcW w:w="5753" w:type="dxa"/>
                  <w:noWrap w:val="0"/>
                  <w:vAlign w:val="center"/>
                </w:tcPr>
                <w:p w14:paraId="5757294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sz w:val="21"/>
                      <w:szCs w:val="21"/>
                    </w:rPr>
                    <w:t>保护基本农田、保护荒漠植被、保护土壤环境质量</w:t>
                  </w:r>
                </w:p>
              </w:tc>
            </w:tr>
            <w:tr w14:paraId="2BB7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4" w:type="dxa"/>
                  <w:gridSpan w:val="2"/>
                  <w:noWrap w:val="0"/>
                  <w:vAlign w:val="center"/>
                </w:tcPr>
                <w:p w14:paraId="192632F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rPr>
                    <w:t>主要保护措施</w:t>
                  </w:r>
                </w:p>
              </w:tc>
              <w:tc>
                <w:tcPr>
                  <w:tcW w:w="5753" w:type="dxa"/>
                  <w:noWrap w:val="0"/>
                  <w:vAlign w:val="center"/>
                </w:tcPr>
                <w:p w14:paraId="4FD71A7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sz w:val="21"/>
                      <w:szCs w:val="21"/>
                    </w:rPr>
                    <w:t>节水灌溉、草场休牧、对坡耕地和沙化土地实施退耕还林（草），在水源无保障、植被稀少、生态脆弱地带禁止开荒、加强农田投入品的使用管理</w:t>
                  </w:r>
                </w:p>
              </w:tc>
            </w:tr>
            <w:tr w14:paraId="6168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4" w:type="dxa"/>
                  <w:gridSpan w:val="2"/>
                  <w:noWrap w:val="0"/>
                  <w:vAlign w:val="center"/>
                </w:tcPr>
                <w:p w14:paraId="407A2F3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rPr>
                    <w:t>适宜发展方向</w:t>
                  </w:r>
                </w:p>
              </w:tc>
              <w:tc>
                <w:tcPr>
                  <w:tcW w:w="5753" w:type="dxa"/>
                  <w:noWrap w:val="0"/>
                  <w:vAlign w:val="center"/>
                </w:tcPr>
                <w:p w14:paraId="59613D9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sz w:val="21"/>
                      <w:szCs w:val="21"/>
                    </w:rPr>
                    <w:t>农牧结合，发展优质、高效特色农业和畜牧业</w:t>
                  </w:r>
                </w:p>
              </w:tc>
            </w:tr>
          </w:tbl>
          <w:p w14:paraId="1F3B124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p>
          <w:p w14:paraId="0EE2F609">
            <w:pPr>
              <w:keepNext w:val="0"/>
              <w:keepLines w:val="0"/>
              <w:suppressLineNumbers w:val="0"/>
              <w:spacing w:before="0" w:beforeAutospacing="0" w:after="0" w:afterAutospacing="0" w:line="360" w:lineRule="auto"/>
              <w:ind w:left="0" w:right="0" w:firstLine="482" w:firstLineChars="200"/>
              <w:jc w:val="left"/>
              <w:rPr>
                <w:rFonts w:hint="eastAsia"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3、</w:t>
            </w:r>
            <w:r>
              <w:rPr>
                <w:rFonts w:hint="eastAsia" w:ascii="Times New Roman" w:hAnsi="Times New Roman" w:cs="Times New Roman"/>
                <w:b/>
                <w:bCs/>
                <w:color w:val="auto"/>
                <w:sz w:val="24"/>
                <w:szCs w:val="24"/>
                <w:highlight w:val="none"/>
              </w:rPr>
              <w:t>生态环境现状</w:t>
            </w:r>
          </w:p>
          <w:p w14:paraId="520C47B3">
            <w:pPr>
              <w:pStyle w:val="76"/>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val="en-US" w:eastAsia="zh-CN"/>
              </w:rPr>
              <w:t>3.1土壤类型</w:t>
            </w:r>
          </w:p>
          <w:p w14:paraId="4F43EC29">
            <w:pPr>
              <w:pStyle w:val="76"/>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cs="Times New Roman"/>
                <w:color w:val="auto"/>
                <w:sz w:val="24"/>
                <w:szCs w:val="24"/>
                <w:highlight w:val="none"/>
              </w:rPr>
              <w:t>项目区土壤为棕钙土</w:t>
            </w:r>
            <w:r>
              <w:rPr>
                <w:rFonts w:hint="eastAsia" w:ascii="Times New Roman" w:cs="Times New Roman"/>
                <w:color w:val="auto"/>
                <w:sz w:val="24"/>
                <w:szCs w:val="24"/>
                <w:highlight w:val="none"/>
                <w:lang w:eastAsia="zh-CN"/>
              </w:rPr>
              <w:t>、</w:t>
            </w:r>
            <w:r>
              <w:rPr>
                <w:rFonts w:hint="eastAsia" w:ascii="Times New Roman" w:cs="Times New Roman"/>
                <w:color w:val="auto"/>
                <w:sz w:val="24"/>
                <w:szCs w:val="24"/>
                <w:highlight w:val="none"/>
                <w:lang w:val="en-US" w:eastAsia="zh-CN"/>
              </w:rPr>
              <w:t>淡栗</w:t>
            </w:r>
            <w:r>
              <w:rPr>
                <w:rFonts w:hint="default" w:ascii="Times New Roman" w:hAnsi="Times New Roman" w:cs="Times New Roman"/>
                <w:color w:val="auto"/>
                <w:sz w:val="24"/>
                <w:szCs w:val="24"/>
                <w:highlight w:val="none"/>
              </w:rPr>
              <w:t>钙土，土壤肥力一般。目前土壤的使用功能为牧用及煤炭开采用地。土壤质地较轻，结构松散，砂砾含量较高，受干旱少雨的天然气候影响，土地生产</w:t>
            </w:r>
            <w:r>
              <w:rPr>
                <w:rFonts w:hint="eastAsia" w:ascii="Times New Roman" w:hAnsi="Times New Roman" w:cs="Times New Roman"/>
                <w:color w:val="auto"/>
                <w:sz w:val="24"/>
                <w:szCs w:val="24"/>
                <w:highlight w:val="none"/>
              </w:rPr>
              <w:t>较</w:t>
            </w:r>
            <w:r>
              <w:rPr>
                <w:rFonts w:hint="default" w:ascii="Times New Roman" w:hAnsi="Times New Roman" w:cs="Times New Roman"/>
                <w:color w:val="auto"/>
                <w:sz w:val="24"/>
                <w:szCs w:val="24"/>
                <w:highlight w:val="none"/>
              </w:rPr>
              <w:t>低，开发利用</w:t>
            </w:r>
            <w:r>
              <w:rPr>
                <w:rFonts w:hint="eastAsia" w:ascii="Times New Roman" w:hAnsi="Times New Roman" w:cs="Times New Roman"/>
                <w:color w:val="auto"/>
                <w:sz w:val="24"/>
                <w:szCs w:val="24"/>
                <w:highlight w:val="none"/>
              </w:rPr>
              <w:t>相对</w:t>
            </w:r>
            <w:r>
              <w:rPr>
                <w:rFonts w:hint="default" w:ascii="Times New Roman" w:hAnsi="Times New Roman" w:cs="Times New Roman"/>
                <w:color w:val="auto"/>
                <w:sz w:val="24"/>
                <w:szCs w:val="24"/>
                <w:highlight w:val="none"/>
              </w:rPr>
              <w:t>困难，只能</w:t>
            </w:r>
            <w:r>
              <w:rPr>
                <w:rFonts w:hint="eastAsia" w:ascii="Times New Roman" w:cs="Times New Roman"/>
                <w:color w:val="auto"/>
                <w:sz w:val="24"/>
                <w:szCs w:val="24"/>
                <w:highlight w:val="none"/>
                <w:lang w:eastAsia="zh-CN"/>
              </w:rPr>
              <w:t>作为</w:t>
            </w:r>
            <w:r>
              <w:rPr>
                <w:rFonts w:hint="default" w:ascii="Times New Roman" w:hAnsi="Times New Roman" w:cs="Times New Roman"/>
                <w:color w:val="auto"/>
                <w:sz w:val="24"/>
                <w:szCs w:val="24"/>
                <w:highlight w:val="none"/>
              </w:rPr>
              <w:t>牧业及工业用地。</w:t>
            </w:r>
            <w:r>
              <w:rPr>
                <w:rFonts w:hint="default" w:ascii="Times New Roman" w:hAnsi="Times New Roman" w:eastAsia="宋体" w:cs="Times New Roman"/>
                <w:color w:val="auto"/>
                <w:sz w:val="24"/>
                <w:szCs w:val="24"/>
                <w:highlight w:val="none"/>
                <w:lang w:val="en-US" w:eastAsia="zh-CN" w:bidi="ar"/>
              </w:rPr>
              <w:t>项目区土壤类型图见</w:t>
            </w:r>
            <w:r>
              <w:rPr>
                <w:rFonts w:hint="default" w:ascii="Times New Roman" w:hAnsi="Times New Roman" w:eastAsia="宋体" w:cs="Times New Roman"/>
                <w:b/>
                <w:bCs/>
                <w:color w:val="auto"/>
                <w:sz w:val="24"/>
                <w:szCs w:val="24"/>
                <w:highlight w:val="none"/>
                <w:lang w:val="en-US" w:eastAsia="zh-CN" w:bidi="ar"/>
              </w:rPr>
              <w:t>附图</w:t>
            </w:r>
            <w:r>
              <w:rPr>
                <w:rFonts w:hint="eastAsia" w:ascii="Times New Roman" w:cs="Times New Roman"/>
                <w:b/>
                <w:bCs/>
                <w:color w:val="auto"/>
                <w:sz w:val="24"/>
                <w:szCs w:val="24"/>
                <w:highlight w:val="none"/>
                <w:lang w:val="en-US" w:eastAsia="zh-CN" w:bidi="ar"/>
              </w:rPr>
              <w:t>7</w:t>
            </w:r>
            <w:r>
              <w:rPr>
                <w:rFonts w:hint="default" w:ascii="Times New Roman" w:hAnsi="Times New Roman" w:eastAsia="宋体" w:cs="Times New Roman"/>
                <w:color w:val="auto"/>
                <w:sz w:val="24"/>
                <w:szCs w:val="24"/>
                <w:highlight w:val="none"/>
                <w:lang w:val="en-US" w:eastAsia="zh-CN" w:bidi="ar"/>
              </w:rPr>
              <w:t>。</w:t>
            </w:r>
          </w:p>
          <w:p w14:paraId="0D50BC76">
            <w:pPr>
              <w:pStyle w:val="76"/>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2" w:firstLineChars="200"/>
              <w:textAlignment w:val="auto"/>
              <w:rPr>
                <w:rFonts w:hint="default" w:ascii="Times New Roman" w:hAnsi="Times New Roman" w:cs="Times New Roman"/>
                <w:b/>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val="en-US" w:eastAsia="zh-CN"/>
              </w:rPr>
              <w:t>3.2土地利用类型</w:t>
            </w:r>
          </w:p>
          <w:p w14:paraId="6679ACB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val="en-US" w:eastAsia="zh-CN" w:bidi="ar"/>
              </w:rPr>
            </w:pPr>
            <w:r>
              <w:rPr>
                <w:rFonts w:hint="eastAsia" w:cs="Times New Roman"/>
                <w:color w:val="auto"/>
                <w:sz w:val="24"/>
                <w:szCs w:val="24"/>
                <w:highlight w:val="none"/>
                <w:lang w:val="en-US" w:eastAsia="zh-CN"/>
              </w:rPr>
              <w:t>项目区土地利用现状主要包括四大类型，即放牧用地、甘河子河水面占用、甘河子河河谷林占地、煤矿工业场地及生活区占地（包括道路）。其中煤矿工业场地及生活区占地占用前为供放牧用的天然草场及部分河谷林生长的河漫地或阶地。项目区的土地利用功能早已随着煤炭的开发而变成了工业用地。</w:t>
            </w:r>
            <w:r>
              <w:rPr>
                <w:rFonts w:hint="default" w:ascii="Times New Roman" w:hAnsi="Times New Roman" w:eastAsia="宋体" w:cs="Times New Roman"/>
                <w:color w:val="auto"/>
                <w:sz w:val="24"/>
                <w:szCs w:val="24"/>
                <w:highlight w:val="none"/>
                <w:lang w:val="en-US" w:eastAsia="zh-CN"/>
              </w:rPr>
              <w:t>根据</w:t>
            </w:r>
            <w:r>
              <w:rPr>
                <w:rFonts w:hint="eastAsia" w:ascii="Times New Roman" w:hAnsi="Times New Roman" w:eastAsia="宋体"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lang w:val="en-US" w:eastAsia="zh-CN"/>
              </w:rPr>
              <w:t>勘界报告，1号子火区土地利用现状为工矿用地，2地子火区土地利用现状为工矿用地和牧草地，3号子火区土地利用现状为工矿用地和牧草地</w:t>
            </w:r>
            <w:r>
              <w:rPr>
                <w:rFonts w:hint="eastAsia" w:ascii="Times New Roman" w:hAnsi="Times New Roman" w:eastAsia="宋体" w:cs="Times New Roman"/>
                <w:color w:val="auto"/>
                <w:sz w:val="24"/>
                <w:szCs w:val="24"/>
                <w:highlight w:val="none"/>
                <w:lang w:val="en-US" w:eastAsia="zh-CN"/>
              </w:rPr>
              <w:t>，取土场土地利用现状为牧草地。2地子火区临时占用草地面积约5559m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，3号子火区临时占用草地面积约7140m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，取土场临时占用草地面积约17230m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bidi="ar"/>
              </w:rPr>
              <w:t>项目区土地利用类型图见</w:t>
            </w:r>
            <w:r>
              <w:rPr>
                <w:rFonts w:hint="eastAsia" w:ascii="Times New Roman" w:hAnsi="Times New Roman" w:eastAsia="宋体" w:cs="Times New Roman"/>
                <w:b/>
                <w:bCs/>
                <w:color w:val="auto"/>
                <w:sz w:val="24"/>
                <w:szCs w:val="24"/>
                <w:highlight w:val="none"/>
                <w:lang w:val="en-US" w:eastAsia="zh-CN" w:bidi="ar"/>
              </w:rPr>
              <w:t>附图</w:t>
            </w:r>
            <w:r>
              <w:rPr>
                <w:rFonts w:hint="eastAsia" w:cs="Times New Roman"/>
                <w:b/>
                <w:bCs/>
                <w:color w:val="auto"/>
                <w:sz w:val="24"/>
                <w:szCs w:val="24"/>
                <w:highlight w:val="none"/>
                <w:lang w:val="en-US" w:eastAsia="zh-CN" w:bidi="ar"/>
              </w:rPr>
              <w:t>8</w:t>
            </w:r>
            <w:r>
              <w:rPr>
                <w:rFonts w:hint="eastAsia" w:ascii="Times New Roman" w:hAnsi="Times New Roman" w:eastAsia="宋体" w:cs="Times New Roman"/>
                <w:color w:val="auto"/>
                <w:sz w:val="24"/>
                <w:szCs w:val="24"/>
                <w:highlight w:val="none"/>
                <w:lang w:val="en-US" w:eastAsia="zh-CN" w:bidi="ar"/>
              </w:rPr>
              <w:t>。</w:t>
            </w:r>
          </w:p>
          <w:p w14:paraId="3EB20669">
            <w:pPr>
              <w:pStyle w:val="76"/>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val="en-US" w:eastAsia="zh-CN"/>
              </w:rPr>
              <w:t>3.3植被类型</w:t>
            </w:r>
          </w:p>
          <w:p w14:paraId="435C12B2">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bidi="ar"/>
              </w:rPr>
            </w:pPr>
            <w:r>
              <w:rPr>
                <w:rFonts w:hint="eastAsia" w:cs="Times New Roman"/>
                <w:color w:val="auto"/>
                <w:sz w:val="24"/>
                <w:szCs w:val="24"/>
                <w:highlight w:val="none"/>
                <w:lang w:val="en-US" w:eastAsia="zh-CN"/>
              </w:rPr>
              <w:t>根据新疆维吾尔自治区畜牧厅草原研究所编制的《新疆维吾尔自治区草地类型图》、《新疆维吾尔自治区草地利用现状图》，项目区及其附近的天然植被分为二类（温性荒漠类、温性荒漠草原类）、二亚类（砂沙质温性荒漠亚类、山地温性荒漠草原亚类）、二组别（具灌木、蒿类半灌木组，盐柴类半灌木组）、三型（刺叶锦鸡儿、伊犁绢蒿，小蓬、伊犁绢蒿，刺叶锦鸡儿、博洛塔绢蒿、镰芒针茅）。项目区天然植被的建群种以蒿属为主，主要种类为白茎绢蒿，伴生种有角果藜、木地肤、假木贼、针茅等</w:t>
            </w:r>
            <w:r>
              <w:rPr>
                <w:rFonts w:hint="eastAsia" w:cs="Times New Roman"/>
                <w:color w:val="auto"/>
                <w:sz w:val="24"/>
                <w:szCs w:val="24"/>
                <w:highlight w:val="none"/>
                <w:lang w:val="en-US" w:eastAsia="zh-CN" w:bidi="ar"/>
              </w:rPr>
              <w:t>。</w:t>
            </w:r>
          </w:p>
          <w:p w14:paraId="5965D08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rPr>
              <w:t>根据</w:t>
            </w:r>
            <w:r>
              <w:rPr>
                <w:rFonts w:hint="eastAsia" w:ascii="Times New Roman" w:hAnsi="Times New Roman" w:eastAsia="宋体"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lang w:val="en-US" w:eastAsia="zh-CN"/>
              </w:rPr>
              <w:t>勘界报告</w:t>
            </w:r>
            <w:r>
              <w:rPr>
                <w:rFonts w:hint="eastAsia" w:ascii="Times New Roman" w:hAnsi="Times New Roman" w:eastAsia="宋体" w:cs="Times New Roman"/>
                <w:color w:val="auto"/>
                <w:sz w:val="24"/>
                <w:szCs w:val="24"/>
                <w:highlight w:val="none"/>
                <w:lang w:val="en-US" w:eastAsia="zh-CN"/>
              </w:rPr>
              <w:t>及临时占地草原植被恢复方案</w:t>
            </w:r>
            <w:r>
              <w:rPr>
                <w:rFonts w:hint="default" w:ascii="Times New Roman" w:hAnsi="Times New Roman" w:eastAsia="宋体" w:cs="Times New Roman"/>
                <w:color w:val="auto"/>
                <w:sz w:val="24"/>
                <w:szCs w:val="24"/>
                <w:highlight w:val="none"/>
                <w:lang w:val="en-US" w:eastAsia="zh-CN"/>
              </w:rPr>
              <w:t>，1号子火区土地利用现状为工矿用地，2地子火区土地利用现状为工矿用地和牧草地，3号子火区土地利用现状为工矿用地和牧草地</w:t>
            </w:r>
            <w:r>
              <w:rPr>
                <w:rFonts w:hint="eastAsia" w:ascii="Times New Roman" w:hAnsi="Times New Roman" w:eastAsia="宋体" w:cs="Times New Roman"/>
                <w:color w:val="auto"/>
                <w:sz w:val="24"/>
                <w:szCs w:val="24"/>
                <w:highlight w:val="none"/>
                <w:lang w:val="en-US" w:eastAsia="zh-CN"/>
              </w:rPr>
              <w:t>。2地子火区临时占用草地面积约5559m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，属山地砾砂质荒漠放牧草地，由刺叶锦鸡儿、伊犁娟蒿、猪毛菜等旱生草本组成，综合植被盖度</w:t>
            </w:r>
            <w:r>
              <w:rPr>
                <w:rFonts w:hint="default" w:ascii="Times New Roman" w:hAnsi="Times New Roman" w:eastAsia="宋体" w:cs="Times New Roman"/>
                <w:color w:val="auto"/>
                <w:sz w:val="24"/>
                <w:szCs w:val="24"/>
                <w:highlight w:val="none"/>
                <w:lang w:val="en-US" w:eastAsia="zh-CN"/>
              </w:rPr>
              <w:t>15%</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w:t>
            </w:r>
            <w:r>
              <w:rPr>
                <w:rFonts w:hint="eastAsia" w:ascii="Times New Roman" w:hAnsi="Times New Roman" w:eastAsia="宋体" w:cs="Times New Roman"/>
                <w:color w:val="auto"/>
                <w:sz w:val="24"/>
                <w:szCs w:val="24"/>
                <w:highlight w:val="none"/>
                <w:lang w:val="en-US" w:eastAsia="zh-CN"/>
              </w:rPr>
              <w:t>。3号子火区临时占用草地面积约7140m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，属山地砾砂质荒漠放牧草地，由伊犁娟蒿、针茅、苦豆子等旱生草本组成，综合植被盖度</w:t>
            </w:r>
            <w:r>
              <w:rPr>
                <w:rFonts w:hint="default" w:ascii="Times New Roman" w:hAnsi="Times New Roman" w:eastAsia="宋体" w:cs="Times New Roman"/>
                <w:color w:val="auto"/>
                <w:sz w:val="24"/>
                <w:szCs w:val="24"/>
                <w:highlight w:val="none"/>
                <w:lang w:val="en-US" w:eastAsia="zh-CN"/>
              </w:rPr>
              <w:t>15%</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w:t>
            </w:r>
            <w:r>
              <w:rPr>
                <w:rFonts w:hint="eastAsia" w:ascii="Times New Roman" w:hAnsi="Times New Roman" w:eastAsia="宋体" w:cs="Times New Roman"/>
                <w:color w:val="auto"/>
                <w:sz w:val="24"/>
                <w:szCs w:val="24"/>
                <w:highlight w:val="none"/>
                <w:lang w:val="en-US" w:eastAsia="zh-CN"/>
              </w:rPr>
              <w:t>。取土场临时占用草地面积约17230m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 xml:space="preserve">，属山地砾砂质荒漠放牧草地，由伊犁娟蒿、猪毛菜、小蓟等旱生草本组成，综合植被盖度 </w:t>
            </w:r>
            <w:r>
              <w:rPr>
                <w:rFonts w:hint="default" w:ascii="Times New Roman" w:hAnsi="Times New Roman" w:eastAsia="宋体" w:cs="Times New Roman"/>
                <w:color w:val="auto"/>
                <w:sz w:val="24"/>
                <w:szCs w:val="24"/>
                <w:highlight w:val="none"/>
                <w:lang w:val="en-US" w:eastAsia="zh-CN"/>
              </w:rPr>
              <w:t>30%</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40%</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bidi="ar"/>
              </w:rPr>
              <w:t>项目区植被类型图见</w:t>
            </w:r>
            <w:r>
              <w:rPr>
                <w:rFonts w:hint="default" w:ascii="Times New Roman" w:hAnsi="Times New Roman" w:eastAsia="宋体" w:cs="Times New Roman"/>
                <w:b/>
                <w:bCs/>
                <w:color w:val="auto"/>
                <w:sz w:val="24"/>
                <w:szCs w:val="24"/>
                <w:highlight w:val="none"/>
                <w:lang w:val="en-US" w:eastAsia="zh-CN" w:bidi="ar"/>
              </w:rPr>
              <w:t>附图</w:t>
            </w:r>
            <w:r>
              <w:rPr>
                <w:rFonts w:hint="eastAsia" w:cs="Times New Roman"/>
                <w:b/>
                <w:bCs/>
                <w:color w:val="auto"/>
                <w:sz w:val="24"/>
                <w:szCs w:val="24"/>
                <w:highlight w:val="none"/>
                <w:lang w:val="en-US" w:eastAsia="zh-CN" w:bidi="ar"/>
              </w:rPr>
              <w:t>9</w:t>
            </w:r>
            <w:r>
              <w:rPr>
                <w:rFonts w:hint="default" w:ascii="Times New Roman" w:hAnsi="Times New Roman" w:eastAsia="宋体" w:cs="Times New Roman"/>
                <w:color w:val="auto"/>
                <w:sz w:val="24"/>
                <w:szCs w:val="24"/>
                <w:highlight w:val="none"/>
                <w:lang w:val="en-US" w:eastAsia="zh-CN" w:bidi="ar"/>
              </w:rPr>
              <w:t>。</w:t>
            </w:r>
          </w:p>
          <w:p w14:paraId="3C12305B">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
                <w:bCs/>
                <w:color w:val="auto"/>
                <w:lang w:val="en-US" w:eastAsia="zh-CN"/>
              </w:rPr>
            </w:pPr>
            <w:r>
              <w:rPr>
                <w:rFonts w:hint="default" w:ascii="Times New Roman" w:hAnsi="Times New Roman" w:cs="Times New Roman"/>
                <w:b/>
                <w:bCs/>
                <w:color w:val="auto"/>
                <w:lang w:val="en-US" w:eastAsia="zh-CN"/>
              </w:rPr>
              <w:t>表</w:t>
            </w:r>
            <w:r>
              <w:rPr>
                <w:rFonts w:hint="eastAsia" w:ascii="Times New Roman" w:hAnsi="Times New Roman" w:cs="Times New Roman"/>
                <w:b/>
                <w:bCs/>
                <w:color w:val="auto"/>
                <w:lang w:val="en-US" w:eastAsia="zh-CN"/>
              </w:rPr>
              <w:t>3-</w:t>
            </w:r>
            <w:r>
              <w:rPr>
                <w:rFonts w:hint="eastAsia" w:cs="Times New Roman"/>
                <w:b/>
                <w:bCs/>
                <w:color w:val="auto"/>
                <w:lang w:val="en-US" w:eastAsia="zh-CN"/>
              </w:rPr>
              <w:t>2</w:t>
            </w:r>
            <w:r>
              <w:rPr>
                <w:rFonts w:hint="default" w:ascii="Times New Roman" w:hAnsi="Times New Roman" w:cs="Times New Roman"/>
                <w:b/>
                <w:bCs/>
                <w:color w:val="auto"/>
                <w:lang w:val="en-US" w:eastAsia="zh-CN"/>
              </w:rPr>
              <w:t xml:space="preserve">  </w:t>
            </w:r>
            <w:r>
              <w:rPr>
                <w:rFonts w:hint="eastAsia" w:cs="Times New Roman"/>
                <w:b/>
                <w:bCs/>
                <w:color w:val="auto"/>
                <w:lang w:val="en-US" w:eastAsia="zh-CN"/>
              </w:rPr>
              <w:t>项目所在区域主要植被名录</w:t>
            </w:r>
          </w:p>
          <w:tbl>
            <w:tblPr>
              <w:tblStyle w:val="27"/>
              <w:tblW w:w="7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1290"/>
              <w:gridCol w:w="2517"/>
              <w:gridCol w:w="1590"/>
              <w:gridCol w:w="1591"/>
            </w:tblGrid>
            <w:tr w14:paraId="6B81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3A5423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序号</w:t>
                  </w:r>
                </w:p>
              </w:tc>
              <w:tc>
                <w:tcPr>
                  <w:tcW w:w="1290" w:type="dxa"/>
                </w:tcPr>
                <w:p w14:paraId="394909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中文名称</w:t>
                  </w:r>
                </w:p>
              </w:tc>
              <w:tc>
                <w:tcPr>
                  <w:tcW w:w="2517" w:type="dxa"/>
                </w:tcPr>
                <w:p w14:paraId="623E31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拉丁名</w:t>
                  </w:r>
                </w:p>
              </w:tc>
              <w:tc>
                <w:tcPr>
                  <w:tcW w:w="1590" w:type="dxa"/>
                </w:tcPr>
                <w:p w14:paraId="2E0934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科名</w:t>
                  </w:r>
                </w:p>
              </w:tc>
              <w:tc>
                <w:tcPr>
                  <w:tcW w:w="1591" w:type="dxa"/>
                </w:tcPr>
                <w:p w14:paraId="75A45C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生活型</w:t>
                  </w:r>
                </w:p>
              </w:tc>
            </w:tr>
            <w:tr w14:paraId="071E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75AD37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1</w:t>
                  </w:r>
                </w:p>
              </w:tc>
              <w:tc>
                <w:tcPr>
                  <w:tcW w:w="1290" w:type="dxa"/>
                  <w:vAlign w:val="center"/>
                </w:tcPr>
                <w:p w14:paraId="08C8E3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针茅</w:t>
                  </w:r>
                </w:p>
              </w:tc>
              <w:tc>
                <w:tcPr>
                  <w:tcW w:w="2517" w:type="dxa"/>
                  <w:vAlign w:val="center"/>
                </w:tcPr>
                <w:p w14:paraId="1BECBE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Stipa  capillata</w:t>
                  </w:r>
                </w:p>
              </w:tc>
              <w:tc>
                <w:tcPr>
                  <w:tcW w:w="1590" w:type="dxa"/>
                  <w:vAlign w:val="center"/>
                </w:tcPr>
                <w:p w14:paraId="26D484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禾本科</w:t>
                  </w:r>
                </w:p>
              </w:tc>
              <w:tc>
                <w:tcPr>
                  <w:tcW w:w="1591" w:type="dxa"/>
                  <w:vAlign w:val="center"/>
                </w:tcPr>
                <w:p w14:paraId="788946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多年生草本</w:t>
                  </w:r>
                </w:p>
              </w:tc>
            </w:tr>
            <w:tr w14:paraId="1234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2A59FD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2</w:t>
                  </w:r>
                </w:p>
              </w:tc>
              <w:tc>
                <w:tcPr>
                  <w:tcW w:w="1290" w:type="dxa"/>
                  <w:vAlign w:val="center"/>
                </w:tcPr>
                <w:p w14:paraId="5C45C4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白茎绢蒿</w:t>
                  </w:r>
                </w:p>
              </w:tc>
              <w:tc>
                <w:tcPr>
                  <w:tcW w:w="2517" w:type="dxa"/>
                  <w:vAlign w:val="center"/>
                </w:tcPr>
                <w:p w14:paraId="11185A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Seriphidium  terrae-albae</w:t>
                  </w:r>
                </w:p>
              </w:tc>
              <w:tc>
                <w:tcPr>
                  <w:tcW w:w="1590" w:type="dxa"/>
                  <w:vAlign w:val="center"/>
                </w:tcPr>
                <w:p w14:paraId="34455F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菊科</w:t>
                  </w:r>
                </w:p>
              </w:tc>
              <w:tc>
                <w:tcPr>
                  <w:tcW w:w="1591" w:type="dxa"/>
                  <w:vAlign w:val="center"/>
                </w:tcPr>
                <w:p w14:paraId="4480F6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小半灌木</w:t>
                  </w:r>
                </w:p>
              </w:tc>
            </w:tr>
            <w:tr w14:paraId="1F8A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74CD16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3</w:t>
                  </w:r>
                </w:p>
              </w:tc>
              <w:tc>
                <w:tcPr>
                  <w:tcW w:w="1290" w:type="dxa"/>
                  <w:vAlign w:val="center"/>
                </w:tcPr>
                <w:p w14:paraId="5A054B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角果藜</w:t>
                  </w:r>
                </w:p>
              </w:tc>
              <w:tc>
                <w:tcPr>
                  <w:tcW w:w="2517" w:type="dxa"/>
                  <w:vAlign w:val="center"/>
                </w:tcPr>
                <w:p w14:paraId="56480D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Ceratocarpus  arenurius</w:t>
                  </w:r>
                </w:p>
              </w:tc>
              <w:tc>
                <w:tcPr>
                  <w:tcW w:w="1590" w:type="dxa"/>
                  <w:vAlign w:val="center"/>
                </w:tcPr>
                <w:p w14:paraId="51BB47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藜科</w:t>
                  </w:r>
                </w:p>
              </w:tc>
              <w:tc>
                <w:tcPr>
                  <w:tcW w:w="1591" w:type="dxa"/>
                  <w:vAlign w:val="center"/>
                </w:tcPr>
                <w:p w14:paraId="202B51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一年生草本</w:t>
                  </w:r>
                </w:p>
              </w:tc>
            </w:tr>
            <w:tr w14:paraId="28DA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3FD07D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4</w:t>
                  </w:r>
                </w:p>
              </w:tc>
              <w:tc>
                <w:tcPr>
                  <w:tcW w:w="1290" w:type="dxa"/>
                  <w:vAlign w:val="center"/>
                </w:tcPr>
                <w:p w14:paraId="002E26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木地肤</w:t>
                  </w:r>
                </w:p>
              </w:tc>
              <w:tc>
                <w:tcPr>
                  <w:tcW w:w="2517" w:type="dxa"/>
                  <w:vAlign w:val="center"/>
                </w:tcPr>
                <w:p w14:paraId="201E6A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Kochia  prostrate</w:t>
                  </w:r>
                </w:p>
              </w:tc>
              <w:tc>
                <w:tcPr>
                  <w:tcW w:w="1590" w:type="dxa"/>
                  <w:vAlign w:val="center"/>
                </w:tcPr>
                <w:p w14:paraId="48D438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藜科</w:t>
                  </w:r>
                </w:p>
              </w:tc>
              <w:tc>
                <w:tcPr>
                  <w:tcW w:w="1591" w:type="dxa"/>
                  <w:vAlign w:val="center"/>
                </w:tcPr>
                <w:p w14:paraId="024A9E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小半灌木</w:t>
                  </w:r>
                </w:p>
              </w:tc>
            </w:tr>
            <w:tr w14:paraId="4A8A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1481D1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5</w:t>
                  </w:r>
                </w:p>
              </w:tc>
              <w:tc>
                <w:tcPr>
                  <w:tcW w:w="1290" w:type="dxa"/>
                  <w:vAlign w:val="center"/>
                </w:tcPr>
                <w:p w14:paraId="6F6E91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驼绒藜</w:t>
                  </w:r>
                </w:p>
              </w:tc>
              <w:tc>
                <w:tcPr>
                  <w:tcW w:w="2517" w:type="dxa"/>
                  <w:vAlign w:val="center"/>
                </w:tcPr>
                <w:p w14:paraId="2C025B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Ceratoides  latens</w:t>
                  </w:r>
                </w:p>
              </w:tc>
              <w:tc>
                <w:tcPr>
                  <w:tcW w:w="1590" w:type="dxa"/>
                  <w:vAlign w:val="center"/>
                </w:tcPr>
                <w:p w14:paraId="627898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藜科</w:t>
                  </w:r>
                </w:p>
              </w:tc>
              <w:tc>
                <w:tcPr>
                  <w:tcW w:w="1591" w:type="dxa"/>
                  <w:vAlign w:val="center"/>
                </w:tcPr>
                <w:p w14:paraId="260314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半灌木</w:t>
                  </w:r>
                </w:p>
              </w:tc>
            </w:tr>
            <w:tr w14:paraId="5F41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3DB55C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6</w:t>
                  </w:r>
                </w:p>
              </w:tc>
              <w:tc>
                <w:tcPr>
                  <w:tcW w:w="1290" w:type="dxa"/>
                  <w:vAlign w:val="center"/>
                </w:tcPr>
                <w:p w14:paraId="2A1DEA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假木贼</w:t>
                  </w:r>
                </w:p>
              </w:tc>
              <w:tc>
                <w:tcPr>
                  <w:tcW w:w="2517" w:type="dxa"/>
                  <w:vAlign w:val="center"/>
                </w:tcPr>
                <w:p w14:paraId="616A05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Anabasis</w:t>
                  </w:r>
                </w:p>
              </w:tc>
              <w:tc>
                <w:tcPr>
                  <w:tcW w:w="1590" w:type="dxa"/>
                  <w:vAlign w:val="center"/>
                </w:tcPr>
                <w:p w14:paraId="0D46D3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藜科</w:t>
                  </w:r>
                </w:p>
              </w:tc>
              <w:tc>
                <w:tcPr>
                  <w:tcW w:w="1591" w:type="dxa"/>
                  <w:vAlign w:val="center"/>
                </w:tcPr>
                <w:p w14:paraId="39942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灌木</w:t>
                  </w:r>
                </w:p>
              </w:tc>
            </w:tr>
            <w:tr w14:paraId="423B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4D00A7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7</w:t>
                  </w:r>
                </w:p>
              </w:tc>
              <w:tc>
                <w:tcPr>
                  <w:tcW w:w="1290" w:type="dxa"/>
                  <w:vAlign w:val="center"/>
                </w:tcPr>
                <w:p w14:paraId="1271A2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沙生针茅</w:t>
                  </w:r>
                </w:p>
              </w:tc>
              <w:tc>
                <w:tcPr>
                  <w:tcW w:w="2517" w:type="dxa"/>
                  <w:vAlign w:val="center"/>
                </w:tcPr>
                <w:p w14:paraId="7A943F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Stipa  glareosa</w:t>
                  </w:r>
                </w:p>
              </w:tc>
              <w:tc>
                <w:tcPr>
                  <w:tcW w:w="1590" w:type="dxa"/>
                  <w:vAlign w:val="center"/>
                </w:tcPr>
                <w:p w14:paraId="7DB4D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禾本科</w:t>
                  </w:r>
                </w:p>
              </w:tc>
              <w:tc>
                <w:tcPr>
                  <w:tcW w:w="1591" w:type="dxa"/>
                  <w:vAlign w:val="center"/>
                </w:tcPr>
                <w:p w14:paraId="4152E2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多年生草本</w:t>
                  </w:r>
                </w:p>
              </w:tc>
            </w:tr>
            <w:tr w14:paraId="3B70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69EC5E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8</w:t>
                  </w:r>
                </w:p>
              </w:tc>
              <w:tc>
                <w:tcPr>
                  <w:tcW w:w="1290" w:type="dxa"/>
                  <w:vAlign w:val="center"/>
                </w:tcPr>
                <w:p w14:paraId="206A6D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戈壁针茅</w:t>
                  </w:r>
                </w:p>
              </w:tc>
              <w:tc>
                <w:tcPr>
                  <w:tcW w:w="2517" w:type="dxa"/>
                  <w:vAlign w:val="center"/>
                </w:tcPr>
                <w:p w14:paraId="2C7CF3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Stipa  gobila</w:t>
                  </w:r>
                </w:p>
              </w:tc>
              <w:tc>
                <w:tcPr>
                  <w:tcW w:w="1590" w:type="dxa"/>
                  <w:vAlign w:val="center"/>
                </w:tcPr>
                <w:p w14:paraId="736F00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禾本科</w:t>
                  </w:r>
                </w:p>
              </w:tc>
              <w:tc>
                <w:tcPr>
                  <w:tcW w:w="1591" w:type="dxa"/>
                  <w:vAlign w:val="center"/>
                </w:tcPr>
                <w:p w14:paraId="38BBC6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多年生草本</w:t>
                  </w:r>
                </w:p>
              </w:tc>
            </w:tr>
            <w:tr w14:paraId="7021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2336AD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9</w:t>
                  </w:r>
                </w:p>
              </w:tc>
              <w:tc>
                <w:tcPr>
                  <w:tcW w:w="1290" w:type="dxa"/>
                  <w:vAlign w:val="center"/>
                </w:tcPr>
                <w:p w14:paraId="06036D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刺叶锦鸡儿</w:t>
                  </w:r>
                </w:p>
              </w:tc>
              <w:tc>
                <w:tcPr>
                  <w:tcW w:w="2517" w:type="dxa"/>
                  <w:vAlign w:val="center"/>
                </w:tcPr>
                <w:p w14:paraId="4A0C57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Caragana  acanthophylla</w:t>
                  </w:r>
                </w:p>
              </w:tc>
              <w:tc>
                <w:tcPr>
                  <w:tcW w:w="1590" w:type="dxa"/>
                  <w:vAlign w:val="center"/>
                </w:tcPr>
                <w:p w14:paraId="71E12A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豆科</w:t>
                  </w:r>
                </w:p>
              </w:tc>
              <w:tc>
                <w:tcPr>
                  <w:tcW w:w="1591" w:type="dxa"/>
                  <w:vAlign w:val="center"/>
                </w:tcPr>
                <w:p w14:paraId="72AA6E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灌木</w:t>
                  </w:r>
                </w:p>
              </w:tc>
            </w:tr>
            <w:tr w14:paraId="0F8B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113626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10</w:t>
                  </w:r>
                </w:p>
              </w:tc>
              <w:tc>
                <w:tcPr>
                  <w:tcW w:w="1290" w:type="dxa"/>
                  <w:vAlign w:val="center"/>
                </w:tcPr>
                <w:p w14:paraId="18595D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博洛塔绢蒿</w:t>
                  </w:r>
                </w:p>
              </w:tc>
              <w:tc>
                <w:tcPr>
                  <w:tcW w:w="2517" w:type="dxa"/>
                  <w:vAlign w:val="center"/>
                </w:tcPr>
                <w:p w14:paraId="3D400B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Seriphidium  borotalense</w:t>
                  </w:r>
                </w:p>
              </w:tc>
              <w:tc>
                <w:tcPr>
                  <w:tcW w:w="1590" w:type="dxa"/>
                  <w:vAlign w:val="center"/>
                </w:tcPr>
                <w:p w14:paraId="593840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菊科</w:t>
                  </w:r>
                </w:p>
              </w:tc>
              <w:tc>
                <w:tcPr>
                  <w:tcW w:w="1591" w:type="dxa"/>
                  <w:vAlign w:val="center"/>
                </w:tcPr>
                <w:p w14:paraId="11466C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多年生草本</w:t>
                  </w:r>
                </w:p>
              </w:tc>
            </w:tr>
            <w:tr w14:paraId="6CA0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2618C4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11</w:t>
                  </w:r>
                </w:p>
              </w:tc>
              <w:tc>
                <w:tcPr>
                  <w:tcW w:w="1290" w:type="dxa"/>
                  <w:vAlign w:val="center"/>
                </w:tcPr>
                <w:p w14:paraId="7118A0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镰芒针茅</w:t>
                  </w:r>
                </w:p>
              </w:tc>
              <w:tc>
                <w:tcPr>
                  <w:tcW w:w="2517" w:type="dxa"/>
                  <w:vAlign w:val="center"/>
                </w:tcPr>
                <w:p w14:paraId="5B5EC2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Stipa  caucasica</w:t>
                  </w:r>
                </w:p>
              </w:tc>
              <w:tc>
                <w:tcPr>
                  <w:tcW w:w="1590" w:type="dxa"/>
                  <w:vAlign w:val="center"/>
                </w:tcPr>
                <w:p w14:paraId="22E949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禾本科</w:t>
                  </w:r>
                </w:p>
              </w:tc>
              <w:tc>
                <w:tcPr>
                  <w:tcW w:w="1591" w:type="dxa"/>
                  <w:vAlign w:val="center"/>
                </w:tcPr>
                <w:p w14:paraId="5BC78B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多年生草本</w:t>
                  </w:r>
                </w:p>
              </w:tc>
            </w:tr>
            <w:tr w14:paraId="7C079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648FC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12</w:t>
                  </w:r>
                </w:p>
              </w:tc>
              <w:tc>
                <w:tcPr>
                  <w:tcW w:w="1290" w:type="dxa"/>
                  <w:vAlign w:val="center"/>
                </w:tcPr>
                <w:p w14:paraId="633DA9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伊犁绢蒿</w:t>
                  </w:r>
                </w:p>
              </w:tc>
              <w:tc>
                <w:tcPr>
                  <w:tcW w:w="2517" w:type="dxa"/>
                  <w:vAlign w:val="center"/>
                </w:tcPr>
                <w:p w14:paraId="5BF626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Seriphidium  transillense</w:t>
                  </w:r>
                </w:p>
              </w:tc>
              <w:tc>
                <w:tcPr>
                  <w:tcW w:w="1590" w:type="dxa"/>
                  <w:vAlign w:val="center"/>
                </w:tcPr>
                <w:p w14:paraId="3E2728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菊科</w:t>
                  </w:r>
                </w:p>
              </w:tc>
              <w:tc>
                <w:tcPr>
                  <w:tcW w:w="1591" w:type="dxa"/>
                  <w:vAlign w:val="center"/>
                </w:tcPr>
                <w:p w14:paraId="75BBF0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半灌木</w:t>
                  </w:r>
                </w:p>
              </w:tc>
            </w:tr>
            <w:tr w14:paraId="0960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11EFC8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kern w:val="0"/>
                      <w:sz w:val="21"/>
                      <w:szCs w:val="21"/>
                      <w:highlight w:val="none"/>
                      <w:vertAlign w:val="baseline"/>
                      <w:lang w:val="en-US" w:eastAsia="zh-CN"/>
                    </w:rPr>
                  </w:pPr>
                  <w:r>
                    <w:rPr>
                      <w:rFonts w:hint="default" w:ascii="Times New Roman" w:hAnsi="Times New Roman" w:cs="Times New Roman"/>
                      <w:b w:val="0"/>
                      <w:bCs w:val="0"/>
                      <w:color w:val="auto"/>
                      <w:kern w:val="0"/>
                      <w:sz w:val="21"/>
                      <w:szCs w:val="21"/>
                      <w:highlight w:val="none"/>
                      <w:vertAlign w:val="baseline"/>
                      <w:lang w:val="en-US" w:eastAsia="zh-CN"/>
                    </w:rPr>
                    <w:t>13</w:t>
                  </w:r>
                </w:p>
              </w:tc>
              <w:tc>
                <w:tcPr>
                  <w:tcW w:w="1290" w:type="dxa"/>
                  <w:vAlign w:val="center"/>
                </w:tcPr>
                <w:p w14:paraId="57221A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小蓬</w:t>
                  </w:r>
                </w:p>
              </w:tc>
              <w:tc>
                <w:tcPr>
                  <w:tcW w:w="2517" w:type="dxa"/>
                  <w:vAlign w:val="center"/>
                </w:tcPr>
                <w:p w14:paraId="21A498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i/>
                      <w:iCs/>
                      <w:color w:val="auto"/>
                      <w:kern w:val="0"/>
                      <w:sz w:val="21"/>
                      <w:szCs w:val="21"/>
                      <w:highlight w:val="none"/>
                      <w:vertAlign w:val="baseline"/>
                      <w:lang w:val="en-US" w:eastAsia="zh-CN"/>
                    </w:rPr>
                  </w:pPr>
                  <w:r>
                    <w:rPr>
                      <w:rFonts w:hint="default" w:ascii="Times New Roman" w:hAnsi="Times New Roman" w:cs="Times New Roman"/>
                      <w:i/>
                      <w:iCs/>
                      <w:sz w:val="21"/>
                      <w:szCs w:val="21"/>
                    </w:rPr>
                    <w:t>Nanophyton  erinaceum</w:t>
                  </w:r>
                </w:p>
              </w:tc>
              <w:tc>
                <w:tcPr>
                  <w:tcW w:w="1590" w:type="dxa"/>
                  <w:vAlign w:val="center"/>
                </w:tcPr>
                <w:p w14:paraId="4BDDF9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藜科</w:t>
                  </w:r>
                </w:p>
              </w:tc>
              <w:tc>
                <w:tcPr>
                  <w:tcW w:w="1591" w:type="dxa"/>
                  <w:vAlign w:val="center"/>
                </w:tcPr>
                <w:p w14:paraId="04248F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vertAlign w:val="baseline"/>
                      <w:lang w:val="en-US" w:eastAsia="zh-CN"/>
                    </w:rPr>
                  </w:pPr>
                  <w:r>
                    <w:rPr>
                      <w:rFonts w:hint="default" w:ascii="Times New Roman" w:hAnsi="Times New Roman" w:cs="Times New Roman"/>
                      <w:sz w:val="21"/>
                      <w:szCs w:val="21"/>
                    </w:rPr>
                    <w:t>小半灌木</w:t>
                  </w:r>
                </w:p>
              </w:tc>
            </w:tr>
          </w:tbl>
          <w:p w14:paraId="2DAB59EF">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jc w:val="left"/>
              <w:textAlignment w:val="auto"/>
              <w:rPr>
                <w:rFonts w:hint="eastAsia" w:ascii="Times New Roman" w:hAnsi="Times New Roman" w:cs="Times New Roman"/>
                <w:color w:val="auto"/>
                <w:sz w:val="24"/>
                <w:szCs w:val="24"/>
                <w:highlight w:val="none"/>
              </w:rPr>
            </w:pPr>
            <w:r>
              <w:rPr>
                <w:rFonts w:hint="default" w:ascii="Times New Roman" w:hAnsi="Times New Roman" w:cs="Times New Roman"/>
                <w:b/>
                <w:bCs/>
                <w:color w:val="auto"/>
                <w:kern w:val="0"/>
                <w:sz w:val="24"/>
                <w:szCs w:val="24"/>
                <w:highlight w:val="none"/>
                <w:lang w:val="en-US" w:eastAsia="zh-CN"/>
              </w:rPr>
              <w:t>3.4野生动物现状</w:t>
            </w:r>
          </w:p>
          <w:p w14:paraId="76D7EE04">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项目所在区域动物属于古北界、中亚亚界、哈萨克斯坦区、天山山地亚区、中天山小区。项目区受长期采煤及放牧活动的影响，加之天然植被稀疏，种类单一，高度低，盖度小，野生动物缺乏赖以生存的隐蔽环境及充足的食源，因而野生动物的种类单一，数量少。常见有麻雀、家燕、野鸽、红嘴山鸦、百灵鸟、紫翅椋鸟等鸟类和啮齿动物的几种鼠类。虽然本区内的野生动物种类数量不多，但也是本区草场生态系统重要的组成，对维护本区内的生态平衡起着重要的作用。</w:t>
            </w:r>
          </w:p>
          <w:p w14:paraId="3BAE3AB0">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auto"/>
                <w:kern w:val="2"/>
                <w:sz w:val="24"/>
                <w:szCs w:val="24"/>
                <w:highlight w:val="none"/>
                <w:lang w:val="en-US" w:eastAsia="zh-CN" w:bidi="ar"/>
              </w:rPr>
            </w:pPr>
            <w:r>
              <w:rPr>
                <w:rFonts w:hint="eastAsia" w:ascii="Times New Roman" w:hAnsi="Times New Roman" w:eastAsia="宋体" w:cs="Times New Roman"/>
                <w:b/>
                <w:bCs/>
                <w:color w:val="auto"/>
                <w:kern w:val="2"/>
                <w:sz w:val="24"/>
                <w:szCs w:val="24"/>
                <w:highlight w:val="none"/>
                <w:lang w:val="en-US" w:eastAsia="zh-CN" w:bidi="ar"/>
              </w:rPr>
              <w:t>3.</w:t>
            </w:r>
            <w:r>
              <w:rPr>
                <w:rFonts w:hint="eastAsia" w:cs="Times New Roman"/>
                <w:b/>
                <w:bCs/>
                <w:color w:val="auto"/>
                <w:kern w:val="2"/>
                <w:sz w:val="24"/>
                <w:szCs w:val="24"/>
                <w:highlight w:val="none"/>
                <w:lang w:val="en-US" w:eastAsia="zh-CN" w:bidi="ar"/>
              </w:rPr>
              <w:t>5</w:t>
            </w:r>
            <w:r>
              <w:rPr>
                <w:rFonts w:hint="eastAsia" w:ascii="Times New Roman" w:hAnsi="Times New Roman" w:eastAsia="宋体" w:cs="Times New Roman"/>
                <w:b/>
                <w:bCs/>
                <w:color w:val="auto"/>
                <w:kern w:val="2"/>
                <w:sz w:val="24"/>
                <w:szCs w:val="24"/>
                <w:highlight w:val="none"/>
                <w:lang w:val="en-US" w:eastAsia="zh-CN" w:bidi="ar"/>
              </w:rPr>
              <w:t>土地沙化现状</w:t>
            </w:r>
          </w:p>
          <w:p w14:paraId="57AB8B0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本项目位于</w:t>
            </w:r>
            <w:r>
              <w:rPr>
                <w:rFonts w:hint="eastAsia" w:cs="Times New Roman"/>
                <w:color w:val="auto"/>
                <w:sz w:val="24"/>
                <w:szCs w:val="24"/>
                <w:u w:val="none"/>
                <w:lang w:val="en-US" w:eastAsia="zh-CN"/>
              </w:rPr>
              <w:t>新疆维吾尔自治区昌吉回族自治州阜康市甘河</w:t>
            </w:r>
            <w:r>
              <w:rPr>
                <w:rFonts w:hint="eastAsia" w:ascii="Times New Roman" w:hAnsi="Times New Roman" w:cs="Times New Roman"/>
                <w:color w:val="auto"/>
                <w:sz w:val="24"/>
                <w:szCs w:val="24"/>
                <w:u w:val="none"/>
                <w:shd w:val="clear" w:color="auto" w:fill="auto"/>
                <w:lang w:val="en-US" w:eastAsia="zh-CN"/>
              </w:rPr>
              <w:t>子镇西南</w:t>
            </w:r>
            <w:r>
              <w:rPr>
                <w:rFonts w:hint="eastAsia" w:cs="Times New Roman"/>
                <w:color w:val="auto"/>
                <w:sz w:val="24"/>
                <w:szCs w:val="24"/>
                <w:u w:val="none"/>
                <w:shd w:val="clear" w:color="auto" w:fill="auto"/>
                <w:lang w:val="en-US" w:eastAsia="zh-CN"/>
              </w:rPr>
              <w:t>约3</w:t>
            </w:r>
            <w:r>
              <w:rPr>
                <w:rFonts w:hint="eastAsia" w:ascii="Times New Roman" w:hAnsi="Times New Roman" w:cs="Times New Roman"/>
                <w:color w:val="auto"/>
                <w:sz w:val="24"/>
                <w:szCs w:val="24"/>
                <w:u w:val="none"/>
                <w:shd w:val="clear" w:color="auto" w:fill="auto"/>
                <w:lang w:val="en-US" w:eastAsia="zh-CN"/>
              </w:rPr>
              <w:t>km处</w:t>
            </w:r>
            <w:r>
              <w:rPr>
                <w:rFonts w:hint="eastAsia" w:cs="Times New Roman"/>
                <w:color w:val="auto"/>
                <w:sz w:val="24"/>
                <w:szCs w:val="24"/>
                <w:u w:val="none"/>
                <w:shd w:val="clear" w:color="auto" w:fill="auto"/>
                <w:lang w:val="en-US" w:eastAsia="zh-CN"/>
              </w:rPr>
              <w:t>康龙煤矿</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根据</w:t>
            </w:r>
            <w:r>
              <w:rPr>
                <w:rFonts w:hint="eastAsia" w:ascii="Times New Roman" w:hAnsi="Times New Roman" w:eastAsia="宋体" w:cs="Times New Roman"/>
                <w:color w:val="auto"/>
                <w:sz w:val="24"/>
                <w:szCs w:val="24"/>
                <w:lang w:eastAsia="zh-CN"/>
              </w:rPr>
              <w:t>《新疆第六次荒漠化和沙化监测》</w:t>
            </w:r>
            <w:r>
              <w:rPr>
                <w:rFonts w:hint="eastAsia" w:ascii="Times New Roman" w:hAnsi="Times New Roman" w:eastAsia="宋体" w:cs="Times New Roman"/>
                <w:color w:val="auto"/>
                <w:sz w:val="24"/>
                <w:szCs w:val="24"/>
                <w:lang w:val="en-US" w:eastAsia="zh-CN"/>
              </w:rPr>
              <w:t>结果，项目</w:t>
            </w:r>
            <w:r>
              <w:rPr>
                <w:rFonts w:hint="eastAsia" w:cs="Times New Roman"/>
                <w:color w:val="auto"/>
                <w:sz w:val="24"/>
                <w:szCs w:val="24"/>
                <w:lang w:val="en-US" w:eastAsia="zh-CN"/>
              </w:rPr>
              <w:t>所在地</w:t>
            </w:r>
            <w:r>
              <w:rPr>
                <w:rFonts w:hint="eastAsia" w:ascii="Times New Roman" w:hAnsi="Times New Roman" w:eastAsia="宋体" w:cs="Times New Roman"/>
                <w:color w:val="auto"/>
                <w:sz w:val="24"/>
                <w:szCs w:val="24"/>
                <w:lang w:val="en-US" w:eastAsia="zh-CN"/>
              </w:rPr>
              <w:t>属于非沙化土地。</w:t>
            </w:r>
            <w:r>
              <w:rPr>
                <w:rFonts w:hint="eastAsia" w:cs="Times New Roman"/>
                <w:color w:val="auto"/>
                <w:sz w:val="24"/>
                <w:szCs w:val="24"/>
                <w:lang w:val="en-US" w:eastAsia="zh-CN"/>
              </w:rPr>
              <w:t>项目所在区域在自治区沙化土地类型图中的位置见</w:t>
            </w:r>
            <w:r>
              <w:rPr>
                <w:rFonts w:hint="eastAsia" w:cs="Times New Roman"/>
                <w:b/>
                <w:bCs/>
                <w:color w:val="auto"/>
                <w:sz w:val="24"/>
                <w:szCs w:val="24"/>
                <w:lang w:val="en-US" w:eastAsia="zh-CN"/>
              </w:rPr>
              <w:t>附图10</w:t>
            </w:r>
            <w:r>
              <w:rPr>
                <w:rFonts w:hint="eastAsia" w:cs="Times New Roman"/>
                <w:color w:val="auto"/>
                <w:sz w:val="24"/>
                <w:szCs w:val="24"/>
                <w:lang w:val="en-US" w:eastAsia="zh-CN"/>
              </w:rPr>
              <w:t>。</w:t>
            </w:r>
          </w:p>
          <w:p w14:paraId="411FEE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ascii="Times New Roman" w:hAnsi="Times New Roman" w:cs="Times New Roman"/>
                <w:b/>
                <w:color w:val="auto"/>
                <w:sz w:val="24"/>
                <w:szCs w:val="24"/>
              </w:rPr>
            </w:pPr>
            <w:r>
              <w:rPr>
                <w:rFonts w:hint="eastAsia" w:cs="Times New Roman"/>
                <w:b/>
                <w:color w:val="auto"/>
                <w:sz w:val="24"/>
                <w:szCs w:val="24"/>
                <w:lang w:val="en-US" w:eastAsia="zh-CN"/>
              </w:rPr>
              <w:t>4、环境空气</w:t>
            </w:r>
            <w:r>
              <w:rPr>
                <w:rFonts w:hint="eastAsia" w:ascii="Times New Roman" w:hAnsi="Times New Roman" w:cs="Times New Roman"/>
                <w:b/>
                <w:color w:val="auto"/>
                <w:sz w:val="24"/>
                <w:szCs w:val="24"/>
              </w:rPr>
              <w:t>质量现状</w:t>
            </w:r>
          </w:p>
          <w:p w14:paraId="1D244EB7">
            <w:pPr>
              <w:keepNext w:val="0"/>
              <w:keepLines w:val="0"/>
              <w:pageBreakBefore w:val="0"/>
              <w:suppressLineNumbers w:val="0"/>
              <w:wordWrap/>
              <w:bidi w:val="0"/>
              <w:adjustRightInd/>
              <w:snapToGrid/>
              <w:spacing w:before="0" w:beforeAutospacing="0" w:after="0" w:afterAutospacing="0" w:line="360" w:lineRule="auto"/>
              <w:ind w:left="0" w:right="0" w:firstLine="482" w:firstLineChars="200"/>
              <w:rPr>
                <w:rFonts w:hint="eastAsia" w:ascii="Times New Roman" w:hAnsi="Times New Roman" w:eastAsia="宋体"/>
                <w:b/>
                <w:bCs/>
                <w:color w:val="auto"/>
                <w:kern w:val="21"/>
                <w:sz w:val="24"/>
                <w:highlight w:val="none"/>
              </w:rPr>
            </w:pPr>
            <w:r>
              <w:rPr>
                <w:rFonts w:hint="eastAsia" w:cs="Times New Roman"/>
                <w:b/>
                <w:bCs/>
                <w:color w:val="auto"/>
                <w:sz w:val="24"/>
                <w:szCs w:val="24"/>
                <w:lang w:val="en-US" w:eastAsia="zh-CN"/>
              </w:rPr>
              <w:t>4.1</w:t>
            </w:r>
            <w:r>
              <w:rPr>
                <w:rFonts w:hint="eastAsia" w:ascii="Times New Roman" w:hAnsi="Times New Roman" w:eastAsia="宋体"/>
                <w:b/>
                <w:bCs/>
                <w:color w:val="auto"/>
                <w:kern w:val="21"/>
                <w:sz w:val="24"/>
                <w:highlight w:val="none"/>
              </w:rPr>
              <w:t>环境空气质量达标区判定</w:t>
            </w:r>
          </w:p>
          <w:p w14:paraId="10E516B6">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w:t>
            </w:r>
            <w:r>
              <w:rPr>
                <w:rFonts w:hint="eastAsia" w:cs="Times New Roman"/>
                <w:color w:val="auto"/>
                <w:sz w:val="24"/>
                <w:szCs w:val="24"/>
                <w:lang w:val="en-US" w:eastAsia="zh-CN"/>
              </w:rPr>
              <w:t>1</w:t>
            </w:r>
            <w:r>
              <w:rPr>
                <w:rFonts w:hint="eastAsia" w:ascii="Times New Roman" w:hAnsi="Times New Roman" w:cs="Times New Roman"/>
                <w:color w:val="auto"/>
                <w:sz w:val="24"/>
                <w:szCs w:val="24"/>
              </w:rPr>
              <w:t>）数据来源</w:t>
            </w:r>
          </w:p>
          <w:p w14:paraId="2E731A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根据</w:t>
            </w:r>
            <w:r>
              <w:rPr>
                <w:rFonts w:hint="default" w:ascii="Times New Roman" w:hAnsi="Times New Roman" w:eastAsia="宋体" w:cs="Times New Roman"/>
                <w:color w:val="auto"/>
                <w:sz w:val="24"/>
                <w:highlight w:val="none"/>
              </w:rPr>
              <w:t>《环境影响评价技术导则 大气环境》（HJ2.2-2018）规定：</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城市环境空气质量达标情况评价指标为SO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、NO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10</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2.5</w:t>
            </w:r>
            <w:r>
              <w:rPr>
                <w:rFonts w:hint="default" w:ascii="Times New Roman" w:hAnsi="Times New Roman" w:eastAsia="宋体" w:cs="Times New Roman"/>
                <w:color w:val="auto"/>
                <w:sz w:val="24"/>
                <w:highlight w:val="none"/>
              </w:rPr>
              <w:t>、CO和O</w:t>
            </w:r>
            <w:r>
              <w:rPr>
                <w:rFonts w:hint="default" w:ascii="Times New Roman" w:hAnsi="Times New Roman" w:eastAsia="宋体" w:cs="Times New Roman"/>
                <w:color w:val="auto"/>
                <w:sz w:val="24"/>
                <w:highlight w:val="none"/>
                <w:vertAlign w:val="subscript"/>
              </w:rPr>
              <w:t>3</w:t>
            </w:r>
            <w:r>
              <w:rPr>
                <w:rFonts w:hint="default" w:ascii="Times New Roman" w:hAnsi="Times New Roman" w:eastAsia="宋体" w:cs="Times New Roman"/>
                <w:color w:val="auto"/>
                <w:sz w:val="24"/>
                <w:highlight w:val="none"/>
              </w:rPr>
              <w:t>，六项污染物全部达标即为城市环境空气质量达标</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对于基本污染物环境质量现状数据，项目所在区域达标判定，优先采用国家或地方生态环境主管部门公开发布的评价基准年环境质量公告或环境质量报告中的数据或结论</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w:t>
            </w:r>
            <w:r>
              <w:rPr>
                <w:rFonts w:hint="eastAsia" w:ascii="Times New Roman" w:hAnsi="Times New Roman" w:eastAsia="宋体"/>
                <w:caps w:val="0"/>
                <w:color w:val="auto"/>
                <w:sz w:val="24"/>
                <w:highlight w:val="none"/>
              </w:rPr>
              <w:t>本次评价</w:t>
            </w:r>
            <w:r>
              <w:rPr>
                <w:rFonts w:hint="eastAsia" w:ascii="Times New Roman" w:hAnsi="Times New Roman" w:eastAsia="宋体" w:cs="Times New Roman"/>
                <w:color w:val="auto"/>
                <w:sz w:val="24"/>
                <w:highlight w:val="none"/>
                <w:lang w:val="en-US" w:eastAsia="zh-CN"/>
              </w:rPr>
              <w:t>引用新疆维吾尔自治区生态环境厅发布的“</w:t>
            </w:r>
            <w:r>
              <w:rPr>
                <w:rFonts w:hint="default" w:ascii="Times New Roman" w:hAnsi="Times New Roman" w:eastAsia="宋体" w:cs="Times New Roman"/>
                <w:color w:val="auto"/>
                <w:sz w:val="24"/>
                <w:highlight w:val="none"/>
              </w:rPr>
              <w:fldChar w:fldCharType="begin"/>
            </w:r>
            <w:r>
              <w:rPr>
                <w:rFonts w:hint="default" w:ascii="Times New Roman" w:hAnsi="Times New Roman" w:eastAsia="宋体" w:cs="Times New Roman"/>
                <w:color w:val="auto"/>
                <w:sz w:val="24"/>
                <w:highlight w:val="none"/>
              </w:rPr>
              <w:instrText xml:space="preserve"> HYPERLINK "https://sthjt.xinjiang.gov.cn/xjepd/sthjhjjckpm/202501/9edf688a144c4bf7bcdd93118d5acab2/files/2024%E5%B9%B412%E6%9C%88%E5%92%8C1-12%E6%9C%88%E2%80%9C%E4%B9%8C-%E6%98%8C-%E7%9F%B3%E2%80%9D%E2%80%9C%E5%A5%8E-%E7%8B%AC-%E4%B9%8C%E2%80%9D%E5%8C%BA%E5%9F%9F%E5%90%84%E5%8E%BF%EF%BC%88%E5%B8%82%E3%80%81%E5%8C%BA%EF%BC%89%E7%8E%AF%E5%A2%83%E7%A9%BA%E6%B0%94%E8%B4%A8%E9%87%8F%E7%8A%B6%E5%86%B5%E5%8F%8A%E6%8E%92%E5%90%8D.docx" \t "https://sthjt.xinjiang.gov.cn/xjepd/sthjhjjckpm/202501/_blank" </w:instrText>
            </w:r>
            <w:r>
              <w:rPr>
                <w:rFonts w:hint="default" w:ascii="Times New Roman" w:hAnsi="Times New Roman" w:eastAsia="宋体" w:cs="Times New Roman"/>
                <w:color w:val="auto"/>
                <w:sz w:val="24"/>
                <w:highlight w:val="none"/>
              </w:rPr>
              <w:fldChar w:fldCharType="separate"/>
            </w:r>
            <w:r>
              <w:rPr>
                <w:rFonts w:hint="eastAsia" w:cs="Times New Roman"/>
                <w:color w:val="auto"/>
                <w:sz w:val="24"/>
                <w:highlight w:val="none"/>
                <w:lang w:val="en-US" w:eastAsia="zh-CN"/>
              </w:rPr>
              <w:t>2025</w:t>
            </w:r>
            <w:r>
              <w:rPr>
                <w:rFonts w:hint="eastAsia" w:ascii="Times New Roman" w:hAnsi="Times New Roman" w:eastAsia="宋体" w:cs="Times New Roman"/>
                <w:color w:val="auto"/>
                <w:sz w:val="24"/>
                <w:highlight w:val="none"/>
              </w:rPr>
              <w:t>年12月和1-12月</w:t>
            </w:r>
            <w:r>
              <w:rPr>
                <w:rFonts w:hint="eastAsia" w:cs="Times New Roman"/>
                <w:color w:val="auto"/>
                <w:sz w:val="24"/>
                <w:highlight w:val="none"/>
                <w:lang w:val="en-US" w:eastAsia="zh-CN"/>
              </w:rPr>
              <w:t>重点</w:t>
            </w:r>
            <w:r>
              <w:rPr>
                <w:rFonts w:hint="eastAsia" w:ascii="Times New Roman" w:hAnsi="Times New Roman" w:eastAsia="宋体" w:cs="Times New Roman"/>
                <w:color w:val="auto"/>
                <w:sz w:val="24"/>
                <w:highlight w:val="none"/>
              </w:rPr>
              <w:t>区域环境空气质量状况及排名</w:t>
            </w:r>
            <w:r>
              <w:rPr>
                <w:rFonts w:hint="eastAsia" w:ascii="Times New Roman" w:hAnsi="Times New Roman" w:eastAsia="宋体" w:cs="Times New Roman"/>
                <w:color w:val="auto"/>
                <w:sz w:val="24"/>
                <w:highlight w:val="none"/>
              </w:rPr>
              <w:fldChar w:fldCharType="end"/>
            </w:r>
            <w:r>
              <w:rPr>
                <w:rFonts w:hint="eastAsia" w:ascii="Times New Roman" w:hAnsi="Times New Roman" w:eastAsia="宋体" w:cs="Times New Roman"/>
                <w:color w:val="auto"/>
                <w:sz w:val="24"/>
                <w:highlight w:val="none"/>
                <w:lang w:val="en-US" w:eastAsia="zh-CN"/>
              </w:rPr>
              <w:t>”中</w:t>
            </w:r>
            <w:r>
              <w:rPr>
                <w:rFonts w:hint="eastAsia" w:cs="Times New Roman"/>
                <w:color w:val="auto"/>
                <w:sz w:val="24"/>
                <w:highlight w:val="none"/>
                <w:lang w:val="en-US" w:eastAsia="zh-CN"/>
              </w:rPr>
              <w:t>阜康市2025</w:t>
            </w:r>
            <w:r>
              <w:rPr>
                <w:rFonts w:hint="eastAsia" w:ascii="Times New Roman" w:hAnsi="Times New Roman" w:eastAsia="宋体" w:cs="Times New Roman"/>
                <w:color w:val="auto"/>
                <w:sz w:val="24"/>
                <w:highlight w:val="none"/>
                <w:lang w:val="en-US" w:eastAsia="zh-CN"/>
              </w:rPr>
              <w:t>年的</w:t>
            </w:r>
            <w:r>
              <w:rPr>
                <w:rFonts w:hint="eastAsia" w:ascii="Times New Roman" w:hAnsi="Times New Roman" w:eastAsia="宋体" w:cs="Times New Roman"/>
                <w:caps w:val="0"/>
                <w:color w:val="auto"/>
                <w:sz w:val="24"/>
                <w:highlight w:val="none"/>
                <w:lang w:val="en-US" w:eastAsia="zh-CN"/>
              </w:rPr>
              <w:t>数据，</w:t>
            </w:r>
            <w:r>
              <w:rPr>
                <w:rFonts w:hint="default" w:ascii="Times New Roman" w:hAnsi="Times New Roman" w:cs="Times New Roman"/>
                <w:color w:val="auto"/>
                <w:sz w:val="24"/>
                <w:lang w:bidi="ar"/>
              </w:rPr>
              <w:t>作为本项目环境空气现状评价基本污染物SO</w:t>
            </w:r>
            <w:r>
              <w:rPr>
                <w:rFonts w:hint="default" w:ascii="Times New Roman" w:hAnsi="Times New Roman" w:cs="Times New Roman"/>
                <w:color w:val="auto"/>
                <w:sz w:val="24"/>
                <w:vertAlign w:val="subscript"/>
                <w:lang w:bidi="ar"/>
              </w:rPr>
              <w:t>2</w:t>
            </w:r>
            <w:r>
              <w:rPr>
                <w:rFonts w:hint="default" w:ascii="Times New Roman" w:hAnsi="Times New Roman" w:cs="Times New Roman"/>
                <w:color w:val="auto"/>
                <w:sz w:val="24"/>
                <w:lang w:bidi="ar"/>
              </w:rPr>
              <w:t>、NO</w:t>
            </w:r>
            <w:r>
              <w:rPr>
                <w:rFonts w:hint="default" w:ascii="Times New Roman" w:hAnsi="Times New Roman" w:cs="Times New Roman"/>
                <w:color w:val="auto"/>
                <w:sz w:val="24"/>
                <w:vertAlign w:val="subscript"/>
                <w:lang w:bidi="ar"/>
              </w:rPr>
              <w:t>2</w:t>
            </w:r>
            <w:r>
              <w:rPr>
                <w:rFonts w:hint="default" w:ascii="Times New Roman" w:hAnsi="Times New Roman" w:cs="Times New Roman"/>
                <w:color w:val="auto"/>
                <w:sz w:val="24"/>
                <w:lang w:bidi="ar"/>
              </w:rPr>
              <w:t>、PM</w:t>
            </w:r>
            <w:r>
              <w:rPr>
                <w:rFonts w:hint="default" w:ascii="Times New Roman" w:hAnsi="Times New Roman" w:cs="Times New Roman"/>
                <w:color w:val="auto"/>
                <w:sz w:val="24"/>
                <w:vertAlign w:val="subscript"/>
                <w:lang w:bidi="ar"/>
              </w:rPr>
              <w:t>10</w:t>
            </w:r>
            <w:r>
              <w:rPr>
                <w:rFonts w:hint="default" w:ascii="Times New Roman" w:hAnsi="Times New Roman" w:cs="Times New Roman"/>
                <w:color w:val="auto"/>
                <w:sz w:val="24"/>
                <w:lang w:bidi="ar"/>
              </w:rPr>
              <w:t>、PM</w:t>
            </w:r>
            <w:r>
              <w:rPr>
                <w:rFonts w:hint="default" w:ascii="Times New Roman" w:hAnsi="Times New Roman" w:cs="Times New Roman"/>
                <w:color w:val="auto"/>
                <w:sz w:val="24"/>
                <w:vertAlign w:val="subscript"/>
                <w:lang w:bidi="ar"/>
              </w:rPr>
              <w:t>2.5</w:t>
            </w:r>
            <w:r>
              <w:rPr>
                <w:rFonts w:hint="default" w:ascii="Times New Roman" w:hAnsi="Times New Roman" w:cs="Times New Roman"/>
                <w:color w:val="auto"/>
                <w:sz w:val="24"/>
                <w:lang w:bidi="ar"/>
              </w:rPr>
              <w:t>、CO和O</w:t>
            </w:r>
            <w:r>
              <w:rPr>
                <w:rFonts w:hint="default" w:ascii="Times New Roman" w:hAnsi="Times New Roman" w:cs="Times New Roman"/>
                <w:color w:val="auto"/>
                <w:sz w:val="24"/>
                <w:vertAlign w:val="subscript"/>
                <w:lang w:bidi="ar"/>
              </w:rPr>
              <w:t>3</w:t>
            </w:r>
            <w:r>
              <w:rPr>
                <w:rFonts w:hint="default" w:ascii="Times New Roman" w:hAnsi="Times New Roman" w:cs="Times New Roman"/>
                <w:color w:val="auto"/>
                <w:sz w:val="24"/>
                <w:lang w:bidi="ar"/>
              </w:rPr>
              <w:t>的数据来源</w:t>
            </w:r>
            <w:r>
              <w:rPr>
                <w:rFonts w:hint="eastAsia" w:ascii="Times New Roman" w:hAnsi="Times New Roman" w:eastAsia="宋体"/>
                <w:caps w:val="0"/>
                <w:color w:val="auto"/>
                <w:sz w:val="24"/>
                <w:highlight w:val="none"/>
              </w:rPr>
              <w:t>，所使用的大气现状监测数据基本满足本项目的分析要求。</w:t>
            </w:r>
          </w:p>
          <w:p w14:paraId="0A5D90E0">
            <w:pPr>
              <w:pStyle w:val="76"/>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（2）评价标准</w:t>
            </w:r>
          </w:p>
          <w:p w14:paraId="2CF0F2B4">
            <w:pPr>
              <w:pStyle w:val="76"/>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基本污染物SO</w:t>
            </w:r>
            <w:r>
              <w:rPr>
                <w:rFonts w:hint="default" w:ascii="Times New Roman" w:hAnsi="Times New Roman" w:cs="Times New Roman"/>
                <w:color w:val="auto"/>
                <w:sz w:val="24"/>
                <w:szCs w:val="24"/>
                <w:vertAlign w:val="subscript"/>
              </w:rPr>
              <w:t>2</w:t>
            </w:r>
            <w:r>
              <w:rPr>
                <w:rFonts w:hint="default" w:ascii="Times New Roman" w:hAnsi="Times New Roman" w:cs="Times New Roman"/>
                <w:color w:val="auto"/>
                <w:sz w:val="24"/>
                <w:szCs w:val="24"/>
              </w:rPr>
              <w:t>、NO</w:t>
            </w:r>
            <w:r>
              <w:rPr>
                <w:rFonts w:hint="default" w:ascii="Times New Roman" w:hAnsi="Times New Roman" w:cs="Times New Roman"/>
                <w:color w:val="auto"/>
                <w:sz w:val="24"/>
                <w:szCs w:val="24"/>
                <w:vertAlign w:val="subscript"/>
              </w:rPr>
              <w:t>2</w:t>
            </w:r>
            <w:r>
              <w:rPr>
                <w:rFonts w:hint="default" w:ascii="Times New Roman" w:hAnsi="Times New Roman" w:cs="Times New Roman"/>
                <w:color w:val="auto"/>
                <w:sz w:val="24"/>
                <w:szCs w:val="24"/>
              </w:rPr>
              <w:t>、PM</w:t>
            </w:r>
            <w:r>
              <w:rPr>
                <w:rFonts w:hint="default" w:ascii="Times New Roman" w:hAnsi="Times New Roman" w:cs="Times New Roman"/>
                <w:color w:val="auto"/>
                <w:sz w:val="24"/>
                <w:szCs w:val="24"/>
                <w:vertAlign w:val="subscript"/>
              </w:rPr>
              <w:t>10</w:t>
            </w:r>
            <w:r>
              <w:rPr>
                <w:rFonts w:hint="default" w:ascii="Times New Roman" w:hAnsi="Times New Roman" w:cs="Times New Roman"/>
                <w:color w:val="auto"/>
                <w:sz w:val="24"/>
                <w:szCs w:val="24"/>
              </w:rPr>
              <w:t>、PM</w:t>
            </w:r>
            <w:r>
              <w:rPr>
                <w:rFonts w:hint="default" w:ascii="Times New Roman" w:hAnsi="Times New Roman" w:cs="Times New Roman"/>
                <w:color w:val="auto"/>
                <w:sz w:val="24"/>
                <w:szCs w:val="24"/>
                <w:vertAlign w:val="subscript"/>
              </w:rPr>
              <w:t>2.5</w:t>
            </w:r>
            <w:r>
              <w:rPr>
                <w:rFonts w:hint="default" w:ascii="Times New Roman" w:hAnsi="Times New Roman" w:cs="Times New Roman"/>
                <w:color w:val="auto"/>
                <w:sz w:val="24"/>
                <w:szCs w:val="24"/>
              </w:rPr>
              <w:t>、CO和O</w:t>
            </w:r>
            <w:r>
              <w:rPr>
                <w:rFonts w:hint="default" w:ascii="Times New Roman" w:hAnsi="Times New Roman" w:cs="Times New Roman"/>
                <w:color w:val="auto"/>
                <w:sz w:val="24"/>
                <w:szCs w:val="24"/>
                <w:vertAlign w:val="subscript"/>
              </w:rPr>
              <w:t>3</w:t>
            </w:r>
            <w:r>
              <w:rPr>
                <w:rFonts w:hint="default" w:ascii="Times New Roman" w:hAnsi="Times New Roman" w:cs="Times New Roman"/>
                <w:color w:val="auto"/>
                <w:sz w:val="24"/>
                <w:szCs w:val="24"/>
              </w:rPr>
              <w:t>执行</w:t>
            </w:r>
            <w:r>
              <w:rPr>
                <w:rFonts w:hint="default" w:ascii="Times New Roman" w:hAnsi="Times New Roman" w:eastAsia="宋体"/>
                <w:caps w:val="0"/>
                <w:color w:val="auto"/>
                <w:sz w:val="24"/>
                <w:highlight w:val="none"/>
              </w:rPr>
              <w:t>《环境空气质量标准》（GB</w:t>
            </w:r>
            <w:r>
              <w:rPr>
                <w:rFonts w:hint="eastAsia" w:ascii="Times New Roman" w:hAnsi="Times New Roman" w:eastAsia="宋体"/>
                <w:caps w:val="0"/>
                <w:color w:val="auto"/>
                <w:sz w:val="24"/>
                <w:highlight w:val="none"/>
                <w:lang w:val="en-US" w:eastAsia="zh-CN"/>
              </w:rPr>
              <w:t xml:space="preserve"> </w:t>
            </w:r>
            <w:r>
              <w:rPr>
                <w:rFonts w:hint="default" w:ascii="Times New Roman" w:hAnsi="Times New Roman" w:eastAsia="宋体"/>
                <w:caps w:val="0"/>
                <w:color w:val="auto"/>
                <w:sz w:val="24"/>
                <w:highlight w:val="none"/>
              </w:rPr>
              <w:t>3095-</w:t>
            </w:r>
            <w:r>
              <w:rPr>
                <w:rFonts w:hint="eastAsia" w:ascii="Times New Roman" w:hAnsi="Times New Roman" w:eastAsia="宋体"/>
                <w:caps w:val="0"/>
                <w:color w:val="auto"/>
                <w:sz w:val="24"/>
                <w:highlight w:val="none"/>
                <w:lang w:val="en-US" w:eastAsia="zh-CN"/>
              </w:rPr>
              <w:t>2026</w:t>
            </w:r>
            <w:r>
              <w:rPr>
                <w:rFonts w:hint="default" w:ascii="Times New Roman" w:hAnsi="Times New Roman" w:eastAsia="宋体"/>
                <w:caps w:val="0"/>
                <w:color w:val="auto"/>
                <w:sz w:val="24"/>
                <w:highlight w:val="none"/>
              </w:rPr>
              <w:t>）</w:t>
            </w:r>
            <w:r>
              <w:rPr>
                <w:rFonts w:hint="eastAsia" w:ascii="Times New Roman" w:hAnsi="Times New Roman" w:eastAsia="宋体"/>
                <w:caps w:val="0"/>
                <w:color w:val="auto"/>
                <w:sz w:val="24"/>
                <w:highlight w:val="none"/>
                <w:lang w:val="en-US" w:eastAsia="zh-CN"/>
              </w:rPr>
              <w:t>表1中过渡阶段浓度限值</w:t>
            </w:r>
            <w:r>
              <w:rPr>
                <w:rFonts w:hint="default" w:ascii="Times New Roman" w:hAnsi="Times New Roman" w:eastAsia="宋体"/>
                <w:caps w:val="0"/>
                <w:color w:val="auto"/>
                <w:sz w:val="24"/>
                <w:highlight w:val="none"/>
              </w:rPr>
              <w:t>二级标准</w:t>
            </w:r>
            <w:r>
              <w:rPr>
                <w:rFonts w:hint="default" w:ascii="Times New Roman" w:hAnsi="Times New Roman" w:cs="Times New Roman"/>
                <w:color w:val="auto"/>
                <w:sz w:val="24"/>
                <w:szCs w:val="24"/>
              </w:rPr>
              <w:t>。</w:t>
            </w:r>
          </w:p>
          <w:p w14:paraId="45B24116">
            <w:pPr>
              <w:pStyle w:val="76"/>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（3）评价方法</w:t>
            </w:r>
          </w:p>
          <w:p w14:paraId="7057588C">
            <w:pPr>
              <w:pStyle w:val="76"/>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default"/>
                <w:bCs/>
                <w:color w:val="auto"/>
                <w:kern w:val="21"/>
                <w:sz w:val="24"/>
                <w:highlight w:val="none"/>
              </w:rPr>
              <w:t>基本污染物</w:t>
            </w:r>
            <w:r>
              <w:rPr>
                <w:rFonts w:hint="default" w:ascii="Times New Roman" w:hAnsi="Times New Roman" w:cs="Times New Roman"/>
                <w:color w:val="auto"/>
                <w:sz w:val="24"/>
                <w:szCs w:val="24"/>
              </w:rPr>
              <w:t>按照《环境空气质量评价技术规范（试行）》（HJ 663-20</w:t>
            </w:r>
            <w:r>
              <w:rPr>
                <w:rFonts w:hint="eastAsia" w:ascii="Times New Roman" w:cs="Times New Roman"/>
                <w:color w:val="auto"/>
                <w:sz w:val="24"/>
                <w:szCs w:val="24"/>
                <w:lang w:val="en-US" w:eastAsia="zh-CN"/>
              </w:rPr>
              <w:t>26</w:t>
            </w:r>
            <w:r>
              <w:rPr>
                <w:rFonts w:hint="default" w:ascii="Times New Roman" w:hAnsi="Times New Roman" w:cs="Times New Roman"/>
                <w:color w:val="auto"/>
                <w:sz w:val="24"/>
                <w:szCs w:val="24"/>
              </w:rPr>
              <w:t>）中各评价项目的年评价指标进行判定。年评价指标中的年均浓度和相应百分位数24h平均或8h平均质量浓度满足</w:t>
            </w:r>
            <w:r>
              <w:rPr>
                <w:rFonts w:hint="default" w:ascii="Times New Roman" w:hAnsi="Times New Roman" w:eastAsia="宋体"/>
                <w:caps w:val="0"/>
                <w:color w:val="auto"/>
                <w:sz w:val="24"/>
                <w:highlight w:val="none"/>
              </w:rPr>
              <w:t>《环境空气质量标准》（GB</w:t>
            </w:r>
            <w:r>
              <w:rPr>
                <w:rFonts w:hint="eastAsia" w:ascii="Times New Roman" w:hAnsi="Times New Roman" w:eastAsia="宋体"/>
                <w:caps w:val="0"/>
                <w:color w:val="auto"/>
                <w:sz w:val="24"/>
                <w:highlight w:val="none"/>
                <w:lang w:val="en-US" w:eastAsia="zh-CN"/>
              </w:rPr>
              <w:t xml:space="preserve"> </w:t>
            </w:r>
            <w:r>
              <w:rPr>
                <w:rFonts w:hint="default" w:ascii="Times New Roman" w:hAnsi="Times New Roman" w:eastAsia="宋体"/>
                <w:caps w:val="0"/>
                <w:color w:val="auto"/>
                <w:sz w:val="24"/>
                <w:highlight w:val="none"/>
              </w:rPr>
              <w:t>3095-</w:t>
            </w:r>
            <w:r>
              <w:rPr>
                <w:rFonts w:hint="eastAsia" w:ascii="Times New Roman" w:hAnsi="Times New Roman" w:eastAsia="宋体"/>
                <w:caps w:val="0"/>
                <w:color w:val="auto"/>
                <w:sz w:val="24"/>
                <w:highlight w:val="none"/>
                <w:lang w:val="en-US" w:eastAsia="zh-CN"/>
              </w:rPr>
              <w:t>2026</w:t>
            </w:r>
            <w:r>
              <w:rPr>
                <w:rFonts w:hint="default" w:ascii="Times New Roman" w:hAnsi="Times New Roman" w:eastAsia="宋体"/>
                <w:caps w:val="0"/>
                <w:color w:val="auto"/>
                <w:sz w:val="24"/>
                <w:highlight w:val="none"/>
              </w:rPr>
              <w:t>）</w:t>
            </w:r>
            <w:r>
              <w:rPr>
                <w:rFonts w:hint="default" w:ascii="Times New Roman" w:hAnsi="Times New Roman" w:cs="Times New Roman"/>
                <w:color w:val="auto"/>
                <w:sz w:val="24"/>
                <w:szCs w:val="24"/>
              </w:rPr>
              <w:t>中二级浓度限值要求的即为达标。对于超标的污染物，计算其超标倍数和超标率。</w:t>
            </w:r>
          </w:p>
          <w:p w14:paraId="2F8A5450">
            <w:pPr>
              <w:pStyle w:val="76"/>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r>
              <w:rPr>
                <w:rFonts w:hint="eastAsia" w:ascii="Times New Roman" w:cs="Times New Roman"/>
                <w:color w:val="auto"/>
                <w:sz w:val="24"/>
                <w:szCs w:val="24"/>
                <w:lang w:val="en-US" w:eastAsia="zh-CN"/>
              </w:rPr>
              <w:t>4</w:t>
            </w:r>
            <w:r>
              <w:rPr>
                <w:rFonts w:hint="default" w:ascii="Times New Roman" w:hAnsi="Times New Roman" w:cs="Times New Roman"/>
                <w:color w:val="auto"/>
                <w:sz w:val="24"/>
                <w:szCs w:val="24"/>
              </w:rPr>
              <w:t>）基本污染物环境质量现状评价</w:t>
            </w:r>
          </w:p>
          <w:p w14:paraId="76CD7FE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lang w:val="en-US" w:eastAsia="zh-CN"/>
              </w:rPr>
              <w:t>202</w:t>
            </w:r>
            <w:r>
              <w:rPr>
                <w:rFonts w:hint="eastAsia"/>
                <w:caps w:val="0"/>
                <w:color w:val="auto"/>
                <w:sz w:val="24"/>
                <w:highlight w:val="none"/>
                <w:lang w:val="en-US" w:eastAsia="zh-CN"/>
              </w:rPr>
              <w:t>5</w:t>
            </w:r>
            <w:r>
              <w:rPr>
                <w:rFonts w:hint="eastAsia" w:ascii="Times New Roman" w:hAnsi="Times New Roman" w:eastAsia="宋体"/>
                <w:caps w:val="0"/>
                <w:color w:val="auto"/>
                <w:sz w:val="24"/>
                <w:highlight w:val="none"/>
              </w:rPr>
              <w:t>年</w:t>
            </w:r>
            <w:r>
              <w:rPr>
                <w:rFonts w:hint="eastAsia"/>
                <w:caps w:val="0"/>
                <w:color w:val="auto"/>
                <w:sz w:val="24"/>
                <w:highlight w:val="none"/>
                <w:lang w:val="en-US" w:eastAsia="zh-CN"/>
              </w:rPr>
              <w:t>阜康市</w:t>
            </w:r>
            <w:r>
              <w:rPr>
                <w:rFonts w:hint="eastAsia" w:ascii="Times New Roman" w:hAnsi="Times New Roman" w:eastAsia="宋体"/>
                <w:caps w:val="0"/>
                <w:color w:val="auto"/>
                <w:sz w:val="24"/>
                <w:highlight w:val="none"/>
              </w:rPr>
              <w:t>环境空气质量见表</w:t>
            </w:r>
            <w:r>
              <w:rPr>
                <w:rFonts w:hint="eastAsia" w:ascii="Times New Roman" w:hAnsi="Times New Roman" w:eastAsia="宋体"/>
                <w:caps w:val="0"/>
                <w:color w:val="auto"/>
                <w:sz w:val="24"/>
                <w:highlight w:val="none"/>
                <w:lang w:val="en-US" w:eastAsia="zh-CN"/>
              </w:rPr>
              <w:t>3</w:t>
            </w:r>
            <w:r>
              <w:rPr>
                <w:rFonts w:hint="eastAsia" w:ascii="Times New Roman" w:hAnsi="Times New Roman" w:eastAsia="宋体"/>
                <w:caps w:val="0"/>
                <w:color w:val="auto"/>
                <w:sz w:val="24"/>
                <w:highlight w:val="none"/>
              </w:rPr>
              <w:t>-1</w:t>
            </w:r>
            <w:r>
              <w:rPr>
                <w:rFonts w:hint="default" w:ascii="Times New Roman" w:hAnsi="Times New Roman" w:eastAsia="宋体"/>
                <w:caps w:val="0"/>
                <w:color w:val="auto"/>
                <w:sz w:val="24"/>
                <w:highlight w:val="none"/>
              </w:rPr>
              <w:t>。</w:t>
            </w:r>
            <w:r>
              <w:rPr>
                <w:rFonts w:hint="default" w:ascii="Times New Roman" w:hAnsi="Times New Roman" w:cs="Times New Roman"/>
                <w:color w:val="000000"/>
                <w:sz w:val="24"/>
                <w:lang w:bidi="ar"/>
              </w:rPr>
              <w:t>由表结果得出：</w:t>
            </w:r>
            <w:r>
              <w:rPr>
                <w:rFonts w:hint="eastAsia" w:cs="Times New Roman"/>
                <w:color w:val="000000"/>
                <w:sz w:val="24"/>
                <w:lang w:val="en-US" w:eastAsia="zh-CN" w:bidi="ar"/>
              </w:rPr>
              <w:t>PM</w:t>
            </w:r>
            <w:r>
              <w:rPr>
                <w:rFonts w:hint="eastAsia" w:cs="Times New Roman"/>
                <w:color w:val="000000"/>
                <w:sz w:val="24"/>
                <w:vertAlign w:val="subscript"/>
                <w:lang w:val="en-US" w:eastAsia="zh-CN" w:bidi="ar"/>
              </w:rPr>
              <w:t>2.5</w:t>
            </w:r>
            <w:r>
              <w:rPr>
                <w:rFonts w:hint="eastAsia" w:cs="Times New Roman"/>
                <w:color w:val="000000"/>
                <w:sz w:val="24"/>
                <w:lang w:val="en-US" w:eastAsia="zh-CN" w:bidi="ar"/>
              </w:rPr>
              <w:t>超过</w:t>
            </w:r>
            <w:r>
              <w:rPr>
                <w:rFonts w:hint="default" w:ascii="Times New Roman" w:hAnsi="Times New Roman" w:eastAsia="宋体"/>
                <w:caps w:val="0"/>
                <w:color w:val="auto"/>
                <w:sz w:val="24"/>
                <w:highlight w:val="none"/>
              </w:rPr>
              <w:t>《环境空气质量标准》（GB</w:t>
            </w:r>
            <w:r>
              <w:rPr>
                <w:rFonts w:hint="eastAsia" w:ascii="Times New Roman" w:hAnsi="Times New Roman" w:eastAsia="宋体"/>
                <w:caps w:val="0"/>
                <w:color w:val="auto"/>
                <w:sz w:val="24"/>
                <w:highlight w:val="none"/>
                <w:lang w:val="en-US" w:eastAsia="zh-CN"/>
              </w:rPr>
              <w:t xml:space="preserve"> </w:t>
            </w:r>
            <w:r>
              <w:rPr>
                <w:rFonts w:hint="default" w:ascii="Times New Roman" w:hAnsi="Times New Roman" w:eastAsia="宋体"/>
                <w:caps w:val="0"/>
                <w:color w:val="auto"/>
                <w:sz w:val="24"/>
                <w:highlight w:val="none"/>
              </w:rPr>
              <w:t>3095-</w:t>
            </w:r>
            <w:r>
              <w:rPr>
                <w:rFonts w:hint="eastAsia" w:ascii="Times New Roman" w:hAnsi="Times New Roman" w:eastAsia="宋体"/>
                <w:caps w:val="0"/>
                <w:color w:val="auto"/>
                <w:sz w:val="24"/>
                <w:highlight w:val="none"/>
                <w:lang w:val="en-US" w:eastAsia="zh-CN"/>
              </w:rPr>
              <w:t>2026</w:t>
            </w:r>
            <w:r>
              <w:rPr>
                <w:rFonts w:hint="default" w:ascii="Times New Roman" w:hAnsi="Times New Roman" w:eastAsia="宋体"/>
                <w:caps w:val="0"/>
                <w:color w:val="auto"/>
                <w:sz w:val="24"/>
                <w:highlight w:val="none"/>
              </w:rPr>
              <w:t>）</w:t>
            </w:r>
            <w:r>
              <w:rPr>
                <w:rFonts w:hint="eastAsia" w:ascii="Times New Roman" w:hAnsi="Times New Roman" w:eastAsia="宋体"/>
                <w:caps w:val="0"/>
                <w:color w:val="auto"/>
                <w:sz w:val="24"/>
                <w:highlight w:val="none"/>
                <w:lang w:val="en-US" w:eastAsia="zh-CN"/>
              </w:rPr>
              <w:t>表1中过渡阶段浓度限值</w:t>
            </w:r>
            <w:r>
              <w:rPr>
                <w:rFonts w:hint="default" w:ascii="Times New Roman" w:hAnsi="Times New Roman" w:eastAsia="宋体"/>
                <w:caps w:val="0"/>
                <w:color w:val="auto"/>
                <w:sz w:val="24"/>
                <w:highlight w:val="none"/>
              </w:rPr>
              <w:t>二级标准</w:t>
            </w:r>
            <w:r>
              <w:rPr>
                <w:rFonts w:hint="default" w:ascii="Times New Roman" w:hAnsi="Times New Roman" w:cs="Times New Roman"/>
                <w:color w:val="000000"/>
                <w:sz w:val="24"/>
                <w:lang w:bidi="ar"/>
              </w:rPr>
              <w:t>，本项目所在区域为</w:t>
            </w:r>
            <w:r>
              <w:rPr>
                <w:rFonts w:hint="eastAsia" w:ascii="Times New Roman" w:hAnsi="Times New Roman" w:cs="Times New Roman"/>
                <w:color w:val="000000"/>
                <w:sz w:val="24"/>
                <w:lang w:val="en-US" w:eastAsia="zh-CN" w:bidi="ar"/>
              </w:rPr>
              <w:t>不</w:t>
            </w:r>
            <w:r>
              <w:rPr>
                <w:rFonts w:hint="default" w:ascii="Times New Roman" w:hAnsi="Times New Roman" w:cs="Times New Roman"/>
                <w:color w:val="000000"/>
                <w:sz w:val="24"/>
                <w:lang w:bidi="ar"/>
              </w:rPr>
              <w:t>达标区</w:t>
            </w:r>
            <w:r>
              <w:rPr>
                <w:rFonts w:hint="default" w:ascii="Times New Roman" w:hAnsi="Times New Roman" w:cs="Times New Roman"/>
                <w:color w:val="000000"/>
                <w:sz w:val="24"/>
                <w:highlight w:val="none"/>
              </w:rPr>
              <w:t>。</w:t>
            </w:r>
          </w:p>
          <w:p w14:paraId="65F11640">
            <w:pPr>
              <w:keepNext w:val="0"/>
              <w:keepLines w:val="0"/>
              <w:suppressLineNumbers w:val="0"/>
              <w:spacing w:before="0" w:beforeAutospacing="0" w:after="0" w:afterAutospacing="0"/>
              <w:ind w:left="0" w:right="0" w:firstLine="422" w:firstLineChars="200"/>
              <w:jc w:val="center"/>
              <w:rPr>
                <w:rFonts w:hint="default"/>
                <w:b/>
                <w:color w:val="auto"/>
                <w:szCs w:val="21"/>
                <w:lang w:bidi="ar"/>
              </w:rPr>
            </w:pPr>
            <w:r>
              <w:rPr>
                <w:rFonts w:hint="default"/>
                <w:b/>
                <w:color w:val="auto"/>
                <w:szCs w:val="21"/>
                <w:lang w:bidi="ar"/>
              </w:rPr>
              <w:t>表</w:t>
            </w:r>
            <w:r>
              <w:rPr>
                <w:rFonts w:hint="eastAsia"/>
                <w:b/>
                <w:color w:val="auto"/>
                <w:szCs w:val="21"/>
                <w:lang w:bidi="ar"/>
              </w:rPr>
              <w:t>3-</w:t>
            </w:r>
            <w:r>
              <w:rPr>
                <w:rFonts w:hint="eastAsia"/>
                <w:b/>
                <w:color w:val="auto"/>
                <w:szCs w:val="21"/>
                <w:lang w:val="en-US" w:eastAsia="zh-CN" w:bidi="ar"/>
              </w:rPr>
              <w:t>3</w:t>
            </w:r>
            <w:r>
              <w:rPr>
                <w:rFonts w:hint="default"/>
                <w:b/>
                <w:color w:val="auto"/>
                <w:szCs w:val="21"/>
                <w:lang w:bidi="ar"/>
              </w:rPr>
              <w:t xml:space="preserve">    空气质量达标区判定结果表</w:t>
            </w:r>
          </w:p>
          <w:tbl>
            <w:tblPr>
              <w:tblStyle w:val="26"/>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65"/>
              <w:gridCol w:w="3397"/>
              <w:gridCol w:w="1147"/>
              <w:gridCol w:w="1090"/>
              <w:gridCol w:w="866"/>
              <w:gridCol w:w="584"/>
            </w:tblGrid>
            <w:tr w14:paraId="68BD1C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544" w:type="pct"/>
                  <w:tcBorders>
                    <w:tl2br w:val="nil"/>
                    <w:tr2bl w:val="nil"/>
                  </w:tcBorders>
                  <w:noWrap w:val="0"/>
                  <w:vAlign w:val="center"/>
                </w:tcPr>
                <w:p w14:paraId="458C873E">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污染物</w:t>
                  </w:r>
                </w:p>
              </w:tc>
              <w:tc>
                <w:tcPr>
                  <w:tcW w:w="2136" w:type="pct"/>
                  <w:tcBorders>
                    <w:tl2br w:val="nil"/>
                    <w:tr2bl w:val="nil"/>
                  </w:tcBorders>
                  <w:noWrap w:val="0"/>
                  <w:vAlign w:val="center"/>
                </w:tcPr>
                <w:p w14:paraId="7B416047">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评价指标</w:t>
                  </w:r>
                </w:p>
              </w:tc>
              <w:tc>
                <w:tcPr>
                  <w:tcW w:w="721" w:type="pct"/>
                  <w:tcBorders>
                    <w:tl2br w:val="nil"/>
                    <w:tr2bl w:val="nil"/>
                  </w:tcBorders>
                  <w:noWrap w:val="0"/>
                  <w:vAlign w:val="center"/>
                </w:tcPr>
                <w:p w14:paraId="57C8BA9E">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现状浓度</w:t>
                  </w:r>
                </w:p>
                <w:p w14:paraId="5CC56456">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eastAsia" w:ascii="Times New Roman" w:hAnsi="Times New Roman" w:eastAsia="宋体"/>
                      <w:caps w:val="0"/>
                      <w:color w:val="auto"/>
                      <w:sz w:val="14"/>
                      <w:highlight w:val="none"/>
                      <w:lang w:eastAsia="zh-CN"/>
                    </w:rPr>
                  </w:pPr>
                  <w:r>
                    <w:rPr>
                      <w:rFonts w:hint="eastAsia" w:ascii="Times New Roman" w:hAnsi="Times New Roman" w:eastAsia="宋体"/>
                      <w:caps w:val="0"/>
                      <w:color w:val="auto"/>
                      <w:sz w:val="21"/>
                      <w:highlight w:val="none"/>
                    </w:rPr>
                    <w:t>（</w:t>
                  </w:r>
                  <w:r>
                    <w:rPr>
                      <w:rFonts w:hint="default" w:ascii="Times New Roman" w:hAnsi="Times New Roman" w:eastAsia="宋体"/>
                      <w:caps w:val="0"/>
                      <w:color w:val="auto"/>
                      <w:sz w:val="21"/>
                      <w:highlight w:val="none"/>
                    </w:rPr>
                    <w:t>µg/m</w:t>
                  </w:r>
                  <w:r>
                    <w:rPr>
                      <w:rFonts w:hint="default" w:ascii="Times New Roman" w:hAnsi="Times New Roman" w:eastAsia="宋体"/>
                      <w:caps w:val="0"/>
                      <w:color w:val="auto"/>
                      <w:position w:val="7"/>
                      <w:sz w:val="14"/>
                      <w:highlight w:val="none"/>
                    </w:rPr>
                    <w:t>3</w:t>
                  </w:r>
                  <w:r>
                    <w:rPr>
                      <w:rFonts w:hint="eastAsia" w:ascii="Times New Roman" w:hAnsi="Times New Roman" w:eastAsia="宋体"/>
                      <w:caps w:val="0"/>
                      <w:color w:val="auto"/>
                      <w:sz w:val="21"/>
                      <w:highlight w:val="none"/>
                      <w:lang w:eastAsia="zh-CN"/>
                    </w:rPr>
                    <w:t>）</w:t>
                  </w:r>
                </w:p>
              </w:tc>
              <w:tc>
                <w:tcPr>
                  <w:tcW w:w="685" w:type="pct"/>
                  <w:tcBorders>
                    <w:tl2br w:val="nil"/>
                    <w:tr2bl w:val="nil"/>
                  </w:tcBorders>
                  <w:noWrap w:val="0"/>
                  <w:vAlign w:val="center"/>
                </w:tcPr>
                <w:p w14:paraId="6707911A">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标准值</w:t>
                  </w:r>
                </w:p>
                <w:p w14:paraId="28AF378F">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eastAsia" w:ascii="Times New Roman" w:hAnsi="Times New Roman" w:eastAsia="宋体"/>
                      <w:caps w:val="0"/>
                      <w:color w:val="auto"/>
                      <w:sz w:val="14"/>
                      <w:highlight w:val="none"/>
                      <w:lang w:eastAsia="zh-CN"/>
                    </w:rPr>
                  </w:pPr>
                  <w:r>
                    <w:rPr>
                      <w:rFonts w:hint="eastAsia" w:ascii="Times New Roman" w:hAnsi="Times New Roman" w:eastAsia="宋体"/>
                      <w:caps w:val="0"/>
                      <w:color w:val="auto"/>
                      <w:sz w:val="21"/>
                      <w:highlight w:val="none"/>
                    </w:rPr>
                    <w:t>（</w:t>
                  </w:r>
                  <w:r>
                    <w:rPr>
                      <w:rFonts w:hint="default" w:ascii="Times New Roman" w:hAnsi="Times New Roman" w:eastAsia="宋体"/>
                      <w:caps w:val="0"/>
                      <w:color w:val="auto"/>
                      <w:sz w:val="21"/>
                      <w:highlight w:val="none"/>
                    </w:rPr>
                    <w:t>µg/m</w:t>
                  </w:r>
                  <w:r>
                    <w:rPr>
                      <w:rFonts w:hint="default" w:ascii="Times New Roman" w:hAnsi="Times New Roman" w:eastAsia="宋体"/>
                      <w:caps w:val="0"/>
                      <w:color w:val="auto"/>
                      <w:position w:val="7"/>
                      <w:sz w:val="14"/>
                      <w:highlight w:val="none"/>
                    </w:rPr>
                    <w:t>3</w:t>
                  </w:r>
                  <w:r>
                    <w:rPr>
                      <w:rFonts w:hint="eastAsia" w:ascii="Times New Roman" w:hAnsi="Times New Roman" w:eastAsia="宋体"/>
                      <w:caps w:val="0"/>
                      <w:color w:val="auto"/>
                      <w:sz w:val="21"/>
                      <w:highlight w:val="none"/>
                      <w:lang w:eastAsia="zh-CN"/>
                    </w:rPr>
                    <w:t>）</w:t>
                  </w:r>
                </w:p>
              </w:tc>
              <w:tc>
                <w:tcPr>
                  <w:tcW w:w="544" w:type="pct"/>
                  <w:tcBorders>
                    <w:tl2br w:val="nil"/>
                    <w:tr2bl w:val="nil"/>
                  </w:tcBorders>
                  <w:noWrap w:val="0"/>
                  <w:vAlign w:val="center"/>
                </w:tcPr>
                <w:p w14:paraId="1E2C54AA">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占标率</w:t>
                  </w:r>
                </w:p>
                <w:p w14:paraId="40D5284D">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eastAsia" w:ascii="Times New Roman" w:hAnsi="Times New Roman" w:eastAsia="宋体"/>
                      <w:caps w:val="0"/>
                      <w:color w:val="auto"/>
                      <w:sz w:val="21"/>
                      <w:highlight w:val="none"/>
                      <w:lang w:eastAsia="zh-CN"/>
                    </w:rPr>
                    <w:t>（</w:t>
                  </w:r>
                  <w:r>
                    <w:rPr>
                      <w:rFonts w:hint="default" w:ascii="Times New Roman" w:hAnsi="Times New Roman" w:eastAsia="宋体"/>
                      <w:caps w:val="0"/>
                      <w:color w:val="auto"/>
                      <w:sz w:val="21"/>
                      <w:highlight w:val="none"/>
                    </w:rPr>
                    <w:t>%</w:t>
                  </w:r>
                  <w:r>
                    <w:rPr>
                      <w:rFonts w:hint="eastAsia" w:ascii="Times New Roman" w:hAnsi="Times New Roman" w:eastAsia="宋体"/>
                      <w:caps w:val="0"/>
                      <w:color w:val="auto"/>
                      <w:sz w:val="21"/>
                      <w:highlight w:val="none"/>
                      <w:lang w:eastAsia="zh-CN"/>
                    </w:rPr>
                    <w:t>）</w:t>
                  </w:r>
                </w:p>
              </w:tc>
              <w:tc>
                <w:tcPr>
                  <w:tcW w:w="367" w:type="pct"/>
                  <w:tcBorders>
                    <w:tl2br w:val="nil"/>
                    <w:tr2bl w:val="nil"/>
                  </w:tcBorders>
                  <w:noWrap w:val="0"/>
                  <w:vAlign w:val="center"/>
                </w:tcPr>
                <w:p w14:paraId="1DC23D70">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达标</w:t>
                  </w:r>
                </w:p>
                <w:p w14:paraId="5194F07B">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情况</w:t>
                  </w:r>
                </w:p>
              </w:tc>
            </w:tr>
            <w:tr w14:paraId="725E01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44" w:type="pct"/>
                  <w:tcBorders>
                    <w:tl2br w:val="nil"/>
                    <w:tr2bl w:val="nil"/>
                  </w:tcBorders>
                  <w:noWrap w:val="0"/>
                  <w:vAlign w:val="center"/>
                </w:tcPr>
                <w:p w14:paraId="5C0651AA">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14"/>
                      <w:highlight w:val="none"/>
                    </w:rPr>
                  </w:pPr>
                  <w:r>
                    <w:rPr>
                      <w:rFonts w:hint="default" w:ascii="Times New Roman" w:hAnsi="Times New Roman" w:eastAsia="宋体"/>
                      <w:caps w:val="0"/>
                      <w:color w:val="auto"/>
                      <w:position w:val="2"/>
                      <w:sz w:val="21"/>
                      <w:highlight w:val="none"/>
                    </w:rPr>
                    <w:t>SO</w:t>
                  </w:r>
                  <w:r>
                    <w:rPr>
                      <w:rFonts w:hint="default" w:ascii="Times New Roman" w:hAnsi="Times New Roman" w:eastAsia="宋体"/>
                      <w:caps w:val="0"/>
                      <w:color w:val="auto"/>
                      <w:sz w:val="14"/>
                      <w:highlight w:val="none"/>
                    </w:rPr>
                    <w:t>2</w:t>
                  </w:r>
                </w:p>
              </w:tc>
              <w:tc>
                <w:tcPr>
                  <w:tcW w:w="2136" w:type="pct"/>
                  <w:tcBorders>
                    <w:tl2br w:val="nil"/>
                    <w:tr2bl w:val="nil"/>
                  </w:tcBorders>
                  <w:noWrap w:val="0"/>
                  <w:vAlign w:val="center"/>
                </w:tcPr>
                <w:p w14:paraId="704BBDFA">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年平均质量浓度</w:t>
                  </w:r>
                </w:p>
              </w:tc>
              <w:tc>
                <w:tcPr>
                  <w:tcW w:w="1177" w:type="dxa"/>
                  <w:tcBorders>
                    <w:tl2br w:val="nil"/>
                    <w:tr2bl w:val="nil"/>
                  </w:tcBorders>
                  <w:noWrap w:val="0"/>
                  <w:vAlign w:val="center"/>
                </w:tcPr>
                <w:p w14:paraId="6A98034C">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6</w:t>
                  </w:r>
                </w:p>
              </w:tc>
              <w:tc>
                <w:tcPr>
                  <w:tcW w:w="685" w:type="pct"/>
                  <w:tcBorders>
                    <w:tl2br w:val="nil"/>
                    <w:tr2bl w:val="nil"/>
                  </w:tcBorders>
                  <w:noWrap w:val="0"/>
                  <w:vAlign w:val="center"/>
                </w:tcPr>
                <w:p w14:paraId="7FC4D7A0">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60</w:t>
                  </w:r>
                </w:p>
              </w:tc>
              <w:tc>
                <w:tcPr>
                  <w:tcW w:w="888" w:type="dxa"/>
                  <w:tcBorders>
                    <w:tl2br w:val="nil"/>
                    <w:tr2bl w:val="nil"/>
                  </w:tcBorders>
                  <w:noWrap w:val="0"/>
                  <w:vAlign w:val="center"/>
                </w:tcPr>
                <w:p w14:paraId="0B095FCD">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10.00</w:t>
                  </w:r>
                </w:p>
              </w:tc>
              <w:tc>
                <w:tcPr>
                  <w:tcW w:w="367" w:type="pct"/>
                  <w:tcBorders>
                    <w:tl2br w:val="nil"/>
                    <w:tr2bl w:val="nil"/>
                  </w:tcBorders>
                  <w:noWrap w:val="0"/>
                  <w:vAlign w:val="center"/>
                </w:tcPr>
                <w:p w14:paraId="6FB88765">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达标</w:t>
                  </w:r>
                </w:p>
              </w:tc>
            </w:tr>
            <w:tr w14:paraId="168BD6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2" w:hRule="atLeast"/>
                <w:jc w:val="center"/>
              </w:trPr>
              <w:tc>
                <w:tcPr>
                  <w:tcW w:w="544" w:type="pct"/>
                  <w:tcBorders>
                    <w:tl2br w:val="nil"/>
                    <w:tr2bl w:val="nil"/>
                  </w:tcBorders>
                  <w:noWrap w:val="0"/>
                  <w:vAlign w:val="center"/>
                </w:tcPr>
                <w:p w14:paraId="5F394FCB">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14"/>
                      <w:highlight w:val="none"/>
                    </w:rPr>
                  </w:pPr>
                  <w:r>
                    <w:rPr>
                      <w:rFonts w:hint="default" w:ascii="Times New Roman" w:hAnsi="Times New Roman" w:eastAsia="宋体"/>
                      <w:caps w:val="0"/>
                      <w:color w:val="auto"/>
                      <w:position w:val="2"/>
                      <w:sz w:val="21"/>
                      <w:highlight w:val="none"/>
                    </w:rPr>
                    <w:t>NO</w:t>
                  </w:r>
                  <w:r>
                    <w:rPr>
                      <w:rFonts w:hint="default" w:ascii="Times New Roman" w:hAnsi="Times New Roman" w:eastAsia="宋体"/>
                      <w:caps w:val="0"/>
                      <w:color w:val="auto"/>
                      <w:sz w:val="14"/>
                      <w:highlight w:val="none"/>
                    </w:rPr>
                    <w:t>2</w:t>
                  </w:r>
                </w:p>
              </w:tc>
              <w:tc>
                <w:tcPr>
                  <w:tcW w:w="2136" w:type="pct"/>
                  <w:tcBorders>
                    <w:tl2br w:val="nil"/>
                    <w:tr2bl w:val="nil"/>
                  </w:tcBorders>
                  <w:noWrap w:val="0"/>
                  <w:vAlign w:val="center"/>
                </w:tcPr>
                <w:p w14:paraId="29CF3D4E">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年平均质量浓度</w:t>
                  </w:r>
                </w:p>
              </w:tc>
              <w:tc>
                <w:tcPr>
                  <w:tcW w:w="1177" w:type="dxa"/>
                  <w:tcBorders>
                    <w:tl2br w:val="nil"/>
                    <w:tr2bl w:val="nil"/>
                  </w:tcBorders>
                  <w:noWrap w:val="0"/>
                  <w:vAlign w:val="center"/>
                </w:tcPr>
                <w:p w14:paraId="18BA896B">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37</w:t>
                  </w:r>
                </w:p>
              </w:tc>
              <w:tc>
                <w:tcPr>
                  <w:tcW w:w="685" w:type="pct"/>
                  <w:tcBorders>
                    <w:tl2br w:val="nil"/>
                    <w:tr2bl w:val="nil"/>
                  </w:tcBorders>
                  <w:noWrap w:val="0"/>
                  <w:vAlign w:val="center"/>
                </w:tcPr>
                <w:p w14:paraId="2E674BA5">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40</w:t>
                  </w:r>
                </w:p>
              </w:tc>
              <w:tc>
                <w:tcPr>
                  <w:tcW w:w="888" w:type="dxa"/>
                  <w:tcBorders>
                    <w:tl2br w:val="nil"/>
                    <w:tr2bl w:val="nil"/>
                  </w:tcBorders>
                  <w:noWrap w:val="0"/>
                  <w:vAlign w:val="center"/>
                </w:tcPr>
                <w:p w14:paraId="1F28DA7A">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92.50</w:t>
                  </w:r>
                </w:p>
              </w:tc>
              <w:tc>
                <w:tcPr>
                  <w:tcW w:w="367" w:type="pct"/>
                  <w:tcBorders>
                    <w:tl2br w:val="nil"/>
                    <w:tr2bl w:val="nil"/>
                  </w:tcBorders>
                  <w:noWrap w:val="0"/>
                  <w:vAlign w:val="center"/>
                </w:tcPr>
                <w:p w14:paraId="0DC33C23">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达标</w:t>
                  </w:r>
                </w:p>
              </w:tc>
            </w:tr>
            <w:tr w14:paraId="6E4B0CF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2" w:hRule="atLeast"/>
                <w:jc w:val="center"/>
              </w:trPr>
              <w:tc>
                <w:tcPr>
                  <w:tcW w:w="544" w:type="pct"/>
                  <w:tcBorders>
                    <w:tl2br w:val="nil"/>
                    <w:tr2bl w:val="nil"/>
                  </w:tcBorders>
                  <w:noWrap w:val="0"/>
                  <w:vAlign w:val="center"/>
                </w:tcPr>
                <w:p w14:paraId="2CAA5A9F">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position w:val="2"/>
                      <w:sz w:val="21"/>
                      <w:highlight w:val="none"/>
                    </w:rPr>
                  </w:pPr>
                  <w:r>
                    <w:rPr>
                      <w:rFonts w:hint="eastAsia" w:ascii="Times New Roman" w:hAnsi="Times New Roman" w:eastAsia="宋体"/>
                      <w:caps w:val="0"/>
                      <w:color w:val="auto"/>
                      <w:position w:val="2"/>
                      <w:sz w:val="21"/>
                      <w:highlight w:val="none"/>
                    </w:rPr>
                    <w:t>CO</w:t>
                  </w:r>
                </w:p>
              </w:tc>
              <w:tc>
                <w:tcPr>
                  <w:tcW w:w="2136" w:type="pct"/>
                  <w:tcBorders>
                    <w:tl2br w:val="nil"/>
                    <w:tr2bl w:val="nil"/>
                  </w:tcBorders>
                  <w:noWrap w:val="0"/>
                  <w:vAlign w:val="center"/>
                </w:tcPr>
                <w:p w14:paraId="38BA5176">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eastAsia" w:ascii="Times New Roman" w:hAnsi="Times New Roman" w:eastAsia="宋体"/>
                      <w:caps w:val="0"/>
                      <w:color w:val="auto"/>
                      <w:sz w:val="21"/>
                      <w:highlight w:val="none"/>
                    </w:rPr>
                    <w:t>24h平均第95百分位数</w:t>
                  </w:r>
                </w:p>
              </w:tc>
              <w:tc>
                <w:tcPr>
                  <w:tcW w:w="1177" w:type="dxa"/>
                  <w:tcBorders>
                    <w:tl2br w:val="nil"/>
                    <w:tr2bl w:val="nil"/>
                  </w:tcBorders>
                  <w:noWrap w:val="0"/>
                  <w:vAlign w:val="center"/>
                </w:tcPr>
                <w:p w14:paraId="37CEF32B">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1000</w:t>
                  </w:r>
                </w:p>
              </w:tc>
              <w:tc>
                <w:tcPr>
                  <w:tcW w:w="685" w:type="pct"/>
                  <w:tcBorders>
                    <w:tl2br w:val="nil"/>
                    <w:tr2bl w:val="nil"/>
                  </w:tcBorders>
                  <w:noWrap w:val="0"/>
                  <w:vAlign w:val="center"/>
                </w:tcPr>
                <w:p w14:paraId="5048E356">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4</w:t>
                  </w:r>
                  <w:r>
                    <w:rPr>
                      <w:rFonts w:hint="eastAsia" w:ascii="Times New Roman" w:hAnsi="Times New Roman" w:eastAsia="宋体"/>
                      <w:caps w:val="0"/>
                      <w:color w:val="auto"/>
                      <w:sz w:val="21"/>
                      <w:highlight w:val="none"/>
                    </w:rPr>
                    <w:t>000</w:t>
                  </w:r>
                </w:p>
              </w:tc>
              <w:tc>
                <w:tcPr>
                  <w:tcW w:w="888" w:type="dxa"/>
                  <w:tcBorders>
                    <w:tl2br w:val="nil"/>
                    <w:tr2bl w:val="nil"/>
                  </w:tcBorders>
                  <w:noWrap w:val="0"/>
                  <w:vAlign w:val="center"/>
                </w:tcPr>
                <w:p w14:paraId="2371434D">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25.00</w:t>
                  </w:r>
                </w:p>
              </w:tc>
              <w:tc>
                <w:tcPr>
                  <w:tcW w:w="367" w:type="pct"/>
                  <w:tcBorders>
                    <w:tl2br w:val="nil"/>
                    <w:tr2bl w:val="nil"/>
                  </w:tcBorders>
                  <w:noWrap w:val="0"/>
                  <w:vAlign w:val="center"/>
                </w:tcPr>
                <w:p w14:paraId="7E837658">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达标</w:t>
                  </w:r>
                </w:p>
              </w:tc>
            </w:tr>
            <w:tr w14:paraId="0A911E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2" w:hRule="atLeast"/>
                <w:jc w:val="center"/>
              </w:trPr>
              <w:tc>
                <w:tcPr>
                  <w:tcW w:w="544" w:type="pct"/>
                  <w:tcBorders>
                    <w:tl2br w:val="nil"/>
                    <w:tr2bl w:val="nil"/>
                  </w:tcBorders>
                  <w:noWrap w:val="0"/>
                  <w:vAlign w:val="center"/>
                </w:tcPr>
                <w:p w14:paraId="55AE8F22">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14"/>
                      <w:highlight w:val="none"/>
                    </w:rPr>
                  </w:pPr>
                  <w:r>
                    <w:rPr>
                      <w:rFonts w:hint="default" w:ascii="Times New Roman" w:hAnsi="Times New Roman" w:eastAsia="宋体"/>
                      <w:caps w:val="0"/>
                      <w:color w:val="auto"/>
                      <w:position w:val="2"/>
                      <w:sz w:val="21"/>
                      <w:highlight w:val="none"/>
                    </w:rPr>
                    <w:t>O</w:t>
                  </w:r>
                  <w:r>
                    <w:rPr>
                      <w:rFonts w:hint="default" w:ascii="Times New Roman" w:hAnsi="Times New Roman" w:eastAsia="宋体"/>
                      <w:caps w:val="0"/>
                      <w:color w:val="auto"/>
                      <w:sz w:val="14"/>
                      <w:highlight w:val="none"/>
                    </w:rPr>
                    <w:t>3</w:t>
                  </w:r>
                  <w:r>
                    <w:rPr>
                      <w:rFonts w:hint="eastAsia" w:ascii="Times New Roman" w:hAnsi="Times New Roman" w:eastAsia="宋体"/>
                      <w:caps w:val="0"/>
                      <w:color w:val="auto"/>
                      <w:sz w:val="14"/>
                      <w:highlight w:val="none"/>
                    </w:rPr>
                    <w:t>-8h</w:t>
                  </w:r>
                </w:p>
              </w:tc>
              <w:tc>
                <w:tcPr>
                  <w:tcW w:w="2136" w:type="pct"/>
                  <w:tcBorders>
                    <w:tl2br w:val="nil"/>
                    <w:tr2bl w:val="nil"/>
                  </w:tcBorders>
                  <w:noWrap w:val="0"/>
                  <w:vAlign w:val="center"/>
                </w:tcPr>
                <w:p w14:paraId="36F38534">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eastAsia" w:ascii="Times New Roman" w:hAnsi="Times New Roman" w:eastAsia="宋体"/>
                      <w:caps w:val="0"/>
                      <w:color w:val="auto"/>
                      <w:sz w:val="21"/>
                      <w:highlight w:val="none"/>
                    </w:rPr>
                    <w:t>日最大8h</w:t>
                  </w:r>
                  <w:r>
                    <w:rPr>
                      <w:rFonts w:hint="default" w:ascii="Times New Roman" w:hAnsi="Times New Roman" w:eastAsia="宋体"/>
                      <w:caps w:val="0"/>
                      <w:color w:val="auto"/>
                      <w:sz w:val="21"/>
                      <w:highlight w:val="none"/>
                    </w:rPr>
                    <w:t>平均</w:t>
                  </w:r>
                  <w:r>
                    <w:rPr>
                      <w:rFonts w:hint="eastAsia" w:ascii="Times New Roman" w:hAnsi="Times New Roman" w:eastAsia="宋体"/>
                      <w:caps w:val="0"/>
                      <w:color w:val="auto"/>
                      <w:sz w:val="21"/>
                      <w:highlight w:val="none"/>
                    </w:rPr>
                    <w:t>第90百分位数</w:t>
                  </w:r>
                </w:p>
              </w:tc>
              <w:tc>
                <w:tcPr>
                  <w:tcW w:w="1177" w:type="dxa"/>
                  <w:tcBorders>
                    <w:tl2br w:val="nil"/>
                    <w:tr2bl w:val="nil"/>
                  </w:tcBorders>
                  <w:noWrap w:val="0"/>
                  <w:vAlign w:val="center"/>
                </w:tcPr>
                <w:p w14:paraId="6E6006B2">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46</w:t>
                  </w:r>
                </w:p>
              </w:tc>
              <w:tc>
                <w:tcPr>
                  <w:tcW w:w="685" w:type="pct"/>
                  <w:tcBorders>
                    <w:tl2br w:val="nil"/>
                    <w:tr2bl w:val="nil"/>
                  </w:tcBorders>
                  <w:noWrap w:val="0"/>
                  <w:vAlign w:val="center"/>
                </w:tcPr>
                <w:p w14:paraId="0D2CBB6B">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160</w:t>
                  </w:r>
                </w:p>
              </w:tc>
              <w:tc>
                <w:tcPr>
                  <w:tcW w:w="888" w:type="dxa"/>
                  <w:tcBorders>
                    <w:tl2br w:val="nil"/>
                    <w:tr2bl w:val="nil"/>
                  </w:tcBorders>
                  <w:noWrap w:val="0"/>
                  <w:vAlign w:val="center"/>
                </w:tcPr>
                <w:p w14:paraId="531EFC81">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28.75</w:t>
                  </w:r>
                </w:p>
              </w:tc>
              <w:tc>
                <w:tcPr>
                  <w:tcW w:w="367" w:type="pct"/>
                  <w:tcBorders>
                    <w:tl2br w:val="nil"/>
                    <w:tr2bl w:val="nil"/>
                  </w:tcBorders>
                  <w:noWrap w:val="0"/>
                  <w:vAlign w:val="center"/>
                </w:tcPr>
                <w:p w14:paraId="218BF7BA">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达标</w:t>
                  </w:r>
                </w:p>
              </w:tc>
            </w:tr>
            <w:tr w14:paraId="5D6AE6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2" w:hRule="atLeast"/>
                <w:jc w:val="center"/>
              </w:trPr>
              <w:tc>
                <w:tcPr>
                  <w:tcW w:w="544" w:type="pct"/>
                  <w:tcBorders>
                    <w:tl2br w:val="nil"/>
                    <w:tr2bl w:val="nil"/>
                  </w:tcBorders>
                  <w:noWrap w:val="0"/>
                  <w:vAlign w:val="center"/>
                </w:tcPr>
                <w:p w14:paraId="0B530F57">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14"/>
                      <w:highlight w:val="none"/>
                    </w:rPr>
                  </w:pPr>
                  <w:r>
                    <w:rPr>
                      <w:rFonts w:hint="default" w:ascii="Times New Roman" w:hAnsi="Times New Roman" w:eastAsia="宋体"/>
                      <w:caps w:val="0"/>
                      <w:color w:val="auto"/>
                      <w:position w:val="2"/>
                      <w:sz w:val="21"/>
                      <w:highlight w:val="none"/>
                    </w:rPr>
                    <w:t>PM</w:t>
                  </w:r>
                  <w:r>
                    <w:rPr>
                      <w:rFonts w:hint="default" w:ascii="Times New Roman" w:hAnsi="Times New Roman" w:eastAsia="宋体"/>
                      <w:caps w:val="0"/>
                      <w:color w:val="auto"/>
                      <w:sz w:val="14"/>
                      <w:highlight w:val="none"/>
                    </w:rPr>
                    <w:t>10</w:t>
                  </w:r>
                </w:p>
              </w:tc>
              <w:tc>
                <w:tcPr>
                  <w:tcW w:w="2136" w:type="pct"/>
                  <w:tcBorders>
                    <w:tl2br w:val="nil"/>
                    <w:tr2bl w:val="nil"/>
                  </w:tcBorders>
                  <w:noWrap w:val="0"/>
                  <w:vAlign w:val="center"/>
                </w:tcPr>
                <w:p w14:paraId="74F0E953">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年平均质量浓度</w:t>
                  </w:r>
                </w:p>
              </w:tc>
              <w:tc>
                <w:tcPr>
                  <w:tcW w:w="1177" w:type="dxa"/>
                  <w:tcBorders>
                    <w:tl2br w:val="nil"/>
                    <w:tr2bl w:val="nil"/>
                  </w:tcBorders>
                  <w:noWrap w:val="0"/>
                  <w:vAlign w:val="center"/>
                </w:tcPr>
                <w:p w14:paraId="520B2E51">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86</w:t>
                  </w:r>
                </w:p>
              </w:tc>
              <w:tc>
                <w:tcPr>
                  <w:tcW w:w="685" w:type="pct"/>
                  <w:tcBorders>
                    <w:tl2br w:val="nil"/>
                    <w:tr2bl w:val="nil"/>
                  </w:tcBorders>
                  <w:noWrap w:val="0"/>
                  <w:vAlign w:val="center"/>
                </w:tcPr>
                <w:p w14:paraId="4B6EEAFF">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70</w:t>
                  </w:r>
                </w:p>
              </w:tc>
              <w:tc>
                <w:tcPr>
                  <w:tcW w:w="888" w:type="dxa"/>
                  <w:tcBorders>
                    <w:tl2br w:val="nil"/>
                    <w:tr2bl w:val="nil"/>
                  </w:tcBorders>
                  <w:noWrap w:val="0"/>
                  <w:vAlign w:val="center"/>
                </w:tcPr>
                <w:p w14:paraId="4158699B">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122.86</w:t>
                  </w:r>
                </w:p>
              </w:tc>
              <w:tc>
                <w:tcPr>
                  <w:tcW w:w="367" w:type="pct"/>
                  <w:tcBorders>
                    <w:tl2br w:val="nil"/>
                    <w:tr2bl w:val="nil"/>
                  </w:tcBorders>
                  <w:noWrap w:val="0"/>
                  <w:vAlign w:val="center"/>
                </w:tcPr>
                <w:p w14:paraId="4D136543">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eastAsia" w:ascii="Times New Roman" w:hAnsi="Times New Roman" w:eastAsia="宋体"/>
                      <w:caps w:val="0"/>
                      <w:color w:val="auto"/>
                      <w:sz w:val="21"/>
                      <w:highlight w:val="none"/>
                      <w:lang w:val="en-US" w:eastAsia="zh-CN"/>
                    </w:rPr>
                    <w:t>超标</w:t>
                  </w:r>
                </w:p>
              </w:tc>
            </w:tr>
            <w:tr w14:paraId="31A723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2" w:hRule="atLeast"/>
                <w:jc w:val="center"/>
              </w:trPr>
              <w:tc>
                <w:tcPr>
                  <w:tcW w:w="544" w:type="pct"/>
                  <w:tcBorders>
                    <w:tl2br w:val="nil"/>
                    <w:tr2bl w:val="nil"/>
                  </w:tcBorders>
                  <w:noWrap w:val="0"/>
                  <w:vAlign w:val="center"/>
                </w:tcPr>
                <w:p w14:paraId="0E5B644B">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14"/>
                      <w:highlight w:val="none"/>
                    </w:rPr>
                  </w:pPr>
                  <w:r>
                    <w:rPr>
                      <w:rFonts w:hint="default" w:ascii="Times New Roman" w:hAnsi="Times New Roman" w:eastAsia="宋体"/>
                      <w:caps w:val="0"/>
                      <w:color w:val="auto"/>
                      <w:position w:val="2"/>
                      <w:sz w:val="21"/>
                      <w:highlight w:val="none"/>
                    </w:rPr>
                    <w:t>PM</w:t>
                  </w:r>
                  <w:r>
                    <w:rPr>
                      <w:rFonts w:hint="default" w:ascii="Times New Roman" w:hAnsi="Times New Roman" w:eastAsia="宋体"/>
                      <w:caps w:val="0"/>
                      <w:color w:val="auto"/>
                      <w:sz w:val="14"/>
                      <w:highlight w:val="none"/>
                    </w:rPr>
                    <w:t>2.5</w:t>
                  </w:r>
                </w:p>
              </w:tc>
              <w:tc>
                <w:tcPr>
                  <w:tcW w:w="2136" w:type="pct"/>
                  <w:tcBorders>
                    <w:tl2br w:val="nil"/>
                    <w:tr2bl w:val="nil"/>
                  </w:tcBorders>
                  <w:noWrap w:val="0"/>
                  <w:vAlign w:val="center"/>
                </w:tcPr>
                <w:p w14:paraId="2059AF48">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年平均质量浓度</w:t>
                  </w:r>
                </w:p>
              </w:tc>
              <w:tc>
                <w:tcPr>
                  <w:tcW w:w="1177" w:type="dxa"/>
                  <w:tcBorders>
                    <w:tl2br w:val="nil"/>
                    <w:tr2bl w:val="nil"/>
                  </w:tcBorders>
                  <w:noWrap w:val="0"/>
                  <w:vAlign w:val="center"/>
                </w:tcPr>
                <w:p w14:paraId="1650B2C0">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65</w:t>
                  </w:r>
                </w:p>
              </w:tc>
              <w:tc>
                <w:tcPr>
                  <w:tcW w:w="685" w:type="pct"/>
                  <w:tcBorders>
                    <w:tl2br w:val="nil"/>
                    <w:tr2bl w:val="nil"/>
                  </w:tcBorders>
                  <w:noWrap w:val="0"/>
                  <w:vAlign w:val="center"/>
                </w:tcPr>
                <w:p w14:paraId="2E2D26CE">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rPr>
                  </w:pPr>
                  <w:r>
                    <w:rPr>
                      <w:rFonts w:hint="default" w:ascii="Times New Roman" w:hAnsi="Times New Roman" w:eastAsia="宋体"/>
                      <w:caps w:val="0"/>
                      <w:color w:val="auto"/>
                      <w:sz w:val="21"/>
                      <w:highlight w:val="none"/>
                    </w:rPr>
                    <w:t>35</w:t>
                  </w:r>
                </w:p>
              </w:tc>
              <w:tc>
                <w:tcPr>
                  <w:tcW w:w="888" w:type="dxa"/>
                  <w:tcBorders>
                    <w:tl2br w:val="nil"/>
                    <w:tr2bl w:val="nil"/>
                  </w:tcBorders>
                  <w:noWrap w:val="0"/>
                  <w:vAlign w:val="center"/>
                </w:tcPr>
                <w:p w14:paraId="7862887E">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caps w:val="0"/>
                      <w:color w:val="auto"/>
                      <w:sz w:val="21"/>
                      <w:highlight w:val="none"/>
                      <w:lang w:val="en-US" w:eastAsia="zh-CN"/>
                    </w:rPr>
                  </w:pPr>
                  <w:r>
                    <w:rPr>
                      <w:rFonts w:hint="eastAsia" w:eastAsia="宋体"/>
                      <w:caps w:val="0"/>
                      <w:color w:val="auto"/>
                      <w:sz w:val="21"/>
                      <w:highlight w:val="none"/>
                      <w:lang w:val="en-US" w:eastAsia="zh-CN"/>
                    </w:rPr>
                    <w:t>185.71</w:t>
                  </w:r>
                </w:p>
              </w:tc>
              <w:tc>
                <w:tcPr>
                  <w:tcW w:w="367" w:type="pct"/>
                  <w:tcBorders>
                    <w:tl2br w:val="nil"/>
                    <w:tr2bl w:val="nil"/>
                  </w:tcBorders>
                  <w:noWrap w:val="0"/>
                  <w:vAlign w:val="center"/>
                </w:tcPr>
                <w:p w14:paraId="7403BC8D">
                  <w:pPr>
                    <w:pStyle w:val="68"/>
                    <w:keepNext w:val="0"/>
                    <w:keepLines w:val="0"/>
                    <w:pageBreakBefore w:val="0"/>
                    <w:suppressLineNumbers w:val="0"/>
                    <w:kinsoku/>
                    <w:wordWrap/>
                    <w:bidi w:val="0"/>
                    <w:adjustRightInd/>
                    <w:snapToGrid/>
                    <w:spacing w:before="0" w:beforeAutospacing="0" w:after="0" w:afterAutospacing="0" w:line="240" w:lineRule="auto"/>
                    <w:ind w:left="0" w:right="0" w:firstLine="0" w:firstLineChars="0"/>
                    <w:jc w:val="center"/>
                    <w:rPr>
                      <w:rFonts w:hint="eastAsia" w:ascii="Times New Roman" w:hAnsi="Times New Roman" w:eastAsia="宋体"/>
                      <w:caps w:val="0"/>
                      <w:color w:val="auto"/>
                      <w:sz w:val="21"/>
                      <w:highlight w:val="none"/>
                      <w:lang w:eastAsia="zh-CN"/>
                    </w:rPr>
                  </w:pPr>
                  <w:r>
                    <w:rPr>
                      <w:rFonts w:hint="eastAsia" w:ascii="Times New Roman" w:hAnsi="Times New Roman" w:eastAsia="宋体"/>
                      <w:caps w:val="0"/>
                      <w:color w:val="auto"/>
                      <w:sz w:val="21"/>
                      <w:highlight w:val="none"/>
                      <w:lang w:val="en-US" w:eastAsia="zh-CN"/>
                    </w:rPr>
                    <w:t>超标</w:t>
                  </w:r>
                </w:p>
              </w:tc>
            </w:tr>
          </w:tbl>
          <w:p w14:paraId="0AE58C49">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color w:val="auto"/>
                <w:sz w:val="24"/>
                <w:szCs w:val="24"/>
                <w:lang w:val="en-US" w:eastAsia="zh-CN"/>
              </w:rPr>
            </w:pPr>
            <w:r>
              <w:rPr>
                <w:rFonts w:hint="eastAsia" w:cs="Times New Roman"/>
                <w:b/>
                <w:bCs/>
                <w:color w:val="auto"/>
                <w:sz w:val="24"/>
                <w:szCs w:val="24"/>
                <w:lang w:val="en-US" w:eastAsia="zh-CN"/>
              </w:rPr>
              <w:t>4.2</w:t>
            </w:r>
            <w:r>
              <w:rPr>
                <w:rFonts w:hint="default" w:ascii="Times New Roman" w:hAnsi="Times New Roman" w:eastAsia="宋体"/>
                <w:b/>
                <w:color w:val="auto"/>
                <w:sz w:val="24"/>
                <w:highlight w:val="none"/>
              </w:rPr>
              <w:t>评价区环境空气质量现状补充监测</w:t>
            </w:r>
          </w:p>
          <w:p w14:paraId="0D6CE8B1">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rPr>
                <w:rFonts w:hint="default" w:ascii="Times New Roman" w:hAnsi="Times New Roman" w:eastAsia="宋体"/>
                <w:bCs/>
                <w:caps w:val="0"/>
                <w:color w:val="auto"/>
                <w:kern w:val="21"/>
                <w:sz w:val="24"/>
                <w:highlight w:val="none"/>
              </w:rPr>
            </w:pPr>
            <w:r>
              <w:rPr>
                <w:rFonts w:hint="default" w:ascii="Times New Roman" w:hAnsi="Times New Roman" w:eastAsia="宋体"/>
                <w:bCs/>
                <w:caps w:val="0"/>
                <w:color w:val="auto"/>
                <w:kern w:val="21"/>
                <w:sz w:val="24"/>
                <w:highlight w:val="none"/>
              </w:rPr>
              <w:t>本项目</w:t>
            </w:r>
            <w:r>
              <w:rPr>
                <w:rFonts w:hint="eastAsia" w:ascii="Times New Roman" w:hAnsi="Times New Roman" w:eastAsia="宋体"/>
                <w:bCs/>
                <w:caps w:val="0"/>
                <w:color w:val="auto"/>
                <w:kern w:val="21"/>
                <w:sz w:val="24"/>
                <w:highlight w:val="none"/>
                <w:lang w:eastAsia="zh-CN"/>
              </w:rPr>
              <w:t>涉及</w:t>
            </w:r>
            <w:r>
              <w:rPr>
                <w:rFonts w:hint="default" w:ascii="Times New Roman" w:hAnsi="Times New Roman" w:eastAsia="宋体"/>
                <w:bCs/>
                <w:caps w:val="0"/>
                <w:color w:val="auto"/>
                <w:kern w:val="21"/>
                <w:sz w:val="24"/>
                <w:highlight w:val="none"/>
              </w:rPr>
              <w:t>的特征因子为</w:t>
            </w:r>
            <w:r>
              <w:rPr>
                <w:rFonts w:hint="eastAsia" w:ascii="Times New Roman" w:hAnsi="Times New Roman" w:eastAsia="宋体"/>
                <w:bCs/>
                <w:caps w:val="0"/>
                <w:color w:val="auto"/>
                <w:kern w:val="21"/>
                <w:sz w:val="24"/>
                <w:highlight w:val="none"/>
                <w:lang w:val="en-US" w:eastAsia="zh-CN"/>
              </w:rPr>
              <w:t>TSP</w:t>
            </w:r>
            <w:r>
              <w:rPr>
                <w:rFonts w:hint="default" w:ascii="Times New Roman" w:hAnsi="Times New Roman" w:eastAsia="宋体"/>
                <w:bCs/>
                <w:caps w:val="0"/>
                <w:color w:val="auto"/>
                <w:kern w:val="21"/>
                <w:sz w:val="24"/>
                <w:highlight w:val="none"/>
              </w:rPr>
              <w:t>，</w:t>
            </w:r>
            <w:r>
              <w:rPr>
                <w:rFonts w:hint="eastAsia" w:ascii="Times New Roman" w:hAnsi="Times New Roman" w:eastAsia="宋体"/>
                <w:bCs/>
                <w:caps w:val="0"/>
                <w:color w:val="auto"/>
                <w:kern w:val="21"/>
                <w:sz w:val="24"/>
                <w:szCs w:val="24"/>
                <w:highlight w:val="none"/>
                <w:lang w:val="en-US" w:eastAsia="zh-CN"/>
              </w:rPr>
              <w:t>本次评价</w:t>
            </w:r>
            <w:r>
              <w:rPr>
                <w:rFonts w:hint="eastAsia" w:ascii="Times New Roman" w:hAnsi="Times New Roman" w:eastAsia="宋体"/>
                <w:bCs/>
                <w:caps w:val="0"/>
                <w:color w:val="auto"/>
                <w:kern w:val="21"/>
                <w:sz w:val="24"/>
                <w:highlight w:val="none"/>
                <w:lang w:val="en-US" w:eastAsia="zh-CN"/>
              </w:rPr>
              <w:t>TSP</w:t>
            </w:r>
            <w:r>
              <w:rPr>
                <w:rFonts w:hint="eastAsia" w:ascii="Times New Roman" w:hAnsi="Times New Roman" w:eastAsia="宋体"/>
                <w:bCs/>
                <w:caps w:val="0"/>
                <w:color w:val="auto"/>
                <w:kern w:val="21"/>
                <w:sz w:val="24"/>
                <w:szCs w:val="24"/>
                <w:highlight w:val="none"/>
                <w:lang w:val="en-US" w:eastAsia="zh-CN"/>
              </w:rPr>
              <w:t>采用现场监测，监测点位于本</w:t>
            </w:r>
            <w:r>
              <w:rPr>
                <w:rFonts w:hint="eastAsia"/>
                <w:bCs/>
                <w:caps w:val="0"/>
                <w:color w:val="auto"/>
                <w:kern w:val="21"/>
                <w:sz w:val="24"/>
                <w:szCs w:val="24"/>
                <w:highlight w:val="none"/>
                <w:lang w:val="en-US" w:eastAsia="zh-CN"/>
              </w:rPr>
              <w:t>项目</w:t>
            </w:r>
            <w:r>
              <w:rPr>
                <w:rFonts w:hint="eastAsia" w:ascii="Times New Roman" w:hAnsi="Times New Roman" w:eastAsia="宋体"/>
                <w:bCs/>
                <w:caps w:val="0"/>
                <w:color w:val="auto"/>
                <w:kern w:val="21"/>
                <w:sz w:val="24"/>
                <w:szCs w:val="24"/>
                <w:highlight w:val="none"/>
                <w:lang w:val="en-US" w:eastAsia="zh-CN"/>
              </w:rPr>
              <w:t>东侧约</w:t>
            </w:r>
            <w:r>
              <w:rPr>
                <w:rFonts w:hint="eastAsia"/>
                <w:bCs/>
                <w:caps w:val="0"/>
                <w:color w:val="auto"/>
                <w:kern w:val="21"/>
                <w:sz w:val="24"/>
                <w:szCs w:val="24"/>
                <w:highlight w:val="none"/>
                <w:lang w:val="en-US" w:eastAsia="zh-CN"/>
              </w:rPr>
              <w:t>540</w:t>
            </w:r>
            <w:r>
              <w:rPr>
                <w:rFonts w:hint="eastAsia" w:ascii="Times New Roman" w:hAnsi="Times New Roman" w:eastAsia="宋体"/>
                <w:bCs/>
                <w:caps w:val="0"/>
                <w:color w:val="auto"/>
                <w:kern w:val="21"/>
                <w:sz w:val="24"/>
                <w:szCs w:val="24"/>
                <w:highlight w:val="none"/>
                <w:lang w:val="en-US" w:eastAsia="zh-CN"/>
              </w:rPr>
              <w:t>m处，监测时间为2026年</w:t>
            </w:r>
            <w:r>
              <w:rPr>
                <w:rFonts w:hint="eastAsia"/>
                <w:bCs/>
                <w:caps w:val="0"/>
                <w:color w:val="auto"/>
                <w:kern w:val="21"/>
                <w:sz w:val="24"/>
                <w:szCs w:val="24"/>
                <w:highlight w:val="none"/>
                <w:lang w:val="en-US" w:eastAsia="zh-CN"/>
              </w:rPr>
              <w:t>6</w:t>
            </w:r>
            <w:r>
              <w:rPr>
                <w:rFonts w:hint="eastAsia" w:ascii="Times New Roman" w:hAnsi="Times New Roman" w:eastAsia="宋体"/>
                <w:bCs/>
                <w:caps w:val="0"/>
                <w:color w:val="auto"/>
                <w:kern w:val="21"/>
                <w:sz w:val="24"/>
                <w:szCs w:val="24"/>
                <w:highlight w:val="none"/>
                <w:lang w:val="en-US" w:eastAsia="zh-CN"/>
              </w:rPr>
              <w:t>月</w:t>
            </w:r>
            <w:r>
              <w:rPr>
                <w:rFonts w:hint="eastAsia"/>
                <w:bCs/>
                <w:caps w:val="0"/>
                <w:color w:val="auto"/>
                <w:kern w:val="21"/>
                <w:sz w:val="24"/>
                <w:szCs w:val="24"/>
                <w:highlight w:val="none"/>
                <w:lang w:val="en-US" w:eastAsia="zh-CN"/>
              </w:rPr>
              <w:t>6日起至2026年6</w:t>
            </w:r>
            <w:r>
              <w:rPr>
                <w:rFonts w:hint="eastAsia" w:ascii="Times New Roman" w:hAnsi="Times New Roman" w:eastAsia="宋体"/>
                <w:bCs/>
                <w:caps w:val="0"/>
                <w:color w:val="auto"/>
                <w:kern w:val="21"/>
                <w:sz w:val="24"/>
                <w:szCs w:val="24"/>
                <w:highlight w:val="none"/>
                <w:lang w:val="en-US" w:eastAsia="zh-CN"/>
              </w:rPr>
              <w:t>月</w:t>
            </w:r>
            <w:r>
              <w:rPr>
                <w:rFonts w:hint="eastAsia"/>
                <w:bCs/>
                <w:caps w:val="0"/>
                <w:color w:val="auto"/>
                <w:kern w:val="21"/>
                <w:sz w:val="24"/>
                <w:szCs w:val="24"/>
                <w:highlight w:val="none"/>
                <w:lang w:val="en-US" w:eastAsia="zh-CN"/>
              </w:rPr>
              <w:t>9</w:t>
            </w:r>
            <w:r>
              <w:rPr>
                <w:rFonts w:hint="eastAsia" w:ascii="Times New Roman" w:hAnsi="Times New Roman" w:eastAsia="宋体"/>
                <w:bCs/>
                <w:caps w:val="0"/>
                <w:color w:val="auto"/>
                <w:kern w:val="21"/>
                <w:sz w:val="24"/>
                <w:szCs w:val="24"/>
                <w:highlight w:val="none"/>
                <w:lang w:val="en-US" w:eastAsia="zh-CN"/>
              </w:rPr>
              <w:t>日，</w:t>
            </w:r>
            <w:r>
              <w:rPr>
                <w:rFonts w:hint="eastAsia" w:ascii="Times New Roman" w:hAnsi="Times New Roman" w:eastAsia="宋体"/>
                <w:bCs/>
                <w:caps w:val="0"/>
                <w:color w:val="auto"/>
                <w:kern w:val="21"/>
                <w:sz w:val="24"/>
                <w:highlight w:val="none"/>
                <w:lang w:val="en-US" w:eastAsia="zh-CN"/>
              </w:rPr>
              <w:t>监测点</w:t>
            </w:r>
            <w:r>
              <w:rPr>
                <w:rFonts w:hint="default" w:ascii="Times New Roman" w:hAnsi="Times New Roman" w:eastAsia="宋体"/>
                <w:bCs/>
                <w:caps w:val="0"/>
                <w:color w:val="auto"/>
                <w:kern w:val="21"/>
                <w:sz w:val="24"/>
                <w:highlight w:val="none"/>
              </w:rPr>
              <w:t>位详见</w:t>
            </w:r>
            <w:r>
              <w:rPr>
                <w:rFonts w:hint="eastAsia" w:ascii="Times New Roman" w:hAnsi="Times New Roman" w:eastAsia="宋体"/>
                <w:b/>
                <w:bCs w:val="0"/>
                <w:caps w:val="0"/>
                <w:color w:val="auto"/>
                <w:kern w:val="21"/>
                <w:sz w:val="24"/>
                <w:highlight w:val="none"/>
                <w:lang w:val="en-US" w:eastAsia="zh-CN"/>
              </w:rPr>
              <w:t>附图10</w:t>
            </w:r>
            <w:r>
              <w:rPr>
                <w:rFonts w:hint="eastAsia" w:ascii="Times New Roman" w:hAnsi="Times New Roman" w:eastAsia="宋体"/>
                <w:bCs/>
                <w:caps w:val="0"/>
                <w:color w:val="auto"/>
                <w:kern w:val="21"/>
                <w:sz w:val="24"/>
                <w:highlight w:val="none"/>
              </w:rPr>
              <w:t>。</w:t>
            </w:r>
          </w:p>
          <w:p w14:paraId="427C53B6">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rPr>
                <w:rFonts w:hint="default" w:ascii="Times New Roman" w:hAnsi="Times New Roman" w:eastAsia="宋体"/>
                <w:bCs/>
                <w:caps w:val="0"/>
                <w:color w:val="auto"/>
                <w:kern w:val="21"/>
                <w:sz w:val="24"/>
                <w:highlight w:val="none"/>
              </w:rPr>
            </w:pPr>
            <w:r>
              <w:rPr>
                <w:rFonts w:hint="eastAsia" w:ascii="Times New Roman" w:hAnsi="Times New Roman" w:eastAsia="宋体"/>
                <w:bCs/>
                <w:caps w:val="0"/>
                <w:color w:val="auto"/>
                <w:kern w:val="21"/>
                <w:sz w:val="24"/>
                <w:highlight w:val="none"/>
              </w:rPr>
              <w:t>①</w:t>
            </w:r>
            <w:r>
              <w:rPr>
                <w:rFonts w:hint="default" w:ascii="Times New Roman" w:hAnsi="Times New Roman" w:eastAsia="宋体"/>
                <w:bCs/>
                <w:caps w:val="0"/>
                <w:color w:val="auto"/>
                <w:kern w:val="21"/>
                <w:sz w:val="24"/>
                <w:highlight w:val="none"/>
              </w:rPr>
              <w:t>监测布点：项目监测点位布设情况见表3-</w:t>
            </w:r>
            <w:r>
              <w:rPr>
                <w:rFonts w:hint="eastAsia"/>
                <w:bCs/>
                <w:caps w:val="0"/>
                <w:color w:val="auto"/>
                <w:kern w:val="21"/>
                <w:sz w:val="24"/>
                <w:highlight w:val="none"/>
                <w:lang w:val="en-US" w:eastAsia="zh-CN"/>
              </w:rPr>
              <w:t>4</w:t>
            </w:r>
            <w:r>
              <w:rPr>
                <w:rFonts w:hint="default" w:ascii="Times New Roman" w:hAnsi="Times New Roman" w:eastAsia="宋体"/>
                <w:bCs/>
                <w:caps w:val="0"/>
                <w:color w:val="auto"/>
                <w:kern w:val="21"/>
                <w:sz w:val="24"/>
                <w:highlight w:val="none"/>
              </w:rPr>
              <w:t>。</w:t>
            </w:r>
          </w:p>
          <w:p w14:paraId="57E1AFAF">
            <w:pPr>
              <w:keepNext w:val="0"/>
              <w:keepLines w:val="0"/>
              <w:pageBreakBefore w:val="0"/>
              <w:widowControl/>
              <w:suppressLineNumbers w:val="0"/>
              <w:kinsoku/>
              <w:wordWrap/>
              <w:bidi w:val="0"/>
              <w:adjustRightInd/>
              <w:snapToGrid/>
              <w:spacing w:before="0" w:beforeAutospacing="0" w:after="0" w:afterAutospacing="0"/>
              <w:ind w:left="0" w:right="0"/>
              <w:jc w:val="center"/>
              <w:rPr>
                <w:rFonts w:hint="default" w:ascii="Times New Roman" w:hAnsi="Times New Roman" w:eastAsia="宋体"/>
                <w:b/>
                <w:bCs/>
                <w:caps w:val="0"/>
                <w:color w:val="auto"/>
                <w:szCs w:val="21"/>
                <w:highlight w:val="none"/>
              </w:rPr>
            </w:pPr>
            <w:r>
              <w:rPr>
                <w:rFonts w:hint="default" w:ascii="Times New Roman" w:hAnsi="Times New Roman" w:eastAsia="宋体"/>
                <w:b/>
                <w:bCs/>
                <w:caps w:val="0"/>
                <w:color w:val="auto"/>
                <w:szCs w:val="21"/>
                <w:highlight w:val="none"/>
              </w:rPr>
              <w:t>表3-</w:t>
            </w:r>
            <w:r>
              <w:rPr>
                <w:rFonts w:hint="eastAsia"/>
                <w:b/>
                <w:bCs/>
                <w:caps w:val="0"/>
                <w:color w:val="auto"/>
                <w:szCs w:val="21"/>
                <w:highlight w:val="none"/>
                <w:lang w:val="en-US" w:eastAsia="zh-CN"/>
              </w:rPr>
              <w:t>4</w:t>
            </w:r>
            <w:r>
              <w:rPr>
                <w:rFonts w:hint="default" w:ascii="Times New Roman" w:hAnsi="Times New Roman" w:eastAsia="宋体"/>
                <w:b/>
                <w:bCs/>
                <w:caps w:val="0"/>
                <w:color w:val="auto"/>
                <w:szCs w:val="21"/>
                <w:highlight w:val="none"/>
              </w:rPr>
              <w:t xml:space="preserve">  </w:t>
            </w:r>
            <w:r>
              <w:rPr>
                <w:rFonts w:hint="eastAsia" w:ascii="Times New Roman" w:hAnsi="Times New Roman" w:eastAsia="宋体"/>
                <w:b/>
                <w:bCs/>
                <w:caps w:val="0"/>
                <w:color w:val="auto"/>
                <w:szCs w:val="21"/>
                <w:highlight w:val="none"/>
              </w:rPr>
              <w:t xml:space="preserve">  </w:t>
            </w:r>
            <w:r>
              <w:rPr>
                <w:rFonts w:hint="default" w:ascii="Times New Roman" w:hAnsi="Times New Roman" w:eastAsia="宋体"/>
                <w:b/>
                <w:bCs/>
                <w:caps w:val="0"/>
                <w:color w:val="auto"/>
                <w:szCs w:val="21"/>
                <w:highlight w:val="none"/>
              </w:rPr>
              <w:t>环境空气现状监测布点情况表</w:t>
            </w:r>
          </w:p>
          <w:tbl>
            <w:tblPr>
              <w:tblStyle w:val="26"/>
              <w:tblW w:w="47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1723"/>
              <w:gridCol w:w="2541"/>
              <w:gridCol w:w="1095"/>
              <w:gridCol w:w="1048"/>
            </w:tblGrid>
            <w:tr w14:paraId="3526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93" w:type="pct"/>
                  <w:noWrap w:val="0"/>
                  <w:vAlign w:val="center"/>
                </w:tcPr>
                <w:p w14:paraId="1739D4F2">
                  <w:pPr>
                    <w:keepNext w:val="0"/>
                    <w:keepLines w:val="0"/>
                    <w:pageBreakBefore w:val="0"/>
                    <w:suppressLineNumbers w:val="0"/>
                    <w:kinsoku/>
                    <w:wordWrap/>
                    <w:bidi w:val="0"/>
                    <w:adjustRightInd/>
                    <w:snapToGrid/>
                    <w:spacing w:before="0" w:beforeAutospacing="0" w:after="0" w:afterAutospacing="0"/>
                    <w:ind w:left="-63" w:leftChars="-30" w:right="-63" w:rightChars="-30"/>
                    <w:jc w:val="center"/>
                    <w:rPr>
                      <w:rFonts w:hint="default" w:ascii="Times New Roman" w:hAnsi="Times New Roman" w:eastAsia="宋体"/>
                      <w:b w:val="0"/>
                      <w:bCs/>
                      <w:caps w:val="0"/>
                      <w:color w:val="auto"/>
                      <w:highlight w:val="none"/>
                      <w:lang w:val="en-US" w:eastAsia="zh-CN"/>
                    </w:rPr>
                  </w:pPr>
                  <w:r>
                    <w:rPr>
                      <w:rFonts w:hint="eastAsia" w:ascii="Times New Roman" w:hAnsi="Times New Roman" w:eastAsia="宋体"/>
                      <w:b w:val="0"/>
                      <w:bCs/>
                      <w:caps w:val="0"/>
                      <w:color w:val="auto"/>
                      <w:highlight w:val="none"/>
                      <w:lang w:val="en-US" w:eastAsia="zh-CN"/>
                    </w:rPr>
                    <w:t>监测点编号</w:t>
                  </w:r>
                </w:p>
              </w:tc>
              <w:tc>
                <w:tcPr>
                  <w:tcW w:w="1131" w:type="pct"/>
                  <w:noWrap w:val="0"/>
                  <w:vAlign w:val="center"/>
                </w:tcPr>
                <w:p w14:paraId="09F86C23">
                  <w:pPr>
                    <w:keepNext w:val="0"/>
                    <w:keepLines w:val="0"/>
                    <w:pageBreakBefore w:val="0"/>
                    <w:suppressLineNumbers w:val="0"/>
                    <w:kinsoku/>
                    <w:wordWrap/>
                    <w:bidi w:val="0"/>
                    <w:adjustRightInd/>
                    <w:snapToGrid/>
                    <w:spacing w:before="0" w:beforeAutospacing="0" w:after="0" w:afterAutospacing="0"/>
                    <w:ind w:left="-63" w:leftChars="-30" w:right="-63" w:rightChars="-30"/>
                    <w:jc w:val="center"/>
                    <w:rPr>
                      <w:rFonts w:hint="default" w:ascii="Times New Roman" w:hAnsi="Times New Roman" w:eastAsia="宋体"/>
                      <w:b w:val="0"/>
                      <w:bCs/>
                      <w:caps w:val="0"/>
                      <w:color w:val="auto"/>
                      <w:highlight w:val="none"/>
                    </w:rPr>
                  </w:pPr>
                  <w:r>
                    <w:rPr>
                      <w:rFonts w:hint="default" w:ascii="Times New Roman" w:hAnsi="Times New Roman" w:eastAsia="宋体"/>
                      <w:b w:val="0"/>
                      <w:bCs/>
                      <w:caps w:val="0"/>
                      <w:color w:val="auto"/>
                      <w:highlight w:val="none"/>
                    </w:rPr>
                    <w:t>监测点坐标</w:t>
                  </w:r>
                </w:p>
              </w:tc>
              <w:tc>
                <w:tcPr>
                  <w:tcW w:w="1668" w:type="pct"/>
                  <w:noWrap w:val="0"/>
                  <w:vAlign w:val="center"/>
                </w:tcPr>
                <w:p w14:paraId="619556B2">
                  <w:pPr>
                    <w:keepNext w:val="0"/>
                    <w:keepLines w:val="0"/>
                    <w:pageBreakBefore w:val="0"/>
                    <w:suppressLineNumbers w:val="0"/>
                    <w:kinsoku/>
                    <w:wordWrap/>
                    <w:bidi w:val="0"/>
                    <w:adjustRightInd/>
                    <w:snapToGrid/>
                    <w:spacing w:before="0" w:beforeAutospacing="0" w:after="0" w:afterAutospacing="0"/>
                    <w:ind w:left="-63" w:leftChars="-30" w:right="-63" w:rightChars="-30"/>
                    <w:jc w:val="center"/>
                    <w:rPr>
                      <w:rFonts w:hint="default" w:ascii="Times New Roman" w:hAnsi="Times New Roman" w:eastAsia="宋体"/>
                      <w:b w:val="0"/>
                      <w:bCs/>
                      <w:caps w:val="0"/>
                      <w:color w:val="auto"/>
                      <w:highlight w:val="none"/>
                    </w:rPr>
                  </w:pPr>
                  <w:r>
                    <w:rPr>
                      <w:rFonts w:hint="default" w:ascii="Times New Roman" w:hAnsi="Times New Roman" w:eastAsia="宋体"/>
                      <w:b w:val="0"/>
                      <w:bCs/>
                      <w:caps w:val="0"/>
                      <w:color w:val="auto"/>
                      <w:highlight w:val="none"/>
                    </w:rPr>
                    <w:t>相对位置</w:t>
                  </w:r>
                </w:p>
              </w:tc>
              <w:tc>
                <w:tcPr>
                  <w:tcW w:w="718" w:type="pct"/>
                  <w:noWrap w:val="0"/>
                  <w:vAlign w:val="center"/>
                </w:tcPr>
                <w:p w14:paraId="5D92A4AF">
                  <w:pPr>
                    <w:keepNext w:val="0"/>
                    <w:keepLines w:val="0"/>
                    <w:pageBreakBefore w:val="0"/>
                    <w:suppressLineNumbers w:val="0"/>
                    <w:kinsoku/>
                    <w:wordWrap/>
                    <w:bidi w:val="0"/>
                    <w:adjustRightInd/>
                    <w:snapToGrid/>
                    <w:spacing w:before="0" w:beforeAutospacing="0" w:after="0" w:afterAutospacing="0"/>
                    <w:ind w:left="-63" w:leftChars="-30" w:right="-63" w:rightChars="-30"/>
                    <w:jc w:val="center"/>
                    <w:rPr>
                      <w:rFonts w:hint="default" w:ascii="Times New Roman" w:hAnsi="Times New Roman" w:eastAsia="宋体"/>
                      <w:b w:val="0"/>
                      <w:bCs/>
                      <w:caps w:val="0"/>
                      <w:color w:val="auto"/>
                      <w:highlight w:val="none"/>
                    </w:rPr>
                  </w:pPr>
                  <w:r>
                    <w:rPr>
                      <w:rFonts w:hint="default" w:ascii="Times New Roman" w:hAnsi="Times New Roman" w:eastAsia="宋体"/>
                      <w:b w:val="0"/>
                      <w:bCs/>
                      <w:caps w:val="0"/>
                      <w:color w:val="auto"/>
                      <w:highlight w:val="none"/>
                    </w:rPr>
                    <w:t>监测项目</w:t>
                  </w:r>
                </w:p>
              </w:tc>
              <w:tc>
                <w:tcPr>
                  <w:tcW w:w="688" w:type="pct"/>
                  <w:noWrap w:val="0"/>
                  <w:vAlign w:val="center"/>
                </w:tcPr>
                <w:p w14:paraId="02D3891E">
                  <w:pPr>
                    <w:keepNext w:val="0"/>
                    <w:keepLines w:val="0"/>
                    <w:pageBreakBefore w:val="0"/>
                    <w:suppressLineNumbers w:val="0"/>
                    <w:kinsoku/>
                    <w:wordWrap/>
                    <w:bidi w:val="0"/>
                    <w:adjustRightInd/>
                    <w:snapToGrid/>
                    <w:spacing w:before="0" w:beforeAutospacing="0" w:after="0" w:afterAutospacing="0"/>
                    <w:ind w:left="-63" w:leftChars="-30" w:right="-63" w:rightChars="-30"/>
                    <w:jc w:val="center"/>
                    <w:rPr>
                      <w:rFonts w:hint="eastAsia" w:ascii="Times New Roman" w:hAnsi="Times New Roman" w:eastAsia="宋体"/>
                      <w:b w:val="0"/>
                      <w:bCs/>
                      <w:caps w:val="0"/>
                      <w:color w:val="auto"/>
                      <w:highlight w:val="none"/>
                      <w:lang w:val="en-US" w:eastAsia="zh-CN"/>
                    </w:rPr>
                  </w:pPr>
                  <w:r>
                    <w:rPr>
                      <w:rFonts w:hint="eastAsia" w:ascii="Times New Roman" w:hAnsi="Times New Roman" w:eastAsia="宋体"/>
                      <w:b w:val="0"/>
                      <w:bCs/>
                      <w:caps w:val="0"/>
                      <w:color w:val="auto"/>
                      <w:highlight w:val="none"/>
                      <w:lang w:val="en-US" w:eastAsia="zh-CN"/>
                    </w:rPr>
                    <w:t>备注</w:t>
                  </w:r>
                </w:p>
              </w:tc>
            </w:tr>
            <w:tr w14:paraId="7A0B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93" w:type="pct"/>
                  <w:noWrap w:val="0"/>
                  <w:vAlign w:val="center"/>
                </w:tcPr>
                <w:p w14:paraId="29DB6710">
                  <w:pPr>
                    <w:keepNext w:val="0"/>
                    <w:keepLines w:val="0"/>
                    <w:pageBreakBefore w:val="0"/>
                    <w:suppressLineNumbers w:val="0"/>
                    <w:kinsoku/>
                    <w:wordWrap/>
                    <w:bidi w:val="0"/>
                    <w:adjustRightInd/>
                    <w:snapToGrid/>
                    <w:spacing w:before="0" w:beforeAutospacing="0" w:after="0" w:afterAutospacing="0"/>
                    <w:ind w:left="-63" w:leftChars="-30" w:right="-63" w:rightChars="-30"/>
                    <w:jc w:val="center"/>
                    <w:rPr>
                      <w:rFonts w:hint="default" w:ascii="Times New Roman" w:hAnsi="Times New Roman" w:eastAsia="宋体"/>
                      <w:caps w:val="0"/>
                      <w:color w:val="auto"/>
                      <w:highlight w:val="none"/>
                      <w:lang w:val="en-US" w:eastAsia="zh-CN"/>
                    </w:rPr>
                  </w:pPr>
                  <w:r>
                    <w:rPr>
                      <w:rFonts w:hint="eastAsia"/>
                      <w:caps w:val="0"/>
                      <w:color w:val="auto"/>
                      <w:highlight w:val="none"/>
                      <w:lang w:val="en-US" w:eastAsia="zh-CN"/>
                    </w:rPr>
                    <w:t>G1</w:t>
                  </w:r>
                </w:p>
              </w:tc>
              <w:tc>
                <w:tcPr>
                  <w:tcW w:w="1131" w:type="pct"/>
                  <w:noWrap w:val="0"/>
                  <w:vAlign w:val="center"/>
                </w:tcPr>
                <w:p w14:paraId="5C8030A9">
                  <w:pPr>
                    <w:keepNext w:val="0"/>
                    <w:keepLines w:val="0"/>
                    <w:pageBreakBefore w:val="0"/>
                    <w:suppressLineNumbers w:val="0"/>
                    <w:kinsoku/>
                    <w:wordWrap/>
                    <w:bidi w:val="0"/>
                    <w:adjustRightInd/>
                    <w:snapToGrid/>
                    <w:spacing w:before="0" w:beforeAutospacing="0" w:after="0" w:afterAutospacing="0"/>
                    <w:ind w:left="-63" w:leftChars="-30" w:right="-63" w:rightChars="-30"/>
                    <w:jc w:val="center"/>
                    <w:rPr>
                      <w:rFonts w:hint="eastAsia" w:ascii="Times New Roman" w:hAnsi="Times New Roman" w:eastAsia="宋体" w:cs="Times New Roman"/>
                      <w:color w:val="auto"/>
                      <w:sz w:val="21"/>
                      <w:szCs w:val="21"/>
                      <w:highlight w:val="none"/>
                      <w:lang w:val="en-US" w:eastAsia="zh-CN"/>
                    </w:rPr>
                  </w:pPr>
                </w:p>
              </w:tc>
              <w:tc>
                <w:tcPr>
                  <w:tcW w:w="1668" w:type="pct"/>
                  <w:noWrap w:val="0"/>
                  <w:vAlign w:val="center"/>
                </w:tcPr>
                <w:p w14:paraId="4A23489E">
                  <w:pPr>
                    <w:keepNext w:val="0"/>
                    <w:keepLines w:val="0"/>
                    <w:pageBreakBefore w:val="0"/>
                    <w:suppressLineNumbers w:val="0"/>
                    <w:kinsoku/>
                    <w:wordWrap/>
                    <w:bidi w:val="0"/>
                    <w:adjustRightInd/>
                    <w:snapToGrid/>
                    <w:spacing w:before="0" w:beforeAutospacing="0" w:after="0" w:afterAutospacing="0"/>
                    <w:ind w:left="-63" w:leftChars="-30" w:right="-63" w:rightChars="-30"/>
                    <w:jc w:val="center"/>
                    <w:rPr>
                      <w:rFonts w:hint="eastAsia" w:ascii="Times New Roman" w:hAnsi="Times New Roman" w:eastAsia="宋体"/>
                      <w:caps w:val="0"/>
                      <w:color w:val="auto"/>
                      <w:kern w:val="2"/>
                      <w:sz w:val="21"/>
                      <w:szCs w:val="24"/>
                      <w:highlight w:val="none"/>
                      <w:lang w:val="en-US" w:eastAsia="zh-CN" w:bidi="ar-SA"/>
                    </w:rPr>
                  </w:pPr>
                  <w:r>
                    <w:rPr>
                      <w:rFonts w:hint="eastAsia" w:ascii="Times New Roman" w:hAnsi="Times New Roman" w:eastAsia="宋体"/>
                      <w:caps w:val="0"/>
                      <w:color w:val="auto"/>
                      <w:highlight w:val="none"/>
                      <w:lang w:val="en-US" w:eastAsia="zh-CN"/>
                    </w:rPr>
                    <w:t>项目东侧约</w:t>
                  </w:r>
                  <w:r>
                    <w:rPr>
                      <w:rFonts w:hint="eastAsia"/>
                      <w:caps w:val="0"/>
                      <w:color w:val="auto"/>
                      <w:highlight w:val="none"/>
                      <w:lang w:val="en-US" w:eastAsia="zh-CN"/>
                    </w:rPr>
                    <w:t>540</w:t>
                  </w:r>
                  <w:r>
                    <w:rPr>
                      <w:rFonts w:hint="eastAsia" w:ascii="Times New Roman" w:hAnsi="Times New Roman" w:eastAsia="宋体"/>
                      <w:caps w:val="0"/>
                      <w:color w:val="auto"/>
                      <w:highlight w:val="none"/>
                      <w:lang w:val="en-US" w:eastAsia="zh-CN"/>
                    </w:rPr>
                    <w:t>m处</w:t>
                  </w:r>
                </w:p>
              </w:tc>
              <w:tc>
                <w:tcPr>
                  <w:tcW w:w="718" w:type="pct"/>
                  <w:noWrap w:val="0"/>
                  <w:vAlign w:val="center"/>
                </w:tcPr>
                <w:p w14:paraId="15FE6F1A">
                  <w:pPr>
                    <w:keepNext w:val="0"/>
                    <w:keepLines w:val="0"/>
                    <w:pageBreakBefore w:val="0"/>
                    <w:suppressLineNumbers w:val="0"/>
                    <w:kinsoku/>
                    <w:wordWrap/>
                    <w:bidi w:val="0"/>
                    <w:adjustRightInd/>
                    <w:snapToGrid/>
                    <w:spacing w:before="0" w:beforeAutospacing="0" w:after="0" w:afterAutospacing="0"/>
                    <w:ind w:left="-63" w:leftChars="-30" w:right="-63" w:rightChars="-30"/>
                    <w:jc w:val="center"/>
                    <w:rPr>
                      <w:rFonts w:hint="default" w:ascii="Times New Roman" w:hAnsi="Times New Roman" w:eastAsia="宋体"/>
                      <w:caps w:val="0"/>
                      <w:color w:val="auto"/>
                      <w:kern w:val="2"/>
                      <w:sz w:val="21"/>
                      <w:szCs w:val="21"/>
                      <w:highlight w:val="none"/>
                      <w:lang w:val="en-US" w:eastAsia="zh-CN" w:bidi="ar-SA"/>
                    </w:rPr>
                  </w:pPr>
                  <w:r>
                    <w:rPr>
                      <w:rFonts w:hint="eastAsia" w:ascii="Times New Roman" w:hAnsi="Times New Roman" w:eastAsia="宋体"/>
                      <w:bCs/>
                      <w:caps w:val="0"/>
                      <w:color w:val="auto"/>
                      <w:highlight w:val="none"/>
                      <w:lang w:val="en-US" w:eastAsia="zh-CN"/>
                    </w:rPr>
                    <w:t>TSP</w:t>
                  </w:r>
                </w:p>
              </w:tc>
              <w:tc>
                <w:tcPr>
                  <w:tcW w:w="688" w:type="pct"/>
                  <w:noWrap w:val="0"/>
                  <w:vAlign w:val="center"/>
                </w:tcPr>
                <w:p w14:paraId="5E7B8EA7">
                  <w:pPr>
                    <w:keepNext w:val="0"/>
                    <w:keepLines w:val="0"/>
                    <w:pageBreakBefore w:val="0"/>
                    <w:suppressLineNumbers w:val="0"/>
                    <w:kinsoku/>
                    <w:wordWrap/>
                    <w:bidi w:val="0"/>
                    <w:adjustRightInd/>
                    <w:snapToGrid/>
                    <w:spacing w:before="0" w:beforeAutospacing="0" w:after="0" w:afterAutospacing="0"/>
                    <w:ind w:left="-63" w:leftChars="-30" w:right="-63" w:rightChars="-30"/>
                    <w:jc w:val="center"/>
                    <w:rPr>
                      <w:rFonts w:hint="default" w:ascii="Times New Roman" w:hAnsi="Times New Roman" w:eastAsia="宋体"/>
                      <w:bCs/>
                      <w:caps w:val="0"/>
                      <w:color w:val="auto"/>
                      <w:kern w:val="21"/>
                      <w:sz w:val="21"/>
                      <w:szCs w:val="21"/>
                      <w:highlight w:val="none"/>
                      <w:lang w:val="en-US" w:eastAsia="zh-CN"/>
                    </w:rPr>
                  </w:pPr>
                  <w:r>
                    <w:rPr>
                      <w:rFonts w:hint="eastAsia"/>
                      <w:bCs/>
                      <w:caps w:val="0"/>
                      <w:color w:val="auto"/>
                      <w:kern w:val="21"/>
                      <w:sz w:val="21"/>
                      <w:szCs w:val="21"/>
                      <w:highlight w:val="none"/>
                      <w:lang w:val="en-US" w:eastAsia="zh-CN"/>
                    </w:rPr>
                    <w:t>现场监测</w:t>
                  </w:r>
                </w:p>
              </w:tc>
            </w:tr>
          </w:tbl>
          <w:p w14:paraId="0D4B6F44">
            <w:pPr>
              <w:keepNext w:val="0"/>
              <w:keepLines w:val="0"/>
              <w:pageBreakBefore w:val="0"/>
              <w:suppressLineNumbers w:val="0"/>
              <w:kinsoku/>
              <w:wordWrap/>
              <w:bidi w:val="0"/>
              <w:adjustRightInd/>
              <w:snapToGrid/>
              <w:spacing w:before="120" w:beforeLines="50" w:beforeAutospacing="0" w:after="0" w:afterAutospacing="0" w:line="360" w:lineRule="auto"/>
              <w:ind w:left="0" w:right="0" w:firstLine="480" w:firstLineChars="200"/>
              <w:rPr>
                <w:rFonts w:hint="eastAsia" w:ascii="Times New Roman" w:hAnsi="Times New Roman" w:eastAsia="宋体"/>
                <w:bCs/>
                <w:caps w:val="0"/>
                <w:color w:val="auto"/>
                <w:kern w:val="21"/>
                <w:sz w:val="24"/>
                <w:highlight w:val="none"/>
                <w:lang w:val="en-US" w:eastAsia="zh-CN"/>
              </w:rPr>
            </w:pPr>
            <w:r>
              <w:rPr>
                <w:rFonts w:hint="eastAsia" w:ascii="Times New Roman" w:hAnsi="Times New Roman" w:eastAsia="宋体"/>
                <w:bCs/>
                <w:caps w:val="0"/>
                <w:color w:val="auto"/>
                <w:kern w:val="21"/>
                <w:sz w:val="24"/>
                <w:highlight w:val="none"/>
              </w:rPr>
              <w:t>②</w:t>
            </w:r>
            <w:r>
              <w:rPr>
                <w:rFonts w:hint="default" w:ascii="Times New Roman" w:hAnsi="Times New Roman" w:eastAsia="宋体"/>
                <w:bCs/>
                <w:caps w:val="0"/>
                <w:color w:val="auto"/>
                <w:kern w:val="21"/>
                <w:sz w:val="24"/>
                <w:highlight w:val="none"/>
              </w:rPr>
              <w:t>监测项目：</w:t>
            </w:r>
            <w:r>
              <w:rPr>
                <w:rFonts w:hint="eastAsia" w:ascii="Times New Roman" w:hAnsi="Times New Roman" w:eastAsia="宋体"/>
                <w:bCs/>
                <w:caps w:val="0"/>
                <w:color w:val="auto"/>
                <w:kern w:val="21"/>
                <w:sz w:val="24"/>
                <w:highlight w:val="none"/>
                <w:lang w:val="en-US" w:eastAsia="zh-CN"/>
              </w:rPr>
              <w:t>TSP</w:t>
            </w:r>
          </w:p>
          <w:p w14:paraId="3ACD80AA">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rPr>
                <w:rFonts w:hint="default" w:ascii="Times New Roman" w:hAnsi="Times New Roman" w:eastAsia="宋体" w:cs="Times New Roman"/>
                <w:bCs/>
                <w:caps w:val="0"/>
                <w:color w:val="auto"/>
                <w:kern w:val="21"/>
                <w:sz w:val="24"/>
                <w:highlight w:val="none"/>
                <w:lang w:val="en-US" w:eastAsia="zh-CN"/>
              </w:rPr>
            </w:pPr>
            <w:r>
              <w:rPr>
                <w:rFonts w:hint="eastAsia" w:ascii="Times New Roman" w:hAnsi="Times New Roman" w:eastAsia="宋体"/>
                <w:bCs/>
                <w:caps w:val="0"/>
                <w:color w:val="auto"/>
                <w:kern w:val="21"/>
                <w:sz w:val="24"/>
                <w:highlight w:val="none"/>
              </w:rPr>
              <w:t>监测单位：</w:t>
            </w:r>
            <w:r>
              <w:rPr>
                <w:rFonts w:hint="eastAsia" w:ascii="Times New Roman" w:hAnsi="Times New Roman" w:eastAsia="宋体" w:cs="Times New Roman"/>
                <w:bCs/>
                <w:caps w:val="0"/>
                <w:color w:val="auto"/>
                <w:kern w:val="21"/>
                <w:sz w:val="24"/>
                <w:highlight w:val="none"/>
                <w:lang w:val="en-US" w:eastAsia="zh-CN"/>
              </w:rPr>
              <w:t>新疆西域质信检验检测有限公司</w:t>
            </w:r>
          </w:p>
          <w:p w14:paraId="2020306C">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rPr>
                <w:rFonts w:hint="eastAsia" w:ascii="Times New Roman" w:hAnsi="Times New Roman" w:eastAsia="宋体"/>
                <w:bCs/>
                <w:caps w:val="0"/>
                <w:color w:val="auto"/>
                <w:kern w:val="21"/>
                <w:sz w:val="24"/>
                <w:highlight w:val="none"/>
              </w:rPr>
            </w:pPr>
            <w:r>
              <w:rPr>
                <w:rFonts w:hint="eastAsia" w:ascii="Times New Roman" w:hAnsi="Times New Roman" w:eastAsia="宋体"/>
                <w:bCs/>
                <w:caps w:val="0"/>
                <w:color w:val="auto"/>
                <w:kern w:val="21"/>
                <w:sz w:val="24"/>
                <w:highlight w:val="none"/>
              </w:rPr>
              <w:t>③</w:t>
            </w:r>
            <w:r>
              <w:rPr>
                <w:rFonts w:hint="default" w:ascii="Times New Roman" w:hAnsi="Times New Roman" w:eastAsia="宋体"/>
                <w:bCs/>
                <w:caps w:val="0"/>
                <w:color w:val="auto"/>
                <w:kern w:val="21"/>
                <w:sz w:val="24"/>
                <w:highlight w:val="none"/>
              </w:rPr>
              <w:t>监测时间和频率：</w:t>
            </w:r>
            <w:r>
              <w:rPr>
                <w:rFonts w:hint="eastAsia" w:ascii="Times New Roman" w:hAnsi="Times New Roman" w:eastAsia="宋体"/>
                <w:bCs/>
                <w:caps w:val="0"/>
                <w:color w:val="auto"/>
                <w:kern w:val="21"/>
                <w:sz w:val="24"/>
                <w:highlight w:val="none"/>
                <w:lang w:val="en-US" w:eastAsia="zh-CN"/>
              </w:rPr>
              <w:t>TSP</w:t>
            </w:r>
            <w:r>
              <w:rPr>
                <w:rFonts w:hint="default" w:ascii="Times New Roman" w:hAnsi="Times New Roman" w:eastAsia="宋体"/>
                <w:bCs/>
                <w:caps w:val="0"/>
                <w:color w:val="auto"/>
                <w:kern w:val="21"/>
                <w:sz w:val="24"/>
                <w:highlight w:val="none"/>
              </w:rPr>
              <w:t>连续监测</w:t>
            </w:r>
            <w:r>
              <w:rPr>
                <w:rFonts w:hint="eastAsia"/>
                <w:bCs/>
                <w:caps w:val="0"/>
                <w:color w:val="auto"/>
                <w:kern w:val="21"/>
                <w:sz w:val="24"/>
                <w:highlight w:val="none"/>
                <w:lang w:val="en-US" w:eastAsia="zh-CN"/>
              </w:rPr>
              <w:t>3</w:t>
            </w:r>
            <w:r>
              <w:rPr>
                <w:rFonts w:hint="default" w:ascii="Times New Roman" w:hAnsi="Times New Roman" w:eastAsia="宋体"/>
                <w:bCs/>
                <w:caps w:val="0"/>
                <w:color w:val="auto"/>
                <w:kern w:val="21"/>
                <w:sz w:val="24"/>
                <w:highlight w:val="none"/>
              </w:rPr>
              <w:t>天</w:t>
            </w:r>
            <w:r>
              <w:rPr>
                <w:rFonts w:hint="eastAsia" w:ascii="Times New Roman" w:hAnsi="Times New Roman" w:eastAsia="宋体"/>
                <w:bCs/>
                <w:caps w:val="0"/>
                <w:color w:val="auto"/>
                <w:kern w:val="21"/>
                <w:sz w:val="24"/>
                <w:highlight w:val="none"/>
              </w:rPr>
              <w:t>（</w:t>
            </w:r>
            <w:r>
              <w:rPr>
                <w:rFonts w:hint="eastAsia" w:ascii="Times New Roman" w:hAnsi="Times New Roman" w:eastAsia="宋体"/>
                <w:bCs/>
                <w:caps w:val="0"/>
                <w:color w:val="auto"/>
                <w:kern w:val="21"/>
                <w:sz w:val="24"/>
                <w:highlight w:val="none"/>
                <w:lang w:val="en-US" w:eastAsia="zh-CN"/>
              </w:rPr>
              <w:t>202</w:t>
            </w:r>
            <w:r>
              <w:rPr>
                <w:rFonts w:hint="eastAsia"/>
                <w:bCs/>
                <w:caps w:val="0"/>
                <w:color w:val="auto"/>
                <w:kern w:val="21"/>
                <w:sz w:val="24"/>
                <w:highlight w:val="none"/>
                <w:lang w:val="en-US" w:eastAsia="zh-CN"/>
              </w:rPr>
              <w:t>6</w:t>
            </w:r>
            <w:r>
              <w:rPr>
                <w:rFonts w:hint="eastAsia" w:ascii="Times New Roman" w:hAnsi="Times New Roman" w:eastAsia="宋体"/>
                <w:bCs/>
                <w:caps w:val="0"/>
                <w:color w:val="auto"/>
                <w:kern w:val="21"/>
                <w:sz w:val="24"/>
                <w:highlight w:val="none"/>
              </w:rPr>
              <w:t>.</w:t>
            </w:r>
            <w:r>
              <w:rPr>
                <w:rFonts w:hint="eastAsia" w:ascii="Times New Roman" w:hAnsi="Times New Roman" w:eastAsia="宋体"/>
                <w:bCs/>
                <w:caps w:val="0"/>
                <w:color w:val="auto"/>
                <w:kern w:val="21"/>
                <w:sz w:val="24"/>
                <w:highlight w:val="none"/>
                <w:lang w:val="en-US" w:eastAsia="zh-CN"/>
              </w:rPr>
              <w:t>0</w:t>
            </w:r>
            <w:r>
              <w:rPr>
                <w:rFonts w:hint="eastAsia"/>
                <w:bCs/>
                <w:caps w:val="0"/>
                <w:color w:val="auto"/>
                <w:kern w:val="21"/>
                <w:sz w:val="24"/>
                <w:highlight w:val="none"/>
                <w:lang w:val="en-US" w:eastAsia="zh-CN"/>
              </w:rPr>
              <w:t>6</w:t>
            </w:r>
            <w:r>
              <w:rPr>
                <w:rFonts w:hint="eastAsia" w:ascii="Times New Roman" w:hAnsi="Times New Roman" w:eastAsia="宋体"/>
                <w:bCs/>
                <w:caps w:val="0"/>
                <w:color w:val="auto"/>
                <w:kern w:val="21"/>
                <w:sz w:val="24"/>
                <w:highlight w:val="none"/>
              </w:rPr>
              <w:t>.</w:t>
            </w:r>
            <w:r>
              <w:rPr>
                <w:rFonts w:hint="eastAsia"/>
                <w:bCs/>
                <w:caps w:val="0"/>
                <w:color w:val="auto"/>
                <w:kern w:val="21"/>
                <w:sz w:val="24"/>
                <w:highlight w:val="none"/>
                <w:lang w:val="en-US" w:eastAsia="zh-CN"/>
              </w:rPr>
              <w:t>6</w:t>
            </w:r>
            <w:r>
              <w:rPr>
                <w:rFonts w:hint="eastAsia" w:ascii="Times New Roman" w:hAnsi="Times New Roman" w:eastAsia="宋体"/>
                <w:bCs/>
                <w:caps w:val="0"/>
                <w:color w:val="auto"/>
                <w:kern w:val="21"/>
                <w:sz w:val="24"/>
                <w:highlight w:val="none"/>
              </w:rPr>
              <w:t>-20</w:t>
            </w:r>
            <w:r>
              <w:rPr>
                <w:rFonts w:hint="eastAsia" w:ascii="Times New Roman" w:hAnsi="Times New Roman" w:eastAsia="宋体"/>
                <w:bCs/>
                <w:caps w:val="0"/>
                <w:color w:val="auto"/>
                <w:kern w:val="21"/>
                <w:sz w:val="24"/>
                <w:highlight w:val="none"/>
                <w:lang w:val="en-US" w:eastAsia="zh-CN"/>
              </w:rPr>
              <w:t>2</w:t>
            </w:r>
            <w:r>
              <w:rPr>
                <w:rFonts w:hint="eastAsia"/>
                <w:bCs/>
                <w:caps w:val="0"/>
                <w:color w:val="auto"/>
                <w:kern w:val="21"/>
                <w:sz w:val="24"/>
                <w:highlight w:val="none"/>
                <w:lang w:val="en-US" w:eastAsia="zh-CN"/>
              </w:rPr>
              <w:t>6</w:t>
            </w:r>
            <w:r>
              <w:rPr>
                <w:rFonts w:hint="eastAsia" w:ascii="Times New Roman" w:hAnsi="Times New Roman" w:eastAsia="宋体"/>
                <w:bCs/>
                <w:caps w:val="0"/>
                <w:color w:val="auto"/>
                <w:kern w:val="21"/>
                <w:sz w:val="24"/>
                <w:highlight w:val="none"/>
              </w:rPr>
              <w:t>.</w:t>
            </w:r>
            <w:r>
              <w:rPr>
                <w:rFonts w:hint="eastAsia" w:ascii="Times New Roman" w:hAnsi="Times New Roman" w:eastAsia="宋体"/>
                <w:bCs/>
                <w:caps w:val="0"/>
                <w:color w:val="auto"/>
                <w:kern w:val="21"/>
                <w:sz w:val="24"/>
                <w:highlight w:val="none"/>
                <w:lang w:val="en-US" w:eastAsia="zh-CN"/>
              </w:rPr>
              <w:t>0</w:t>
            </w:r>
            <w:r>
              <w:rPr>
                <w:rFonts w:hint="eastAsia"/>
                <w:bCs/>
                <w:caps w:val="0"/>
                <w:color w:val="auto"/>
                <w:kern w:val="21"/>
                <w:sz w:val="24"/>
                <w:highlight w:val="none"/>
                <w:lang w:val="en-US" w:eastAsia="zh-CN"/>
              </w:rPr>
              <w:t>6</w:t>
            </w:r>
            <w:r>
              <w:rPr>
                <w:rFonts w:hint="eastAsia" w:ascii="Times New Roman" w:hAnsi="Times New Roman" w:eastAsia="宋体"/>
                <w:bCs/>
                <w:caps w:val="0"/>
                <w:color w:val="auto"/>
                <w:kern w:val="21"/>
                <w:sz w:val="24"/>
                <w:highlight w:val="none"/>
              </w:rPr>
              <w:t>.</w:t>
            </w:r>
            <w:r>
              <w:rPr>
                <w:rFonts w:hint="eastAsia"/>
                <w:bCs/>
                <w:caps w:val="0"/>
                <w:color w:val="auto"/>
                <w:kern w:val="21"/>
                <w:sz w:val="24"/>
                <w:highlight w:val="none"/>
                <w:lang w:val="en-US" w:eastAsia="zh-CN"/>
              </w:rPr>
              <w:t>9</w:t>
            </w:r>
            <w:r>
              <w:rPr>
                <w:rFonts w:hint="eastAsia" w:ascii="Times New Roman" w:hAnsi="Times New Roman" w:eastAsia="宋体"/>
                <w:bCs/>
                <w:caps w:val="0"/>
                <w:color w:val="auto"/>
                <w:kern w:val="21"/>
                <w:sz w:val="24"/>
                <w:highlight w:val="none"/>
              </w:rPr>
              <w:t>）</w:t>
            </w:r>
            <w:r>
              <w:rPr>
                <w:rFonts w:hint="eastAsia" w:ascii="Times New Roman" w:hAnsi="Times New Roman" w:eastAsia="宋体"/>
                <w:bCs/>
                <w:caps w:val="0"/>
                <w:color w:val="auto"/>
                <w:kern w:val="21"/>
                <w:sz w:val="24"/>
                <w:highlight w:val="none"/>
                <w:lang w:eastAsia="zh-CN"/>
              </w:rPr>
              <w:t>，</w:t>
            </w:r>
            <w:r>
              <w:rPr>
                <w:rFonts w:hint="eastAsia" w:ascii="Times New Roman" w:hAnsi="Times New Roman" w:eastAsia="宋体"/>
                <w:bCs/>
                <w:caps w:val="0"/>
                <w:color w:val="auto"/>
                <w:kern w:val="21"/>
                <w:sz w:val="24"/>
                <w:highlight w:val="none"/>
                <w:lang w:val="en-US" w:eastAsia="zh-CN"/>
              </w:rPr>
              <w:t>每天监测24日均值</w:t>
            </w:r>
            <w:r>
              <w:rPr>
                <w:rFonts w:hint="eastAsia" w:ascii="Times New Roman" w:hAnsi="Times New Roman" w:eastAsia="宋体"/>
                <w:bCs/>
                <w:caps w:val="0"/>
                <w:color w:val="auto"/>
                <w:kern w:val="21"/>
                <w:sz w:val="24"/>
                <w:highlight w:val="none"/>
              </w:rPr>
              <w:t>。</w:t>
            </w:r>
          </w:p>
          <w:p w14:paraId="530B6165">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rPr>
                <w:rFonts w:hint="default" w:ascii="Times New Roman" w:hAnsi="Times New Roman" w:eastAsia="宋体"/>
                <w:bCs/>
                <w:caps w:val="0"/>
                <w:color w:val="auto"/>
                <w:kern w:val="21"/>
                <w:sz w:val="24"/>
                <w:highlight w:val="none"/>
              </w:rPr>
            </w:pPr>
            <w:r>
              <w:rPr>
                <w:rFonts w:hint="eastAsia" w:ascii="Times New Roman" w:hAnsi="Times New Roman" w:eastAsia="宋体"/>
                <w:bCs/>
                <w:caps w:val="0"/>
                <w:color w:val="auto"/>
                <w:kern w:val="21"/>
                <w:sz w:val="24"/>
                <w:highlight w:val="none"/>
              </w:rPr>
              <w:t>④</w:t>
            </w:r>
            <w:r>
              <w:rPr>
                <w:rFonts w:hint="default" w:ascii="Times New Roman" w:hAnsi="Times New Roman" w:eastAsia="宋体"/>
                <w:bCs/>
                <w:caps w:val="0"/>
                <w:color w:val="auto"/>
                <w:kern w:val="21"/>
                <w:sz w:val="24"/>
                <w:highlight w:val="none"/>
              </w:rPr>
              <w:t>采样及分析方法：各监测项目的采样方法按</w:t>
            </w:r>
            <w:r>
              <w:rPr>
                <w:rFonts w:hint="eastAsia" w:ascii="Times New Roman" w:hAnsi="Times New Roman" w:eastAsia="宋体"/>
                <w:bCs/>
                <w:caps w:val="0"/>
                <w:color w:val="auto"/>
                <w:kern w:val="21"/>
                <w:sz w:val="24"/>
                <w:highlight w:val="none"/>
                <w:lang w:eastAsia="zh-CN"/>
              </w:rPr>
              <w:t>环境保护部</w:t>
            </w:r>
            <w:r>
              <w:rPr>
                <w:rFonts w:hint="default" w:ascii="Times New Roman" w:hAnsi="Times New Roman" w:eastAsia="宋体"/>
                <w:bCs/>
                <w:caps w:val="0"/>
                <w:color w:val="auto"/>
                <w:kern w:val="21"/>
                <w:sz w:val="24"/>
                <w:highlight w:val="none"/>
              </w:rPr>
              <w:t>颁布的《环境空气监测技术规范》规定执行；分析方法按《空气和废气监测分析方法》和</w:t>
            </w:r>
            <w:r>
              <w:rPr>
                <w:rFonts w:hint="default" w:ascii="Times New Roman" w:hAnsi="Times New Roman" w:eastAsia="宋体"/>
                <w:caps w:val="0"/>
                <w:color w:val="auto"/>
                <w:sz w:val="24"/>
                <w:highlight w:val="none"/>
              </w:rPr>
              <w:t>《环境空气质量标准》（GB</w:t>
            </w:r>
            <w:r>
              <w:rPr>
                <w:rFonts w:hint="eastAsia" w:ascii="Times New Roman" w:hAnsi="Times New Roman" w:eastAsia="宋体"/>
                <w:caps w:val="0"/>
                <w:color w:val="auto"/>
                <w:sz w:val="24"/>
                <w:highlight w:val="none"/>
                <w:lang w:val="en-US" w:eastAsia="zh-CN"/>
              </w:rPr>
              <w:t xml:space="preserve"> </w:t>
            </w:r>
            <w:r>
              <w:rPr>
                <w:rFonts w:hint="default" w:ascii="Times New Roman" w:hAnsi="Times New Roman" w:eastAsia="宋体"/>
                <w:caps w:val="0"/>
                <w:color w:val="auto"/>
                <w:sz w:val="24"/>
                <w:highlight w:val="none"/>
              </w:rPr>
              <w:t>3095-</w:t>
            </w:r>
            <w:r>
              <w:rPr>
                <w:rFonts w:hint="eastAsia" w:ascii="Times New Roman" w:hAnsi="Times New Roman" w:eastAsia="宋体"/>
                <w:caps w:val="0"/>
                <w:color w:val="auto"/>
                <w:sz w:val="24"/>
                <w:highlight w:val="none"/>
                <w:lang w:val="en-US" w:eastAsia="zh-CN"/>
              </w:rPr>
              <w:t>2026</w:t>
            </w:r>
            <w:r>
              <w:rPr>
                <w:rFonts w:hint="default" w:ascii="Times New Roman" w:hAnsi="Times New Roman" w:eastAsia="宋体"/>
                <w:caps w:val="0"/>
                <w:color w:val="auto"/>
                <w:sz w:val="24"/>
                <w:highlight w:val="none"/>
              </w:rPr>
              <w:t>）</w:t>
            </w:r>
            <w:r>
              <w:rPr>
                <w:rFonts w:hint="default" w:ascii="Times New Roman" w:hAnsi="Times New Roman" w:eastAsia="宋体"/>
                <w:bCs/>
                <w:caps w:val="0"/>
                <w:color w:val="auto"/>
                <w:kern w:val="21"/>
                <w:sz w:val="24"/>
                <w:highlight w:val="none"/>
              </w:rPr>
              <w:t>引用标准的有关规定执行。</w:t>
            </w:r>
          </w:p>
          <w:p w14:paraId="30F2B620">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rPr>
                <w:rFonts w:hint="eastAsia" w:ascii="Times New Roman" w:hAnsi="Times New Roman" w:eastAsia="宋体"/>
                <w:bCs/>
                <w:caps w:val="0"/>
                <w:color w:val="auto"/>
                <w:kern w:val="21"/>
                <w:sz w:val="24"/>
                <w:highlight w:val="none"/>
                <w:lang w:eastAsia="zh-CN"/>
              </w:rPr>
            </w:pPr>
            <w:r>
              <w:rPr>
                <w:rFonts w:hint="eastAsia" w:ascii="Times New Roman" w:hAnsi="Times New Roman" w:eastAsia="宋体"/>
                <w:bCs/>
                <w:caps w:val="0"/>
                <w:color w:val="auto"/>
                <w:kern w:val="21"/>
                <w:sz w:val="24"/>
                <w:highlight w:val="none"/>
              </w:rPr>
              <w:t>⑤</w:t>
            </w:r>
            <w:r>
              <w:rPr>
                <w:rFonts w:hint="default" w:ascii="Times New Roman" w:hAnsi="Times New Roman" w:eastAsia="宋体"/>
                <w:bCs/>
                <w:caps w:val="0"/>
                <w:color w:val="auto"/>
                <w:kern w:val="21"/>
                <w:sz w:val="24"/>
                <w:highlight w:val="none"/>
              </w:rPr>
              <w:t>评价标准：</w:t>
            </w:r>
            <w:r>
              <w:rPr>
                <w:rFonts w:hint="eastAsia" w:ascii="Times New Roman" w:hAnsi="Times New Roman" w:eastAsia="宋体"/>
                <w:bCs/>
                <w:color w:val="auto"/>
                <w:sz w:val="24"/>
                <w:highlight w:val="none"/>
              </w:rPr>
              <w:t>TSP执行《环境空气</w:t>
            </w:r>
            <w:r>
              <w:rPr>
                <w:rFonts w:hint="eastAsia" w:ascii="Times New Roman" w:hAnsi="Times New Roman" w:eastAsia="宋体"/>
                <w:bCs/>
                <w:color w:val="auto"/>
                <w:sz w:val="24"/>
                <w:szCs w:val="24"/>
                <w:highlight w:val="none"/>
              </w:rPr>
              <w:t>质量标准》（GB3095-</w:t>
            </w:r>
            <w:r>
              <w:rPr>
                <w:rFonts w:hint="eastAsia" w:ascii="Times New Roman" w:hAnsi="Times New Roman" w:eastAsia="宋体"/>
                <w:bCs/>
                <w:color w:val="auto"/>
                <w:sz w:val="24"/>
                <w:szCs w:val="24"/>
                <w:highlight w:val="none"/>
                <w:lang w:val="en-US" w:eastAsia="zh-CN"/>
              </w:rPr>
              <w:t>2026</w:t>
            </w:r>
            <w:r>
              <w:rPr>
                <w:rFonts w:hint="eastAsia" w:ascii="Times New Roman" w:hAnsi="Times New Roman" w:eastAsia="宋体"/>
                <w:bCs/>
                <w:color w:val="auto"/>
                <w:sz w:val="24"/>
                <w:szCs w:val="24"/>
                <w:highlight w:val="none"/>
              </w:rPr>
              <w:t>）表2中</w:t>
            </w:r>
            <w:r>
              <w:rPr>
                <w:rFonts w:hint="eastAsia" w:ascii="Times New Roman" w:hAnsi="Times New Roman" w:eastAsia="宋体"/>
                <w:bCs/>
                <w:color w:val="auto"/>
                <w:sz w:val="24"/>
                <w:szCs w:val="24"/>
                <w:highlight w:val="none"/>
                <w:lang w:val="en-US" w:eastAsia="zh-CN"/>
              </w:rPr>
              <w:t>日</w:t>
            </w:r>
            <w:r>
              <w:rPr>
                <w:rFonts w:hint="eastAsia" w:ascii="Times New Roman" w:hAnsi="Times New Roman" w:eastAsia="宋体"/>
                <w:bCs/>
                <w:color w:val="auto"/>
                <w:sz w:val="24"/>
                <w:szCs w:val="24"/>
                <w:highlight w:val="none"/>
              </w:rPr>
              <w:t>平均</w:t>
            </w:r>
            <w:r>
              <w:rPr>
                <w:rFonts w:hint="eastAsia" w:ascii="Times New Roman" w:hAnsi="Times New Roman" w:eastAsia="宋体"/>
                <w:bCs/>
                <w:color w:val="auto"/>
                <w:sz w:val="24"/>
                <w:szCs w:val="24"/>
                <w:highlight w:val="none"/>
                <w:lang w:val="en-US" w:eastAsia="zh-CN"/>
              </w:rPr>
              <w:t>浓度限值</w:t>
            </w:r>
            <w:r>
              <w:rPr>
                <w:rFonts w:hint="eastAsia" w:ascii="Times New Roman" w:hAnsi="Times New Roman" w:eastAsia="宋体"/>
                <w:bCs/>
                <w:color w:val="auto"/>
                <w:sz w:val="24"/>
                <w:szCs w:val="24"/>
                <w:highlight w:val="none"/>
              </w:rPr>
              <w:t>二级标准</w:t>
            </w:r>
            <w:r>
              <w:rPr>
                <w:rFonts w:hint="eastAsia" w:ascii="Times New Roman" w:hAnsi="Times New Roman" w:eastAsia="宋体"/>
                <w:bCs/>
                <w:caps w:val="0"/>
                <w:color w:val="auto"/>
                <w:kern w:val="21"/>
                <w:sz w:val="24"/>
                <w:highlight w:val="none"/>
              </w:rPr>
              <w:t>。</w:t>
            </w:r>
          </w:p>
          <w:p w14:paraId="3B0C1FBD">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rPr>
                <w:rFonts w:hint="eastAsia" w:ascii="Times New Roman" w:hAnsi="Times New Roman" w:eastAsia="宋体"/>
                <w:bCs/>
                <w:caps w:val="0"/>
                <w:color w:val="auto"/>
                <w:kern w:val="21"/>
                <w:sz w:val="24"/>
                <w:highlight w:val="none"/>
              </w:rPr>
            </w:pPr>
          </w:p>
          <w:p w14:paraId="2EEDA090">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rPr>
                <w:rFonts w:hint="default" w:ascii="Times New Roman" w:hAnsi="Times New Roman" w:eastAsia="宋体"/>
                <w:bCs/>
                <w:caps w:val="0"/>
                <w:color w:val="auto"/>
                <w:kern w:val="21"/>
                <w:sz w:val="24"/>
                <w:highlight w:val="none"/>
              </w:rPr>
            </w:pPr>
            <w:r>
              <w:rPr>
                <w:rFonts w:hint="eastAsia" w:ascii="Times New Roman" w:hAnsi="Times New Roman" w:eastAsia="宋体"/>
                <w:bCs/>
                <w:caps w:val="0"/>
                <w:color w:val="auto"/>
                <w:kern w:val="21"/>
                <w:sz w:val="24"/>
                <w:highlight w:val="none"/>
              </w:rPr>
              <w:t xml:space="preserve">⑥ </w:t>
            </w:r>
            <w:r>
              <w:rPr>
                <w:rFonts w:hint="default" w:ascii="Times New Roman" w:hAnsi="Times New Roman" w:eastAsia="宋体"/>
                <w:bCs/>
                <w:caps w:val="0"/>
                <w:color w:val="auto"/>
                <w:kern w:val="21"/>
                <w:sz w:val="24"/>
                <w:highlight w:val="none"/>
              </w:rPr>
              <w:t>监测结果</w:t>
            </w:r>
          </w:p>
          <w:p w14:paraId="09189F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bCs/>
                <w:color w:val="auto"/>
                <w:kern w:val="21"/>
                <w:sz w:val="24"/>
                <w:highlight w:val="none"/>
              </w:rPr>
            </w:pPr>
            <w:r>
              <w:rPr>
                <w:rFonts w:hint="eastAsia" w:ascii="Times New Roman" w:hAnsi="Times New Roman" w:eastAsia="宋体"/>
                <w:bCs/>
                <w:color w:val="auto"/>
                <w:kern w:val="21"/>
                <w:sz w:val="24"/>
                <w:highlight w:val="none"/>
              </w:rPr>
              <w:t>TSP</w:t>
            </w:r>
            <w:r>
              <w:rPr>
                <w:rFonts w:hint="default" w:ascii="Times New Roman" w:hAnsi="Times New Roman" w:eastAsia="宋体"/>
                <w:bCs/>
                <w:color w:val="auto"/>
                <w:kern w:val="21"/>
                <w:sz w:val="24"/>
                <w:highlight w:val="none"/>
              </w:rPr>
              <w:t>监测数据统计结果见表3-</w:t>
            </w:r>
            <w:r>
              <w:rPr>
                <w:rFonts w:hint="eastAsia"/>
                <w:bCs/>
                <w:color w:val="auto"/>
                <w:kern w:val="21"/>
                <w:sz w:val="24"/>
                <w:highlight w:val="none"/>
                <w:lang w:val="en-US" w:eastAsia="zh-CN"/>
              </w:rPr>
              <w:t>5</w:t>
            </w:r>
            <w:r>
              <w:rPr>
                <w:rFonts w:hint="default" w:ascii="Times New Roman" w:hAnsi="Times New Roman" w:eastAsia="宋体"/>
                <w:bCs/>
                <w:color w:val="auto"/>
                <w:kern w:val="21"/>
                <w:sz w:val="24"/>
                <w:highlight w:val="none"/>
              </w:rPr>
              <w:t>。</w:t>
            </w:r>
            <w:r>
              <w:rPr>
                <w:rFonts w:hint="default" w:ascii="Times New Roman" w:hAnsi="Times New Roman" w:eastAsia="宋体"/>
                <w:color w:val="auto"/>
                <w:sz w:val="24"/>
                <w:highlight w:val="none"/>
              </w:rPr>
              <w:t>根据监测数据分析</w:t>
            </w:r>
            <w:r>
              <w:rPr>
                <w:rFonts w:hint="eastAsia" w:ascii="Times New Roman" w:hAnsi="Times New Roman" w:eastAsia="宋体"/>
                <w:color w:val="auto"/>
                <w:sz w:val="24"/>
                <w:highlight w:val="none"/>
              </w:rPr>
              <w:t>，TSP</w:t>
            </w:r>
            <w:r>
              <w:rPr>
                <w:rFonts w:hint="eastAsia" w:ascii="Times New Roman" w:hAnsi="Times New Roman" w:eastAsia="宋体"/>
                <w:bCs/>
                <w:caps w:val="0"/>
                <w:color w:val="auto"/>
                <w:kern w:val="21"/>
                <w:sz w:val="24"/>
                <w:highlight w:val="none"/>
                <w:lang w:val="en-US" w:eastAsia="zh-CN"/>
              </w:rPr>
              <w:t>满足</w:t>
            </w:r>
            <w:r>
              <w:rPr>
                <w:rFonts w:hint="eastAsia" w:ascii="Times New Roman" w:hAnsi="Times New Roman" w:eastAsia="宋体"/>
                <w:bCs/>
                <w:color w:val="auto"/>
                <w:sz w:val="24"/>
                <w:highlight w:val="none"/>
              </w:rPr>
              <w:t>《环境空气</w:t>
            </w:r>
            <w:r>
              <w:rPr>
                <w:rFonts w:hint="eastAsia" w:ascii="Times New Roman" w:hAnsi="Times New Roman" w:eastAsia="宋体"/>
                <w:bCs/>
                <w:color w:val="auto"/>
                <w:sz w:val="24"/>
                <w:szCs w:val="24"/>
                <w:highlight w:val="none"/>
              </w:rPr>
              <w:t>质量标准》（GB3095-</w:t>
            </w:r>
            <w:r>
              <w:rPr>
                <w:rFonts w:hint="eastAsia" w:ascii="Times New Roman" w:hAnsi="Times New Roman" w:eastAsia="宋体"/>
                <w:bCs/>
                <w:color w:val="auto"/>
                <w:sz w:val="24"/>
                <w:szCs w:val="24"/>
                <w:highlight w:val="none"/>
                <w:lang w:val="en-US" w:eastAsia="zh-CN"/>
              </w:rPr>
              <w:t>2026</w:t>
            </w:r>
            <w:r>
              <w:rPr>
                <w:rFonts w:hint="eastAsia" w:ascii="Times New Roman" w:hAnsi="Times New Roman" w:eastAsia="宋体"/>
                <w:bCs/>
                <w:color w:val="auto"/>
                <w:sz w:val="24"/>
                <w:szCs w:val="24"/>
                <w:highlight w:val="none"/>
              </w:rPr>
              <w:t>）表2中</w:t>
            </w:r>
            <w:r>
              <w:rPr>
                <w:rFonts w:hint="eastAsia" w:ascii="Times New Roman" w:hAnsi="Times New Roman" w:eastAsia="宋体"/>
                <w:bCs/>
                <w:color w:val="auto"/>
                <w:sz w:val="24"/>
                <w:szCs w:val="24"/>
                <w:highlight w:val="none"/>
                <w:lang w:val="en-US" w:eastAsia="zh-CN"/>
              </w:rPr>
              <w:t>日</w:t>
            </w:r>
            <w:r>
              <w:rPr>
                <w:rFonts w:hint="eastAsia" w:ascii="Times New Roman" w:hAnsi="Times New Roman" w:eastAsia="宋体"/>
                <w:bCs/>
                <w:color w:val="auto"/>
                <w:sz w:val="24"/>
                <w:szCs w:val="24"/>
                <w:highlight w:val="none"/>
              </w:rPr>
              <w:t>平均</w:t>
            </w:r>
            <w:r>
              <w:rPr>
                <w:rFonts w:hint="eastAsia" w:ascii="Times New Roman" w:hAnsi="Times New Roman" w:eastAsia="宋体"/>
                <w:bCs/>
                <w:color w:val="auto"/>
                <w:sz w:val="24"/>
                <w:szCs w:val="24"/>
                <w:highlight w:val="none"/>
                <w:lang w:val="en-US" w:eastAsia="zh-CN"/>
              </w:rPr>
              <w:t>浓度限值</w:t>
            </w:r>
            <w:r>
              <w:rPr>
                <w:rFonts w:hint="eastAsia" w:ascii="Times New Roman" w:hAnsi="Times New Roman" w:eastAsia="宋体"/>
                <w:bCs/>
                <w:color w:val="auto"/>
                <w:sz w:val="24"/>
                <w:szCs w:val="24"/>
                <w:highlight w:val="none"/>
              </w:rPr>
              <w:t>二级标准</w:t>
            </w:r>
            <w:r>
              <w:rPr>
                <w:rFonts w:hint="eastAsia" w:ascii="Times New Roman" w:hAnsi="Times New Roman" w:eastAsia="宋体"/>
                <w:color w:val="auto"/>
                <w:sz w:val="24"/>
                <w:highlight w:val="none"/>
              </w:rPr>
              <w:t>限值</w:t>
            </w:r>
            <w:r>
              <w:rPr>
                <w:rFonts w:hint="eastAsia" w:ascii="Times New Roman" w:hAnsi="Times New Roman" w:eastAsia="宋体"/>
                <w:bCs/>
                <w:color w:val="auto"/>
                <w:kern w:val="21"/>
                <w:sz w:val="24"/>
                <w:highlight w:val="none"/>
              </w:rPr>
              <w:t>。</w:t>
            </w:r>
          </w:p>
          <w:p w14:paraId="4EE5C1B2">
            <w:pPr>
              <w:keepNext w:val="0"/>
              <w:keepLines w:val="0"/>
              <w:pageBreakBefore w:val="0"/>
              <w:widowControl/>
              <w:suppressLineNumbers w:val="0"/>
              <w:kinsoku/>
              <w:wordWrap/>
              <w:bidi w:val="0"/>
              <w:adjustRightInd/>
              <w:snapToGrid/>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表3-</w:t>
            </w:r>
            <w:r>
              <w:rPr>
                <w:rFonts w:hint="eastAsia"/>
                <w:b/>
                <w:bCs/>
                <w:color w:val="auto"/>
                <w:szCs w:val="21"/>
                <w:highlight w:val="none"/>
                <w:lang w:val="en-US" w:eastAsia="zh-CN"/>
              </w:rPr>
              <w:t>5</w:t>
            </w:r>
            <w:r>
              <w:rPr>
                <w:rFonts w:hint="default" w:ascii="Times New Roman" w:hAnsi="Times New Roman" w:eastAsia="宋体"/>
                <w:b/>
                <w:bCs/>
                <w:color w:val="auto"/>
                <w:szCs w:val="21"/>
                <w:highlight w:val="none"/>
              </w:rPr>
              <w:t xml:space="preserve">  </w:t>
            </w:r>
            <w:r>
              <w:rPr>
                <w:rFonts w:hint="eastAsia" w:ascii="Times New Roman" w:hAnsi="Times New Roman" w:eastAsia="宋体"/>
                <w:b/>
                <w:bCs/>
                <w:color w:val="auto"/>
                <w:szCs w:val="21"/>
                <w:highlight w:val="none"/>
              </w:rPr>
              <w:t xml:space="preserve">  监测结果一览表</w:t>
            </w:r>
          </w:p>
          <w:tbl>
            <w:tblPr>
              <w:tblStyle w:val="26"/>
              <w:tblW w:w="49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2265"/>
              <w:gridCol w:w="2029"/>
              <w:gridCol w:w="1892"/>
            </w:tblGrid>
            <w:tr w14:paraId="53A3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81" w:type="pct"/>
                  <w:vMerge w:val="restart"/>
                  <w:noWrap w:val="0"/>
                  <w:vAlign w:val="center"/>
                </w:tcPr>
                <w:p w14:paraId="135A5A71">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rPr>
                      <w:rFonts w:hint="default" w:ascii="Times New Roman" w:hAnsi="Times New Roman" w:eastAsia="宋体"/>
                      <w:b w:val="0"/>
                      <w:bCs w:val="0"/>
                      <w:caps w:val="0"/>
                      <w:color w:val="auto"/>
                      <w:szCs w:val="21"/>
                      <w:highlight w:val="none"/>
                    </w:rPr>
                  </w:pPr>
                  <w:r>
                    <w:rPr>
                      <w:rFonts w:hint="default" w:ascii="Times New Roman" w:hAnsi="Times New Roman" w:eastAsia="宋体"/>
                      <w:b w:val="0"/>
                      <w:bCs w:val="0"/>
                      <w:caps w:val="0"/>
                      <w:color w:val="auto"/>
                      <w:szCs w:val="21"/>
                      <w:highlight w:val="none"/>
                    </w:rPr>
                    <w:t>采样点位</w:t>
                  </w:r>
                </w:p>
              </w:tc>
              <w:tc>
                <w:tcPr>
                  <w:tcW w:w="1434" w:type="pct"/>
                  <w:vMerge w:val="restart"/>
                  <w:noWrap w:val="0"/>
                  <w:vAlign w:val="center"/>
                </w:tcPr>
                <w:p w14:paraId="397EEAFF">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rPr>
                      <w:rFonts w:hint="eastAsia" w:ascii="Times New Roman" w:hAnsi="Times New Roman" w:eastAsia="宋体"/>
                      <w:b w:val="0"/>
                      <w:bCs w:val="0"/>
                      <w:caps w:val="0"/>
                      <w:color w:val="auto"/>
                      <w:szCs w:val="21"/>
                      <w:highlight w:val="none"/>
                    </w:rPr>
                  </w:pPr>
                  <w:r>
                    <w:rPr>
                      <w:rFonts w:hint="eastAsia" w:ascii="Times New Roman" w:hAnsi="Times New Roman" w:eastAsia="宋体"/>
                      <w:b w:val="0"/>
                      <w:bCs w:val="0"/>
                      <w:caps w:val="0"/>
                      <w:color w:val="auto"/>
                      <w:szCs w:val="21"/>
                      <w:highlight w:val="none"/>
                    </w:rPr>
                    <w:t>采样日期</w:t>
                  </w:r>
                </w:p>
              </w:tc>
              <w:tc>
                <w:tcPr>
                  <w:tcW w:w="2483" w:type="pct"/>
                  <w:gridSpan w:val="2"/>
                  <w:noWrap w:val="0"/>
                  <w:vAlign w:val="center"/>
                </w:tcPr>
                <w:p w14:paraId="18600360">
                  <w:pPr>
                    <w:keepNext w:val="0"/>
                    <w:keepLines w:val="0"/>
                    <w:pageBreakBefore w:val="0"/>
                    <w:suppressLineNumbers w:val="0"/>
                    <w:kinsoku/>
                    <w:wordWrap/>
                    <w:bidi w:val="0"/>
                    <w:adjustRightInd/>
                    <w:snapToGrid/>
                    <w:spacing w:before="0" w:beforeAutospacing="0" w:after="0" w:afterAutospacing="0"/>
                    <w:ind w:left="0" w:right="-105" w:rightChars="-50"/>
                    <w:jc w:val="center"/>
                    <w:rPr>
                      <w:rFonts w:hint="default" w:ascii="Times New Roman" w:hAnsi="Times New Roman" w:eastAsia="宋体"/>
                      <w:b w:val="0"/>
                      <w:bCs w:val="0"/>
                      <w:caps w:val="0"/>
                      <w:color w:val="auto"/>
                      <w:sz w:val="21"/>
                      <w:szCs w:val="21"/>
                      <w:highlight w:val="none"/>
                      <w:lang w:val="en-US"/>
                    </w:rPr>
                  </w:pPr>
                  <w:r>
                    <w:rPr>
                      <w:rFonts w:hint="eastAsia" w:ascii="Times New Roman" w:hAnsi="Times New Roman" w:eastAsia="宋体"/>
                      <w:b w:val="0"/>
                      <w:bCs w:val="0"/>
                      <w:caps w:val="0"/>
                      <w:color w:val="auto"/>
                      <w:kern w:val="21"/>
                      <w:sz w:val="21"/>
                      <w:szCs w:val="21"/>
                      <w:highlight w:val="none"/>
                      <w:lang w:val="en-US" w:eastAsia="zh-CN"/>
                    </w:rPr>
                    <w:t>TSP</w:t>
                  </w:r>
                </w:p>
              </w:tc>
            </w:tr>
            <w:tr w14:paraId="7F3F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81" w:type="pct"/>
                  <w:vMerge w:val="continue"/>
                  <w:noWrap w:val="0"/>
                  <w:vAlign w:val="center"/>
                </w:tcPr>
                <w:p w14:paraId="4E32925E">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rPr>
                      <w:rFonts w:hint="default" w:ascii="Times New Roman" w:hAnsi="Times New Roman" w:eastAsia="宋体"/>
                      <w:b w:val="0"/>
                      <w:bCs w:val="0"/>
                      <w:caps w:val="0"/>
                      <w:color w:val="auto"/>
                      <w:szCs w:val="21"/>
                      <w:highlight w:val="none"/>
                    </w:rPr>
                  </w:pPr>
                </w:p>
              </w:tc>
              <w:tc>
                <w:tcPr>
                  <w:tcW w:w="1434" w:type="pct"/>
                  <w:vMerge w:val="continue"/>
                  <w:noWrap w:val="0"/>
                  <w:vAlign w:val="center"/>
                </w:tcPr>
                <w:p w14:paraId="413AF53C">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rPr>
                      <w:rFonts w:hint="eastAsia" w:ascii="Times New Roman" w:hAnsi="Times New Roman" w:eastAsia="宋体"/>
                      <w:b w:val="0"/>
                      <w:bCs w:val="0"/>
                      <w:caps w:val="0"/>
                      <w:color w:val="auto"/>
                      <w:szCs w:val="21"/>
                      <w:highlight w:val="none"/>
                    </w:rPr>
                  </w:pPr>
                </w:p>
              </w:tc>
              <w:tc>
                <w:tcPr>
                  <w:tcW w:w="1285" w:type="pct"/>
                  <w:noWrap w:val="0"/>
                  <w:vAlign w:val="center"/>
                </w:tcPr>
                <w:p w14:paraId="166EECA0">
                  <w:pPr>
                    <w:keepNext w:val="0"/>
                    <w:keepLines w:val="0"/>
                    <w:pageBreakBefore w:val="0"/>
                    <w:suppressLineNumbers w:val="0"/>
                    <w:kinsoku/>
                    <w:wordWrap/>
                    <w:autoSpaceDE w:val="0"/>
                    <w:autoSpaceDN w:val="0"/>
                    <w:bidi w:val="0"/>
                    <w:adjustRightInd/>
                    <w:snapToGrid/>
                    <w:spacing w:before="0" w:beforeAutospacing="0" w:after="0" w:afterAutospacing="0"/>
                    <w:ind w:left="-105" w:leftChars="-50" w:right="-105" w:rightChars="-50"/>
                    <w:jc w:val="center"/>
                    <w:rPr>
                      <w:rFonts w:hint="default" w:ascii="Times New Roman" w:hAnsi="Times New Roman" w:eastAsia="宋体"/>
                      <w:b w:val="0"/>
                      <w:bCs w:val="0"/>
                      <w:caps w:val="0"/>
                      <w:color w:val="auto"/>
                      <w:szCs w:val="21"/>
                      <w:highlight w:val="none"/>
                    </w:rPr>
                  </w:pPr>
                  <w:r>
                    <w:rPr>
                      <w:rFonts w:hint="eastAsia" w:ascii="Times New Roman" w:hAnsi="Times New Roman" w:eastAsia="宋体"/>
                      <w:b w:val="0"/>
                      <w:bCs w:val="0"/>
                      <w:caps w:val="0"/>
                      <w:color w:val="auto"/>
                      <w:szCs w:val="21"/>
                      <w:highlight w:val="none"/>
                    </w:rPr>
                    <w:t>结果</w:t>
                  </w:r>
                  <w:r>
                    <w:rPr>
                      <w:rFonts w:hint="eastAsia" w:ascii="Times New Roman" w:hAnsi="Times New Roman" w:eastAsia="宋体"/>
                      <w:b w:val="0"/>
                      <w:bCs w:val="0"/>
                      <w:color w:val="auto"/>
                      <w:szCs w:val="21"/>
                      <w:highlight w:val="none"/>
                    </w:rPr>
                    <w:t>（</w:t>
                  </w:r>
                  <w:r>
                    <w:rPr>
                      <w:rFonts w:hint="default" w:ascii="Times New Roman" w:hAnsi="Times New Roman" w:eastAsia="宋体"/>
                      <w:b w:val="0"/>
                      <w:bCs w:val="0"/>
                      <w:caps w:val="0"/>
                      <w:color w:val="auto"/>
                      <w:sz w:val="21"/>
                      <w:highlight w:val="none"/>
                    </w:rPr>
                    <w:t>µg/m</w:t>
                  </w:r>
                  <w:r>
                    <w:rPr>
                      <w:rFonts w:hint="default" w:ascii="Times New Roman" w:hAnsi="Times New Roman" w:eastAsia="宋体"/>
                      <w:b w:val="0"/>
                      <w:bCs w:val="0"/>
                      <w:caps w:val="0"/>
                      <w:color w:val="auto"/>
                      <w:position w:val="7"/>
                      <w:sz w:val="14"/>
                      <w:highlight w:val="none"/>
                    </w:rPr>
                    <w:t>3</w:t>
                  </w:r>
                  <w:r>
                    <w:rPr>
                      <w:rFonts w:hint="eastAsia" w:ascii="Times New Roman" w:hAnsi="Times New Roman" w:eastAsia="宋体"/>
                      <w:b w:val="0"/>
                      <w:bCs w:val="0"/>
                      <w:color w:val="auto"/>
                      <w:szCs w:val="21"/>
                      <w:highlight w:val="none"/>
                    </w:rPr>
                    <w:t>）</w:t>
                  </w:r>
                </w:p>
              </w:tc>
              <w:tc>
                <w:tcPr>
                  <w:tcW w:w="1198" w:type="pct"/>
                  <w:noWrap w:val="0"/>
                  <w:vAlign w:val="center"/>
                </w:tcPr>
                <w:p w14:paraId="7DE8987C">
                  <w:pPr>
                    <w:keepNext w:val="0"/>
                    <w:keepLines w:val="0"/>
                    <w:pageBreakBefore w:val="0"/>
                    <w:suppressLineNumbers w:val="0"/>
                    <w:kinsoku/>
                    <w:wordWrap/>
                    <w:autoSpaceDE w:val="0"/>
                    <w:autoSpaceDN w:val="0"/>
                    <w:bidi w:val="0"/>
                    <w:adjustRightInd/>
                    <w:snapToGrid/>
                    <w:spacing w:before="0" w:beforeAutospacing="0" w:after="0" w:afterAutospacing="0"/>
                    <w:ind w:left="-105" w:leftChars="-50" w:right="-105" w:rightChars="-50"/>
                    <w:jc w:val="center"/>
                    <w:rPr>
                      <w:rFonts w:hint="default" w:ascii="Times New Roman" w:hAnsi="Times New Roman" w:eastAsia="宋体"/>
                      <w:b w:val="0"/>
                      <w:bCs w:val="0"/>
                      <w:caps w:val="0"/>
                      <w:color w:val="auto"/>
                      <w:szCs w:val="21"/>
                      <w:highlight w:val="none"/>
                    </w:rPr>
                  </w:pPr>
                  <w:r>
                    <w:rPr>
                      <w:rFonts w:hint="eastAsia" w:ascii="Times New Roman" w:hAnsi="Times New Roman" w:eastAsia="宋体"/>
                      <w:b w:val="0"/>
                      <w:bCs w:val="0"/>
                      <w:caps w:val="0"/>
                      <w:color w:val="auto"/>
                      <w:szCs w:val="21"/>
                      <w:highlight w:val="none"/>
                    </w:rPr>
                    <w:t>占标率（%）</w:t>
                  </w:r>
                </w:p>
              </w:tc>
            </w:tr>
            <w:tr w14:paraId="13EF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81" w:type="pct"/>
                  <w:vMerge w:val="restart"/>
                  <w:noWrap w:val="0"/>
                  <w:vAlign w:val="center"/>
                </w:tcPr>
                <w:p w14:paraId="12EEBA54">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rPr>
                      <w:rFonts w:hint="default" w:ascii="Times New Roman" w:hAnsi="Times New Roman" w:eastAsia="宋体"/>
                      <w:caps w:val="0"/>
                      <w:color w:val="auto"/>
                      <w:szCs w:val="21"/>
                      <w:highlight w:val="none"/>
                      <w:lang w:val="en-US" w:eastAsia="zh-CN"/>
                    </w:rPr>
                  </w:pPr>
                  <w:r>
                    <w:rPr>
                      <w:rFonts w:hint="eastAsia"/>
                      <w:caps w:val="0"/>
                      <w:color w:val="auto"/>
                      <w:highlight w:val="none"/>
                      <w:lang w:val="en-US" w:eastAsia="zh-CN"/>
                    </w:rPr>
                    <w:t>G1</w:t>
                  </w:r>
                  <w:r>
                    <w:rPr>
                      <w:rFonts w:hint="eastAsia" w:ascii="Times New Roman" w:hAnsi="Times New Roman" w:eastAsia="宋体"/>
                      <w:caps w:val="0"/>
                      <w:color w:val="auto"/>
                      <w:highlight w:val="none"/>
                      <w:lang w:val="en-US" w:eastAsia="zh-CN"/>
                    </w:rPr>
                    <w:t>（项目东侧约</w:t>
                  </w:r>
                  <w:r>
                    <w:rPr>
                      <w:rFonts w:hint="eastAsia"/>
                      <w:caps w:val="0"/>
                      <w:color w:val="auto"/>
                      <w:highlight w:val="none"/>
                      <w:lang w:val="en-US" w:eastAsia="zh-CN"/>
                    </w:rPr>
                    <w:t>540</w:t>
                  </w:r>
                  <w:r>
                    <w:rPr>
                      <w:rFonts w:hint="eastAsia" w:ascii="Times New Roman" w:hAnsi="Times New Roman" w:eastAsia="宋体"/>
                      <w:caps w:val="0"/>
                      <w:color w:val="auto"/>
                      <w:highlight w:val="none"/>
                      <w:lang w:val="en-US" w:eastAsia="zh-CN"/>
                    </w:rPr>
                    <w:t>m处）</w:t>
                  </w:r>
                </w:p>
              </w:tc>
              <w:tc>
                <w:tcPr>
                  <w:tcW w:w="1434" w:type="pct"/>
                  <w:noWrap w:val="0"/>
                  <w:vAlign w:val="center"/>
                </w:tcPr>
                <w:p w14:paraId="49B86C45">
                  <w:pPr>
                    <w:keepNext w:val="0"/>
                    <w:keepLines w:val="0"/>
                    <w:suppressLineNumbers w:val="0"/>
                    <w:spacing w:before="0" w:beforeAutospacing="0" w:after="0" w:afterAutospacing="0"/>
                    <w:ind w:left="0" w:right="0"/>
                    <w:jc w:val="center"/>
                    <w:rPr>
                      <w:rFonts w:hint="default" w:ascii="Times New Roman" w:hAnsi="Times New Roman" w:eastAsia="宋体"/>
                      <w:caps w:val="0"/>
                      <w:color w:val="auto"/>
                      <w:szCs w:val="21"/>
                      <w:highlight w:val="none"/>
                      <w:lang w:val="en-US" w:eastAsia="zh-CN"/>
                    </w:rPr>
                  </w:pPr>
                  <w:r>
                    <w:rPr>
                      <w:rFonts w:hint="eastAsia"/>
                      <w:color w:val="auto"/>
                      <w:szCs w:val="21"/>
                      <w:highlight w:val="none"/>
                    </w:rPr>
                    <w:t>202</w:t>
                  </w:r>
                  <w:r>
                    <w:rPr>
                      <w:rFonts w:hint="eastAsia"/>
                      <w:color w:val="auto"/>
                      <w:szCs w:val="21"/>
                      <w:highlight w:val="none"/>
                      <w:lang w:val="en-US" w:eastAsia="zh-CN"/>
                    </w:rPr>
                    <w:t>6</w:t>
                  </w:r>
                  <w:r>
                    <w:rPr>
                      <w:rFonts w:hint="eastAsia"/>
                      <w:color w:val="auto"/>
                      <w:szCs w:val="21"/>
                      <w:highlight w:val="none"/>
                    </w:rPr>
                    <w:t>.</w:t>
                  </w:r>
                  <w:r>
                    <w:rPr>
                      <w:rFonts w:hint="eastAsia"/>
                      <w:color w:val="auto"/>
                      <w:szCs w:val="21"/>
                      <w:highlight w:val="none"/>
                      <w:lang w:val="en-US" w:eastAsia="zh-CN"/>
                    </w:rPr>
                    <w:t>06</w:t>
                  </w:r>
                  <w:r>
                    <w:rPr>
                      <w:rFonts w:hint="eastAsia"/>
                      <w:color w:val="auto"/>
                      <w:szCs w:val="21"/>
                      <w:highlight w:val="none"/>
                    </w:rPr>
                    <w:t>.</w:t>
                  </w:r>
                  <w:r>
                    <w:rPr>
                      <w:rFonts w:hint="eastAsia"/>
                      <w:color w:val="auto"/>
                      <w:szCs w:val="21"/>
                      <w:highlight w:val="none"/>
                      <w:lang w:val="en-US" w:eastAsia="zh-CN"/>
                    </w:rPr>
                    <w:t>06</w:t>
                  </w:r>
                  <w:r>
                    <w:rPr>
                      <w:rFonts w:hint="eastAsia"/>
                      <w:color w:val="auto"/>
                      <w:szCs w:val="21"/>
                      <w:highlight w:val="none"/>
                    </w:rPr>
                    <w:t>-</w:t>
                  </w:r>
                  <w:r>
                    <w:rPr>
                      <w:rFonts w:hint="eastAsia"/>
                      <w:color w:val="auto"/>
                      <w:szCs w:val="21"/>
                      <w:highlight w:val="none"/>
                      <w:lang w:val="en-US" w:eastAsia="zh-CN"/>
                    </w:rPr>
                    <w:t>2026.06.07</w:t>
                  </w:r>
                </w:p>
              </w:tc>
              <w:tc>
                <w:tcPr>
                  <w:tcW w:w="1285" w:type="pct"/>
                  <w:noWrap w:val="0"/>
                  <w:vAlign w:val="center"/>
                </w:tcPr>
                <w:p w14:paraId="65E53953">
                  <w:pPr>
                    <w:keepNext w:val="0"/>
                    <w:keepLines w:val="0"/>
                    <w:suppressLineNumbers w:val="0"/>
                    <w:spacing w:before="0" w:beforeAutospacing="0" w:after="0" w:afterAutospacing="0"/>
                    <w:ind w:left="0" w:right="0"/>
                    <w:jc w:val="center"/>
                    <w:rPr>
                      <w:rFonts w:hint="default" w:ascii="Times New Roman" w:hAnsi="Times New Roman" w:eastAsia="宋体"/>
                      <w:caps w:val="0"/>
                      <w:color w:val="auto"/>
                      <w:highlight w:val="none"/>
                      <w:lang w:val="en-US" w:eastAsia="zh-CN"/>
                    </w:rPr>
                  </w:pPr>
                  <w:r>
                    <w:rPr>
                      <w:rFonts w:hint="eastAsia"/>
                      <w:caps w:val="0"/>
                      <w:color w:val="auto"/>
                      <w:highlight w:val="none"/>
                      <w:lang w:val="en-US" w:eastAsia="zh-CN"/>
                    </w:rPr>
                    <w:t>225</w:t>
                  </w:r>
                </w:p>
              </w:tc>
              <w:tc>
                <w:tcPr>
                  <w:tcW w:w="1198" w:type="pct"/>
                  <w:noWrap w:val="0"/>
                  <w:vAlign w:val="center"/>
                </w:tcPr>
                <w:p w14:paraId="1B7BE14A">
                  <w:pPr>
                    <w:keepNext w:val="0"/>
                    <w:keepLines w:val="0"/>
                    <w:suppressLineNumbers w:val="0"/>
                    <w:spacing w:before="0" w:beforeAutospacing="0" w:after="0" w:afterAutospacing="0"/>
                    <w:ind w:left="0" w:right="0"/>
                    <w:jc w:val="center"/>
                    <w:rPr>
                      <w:rFonts w:hint="default" w:ascii="Times New Roman" w:hAnsi="Times New Roman" w:eastAsia="宋体" w:cs="Times New Roman"/>
                      <w:caps w:val="0"/>
                      <w:color w:val="auto"/>
                      <w:highlight w:val="none"/>
                      <w:lang w:val="en-US" w:eastAsia="zh-CN"/>
                    </w:rPr>
                  </w:pPr>
                  <w:r>
                    <w:rPr>
                      <w:rFonts w:hint="eastAsia" w:cs="Times New Roman"/>
                      <w:caps w:val="0"/>
                      <w:color w:val="auto"/>
                      <w:highlight w:val="none"/>
                      <w:lang w:val="en-US" w:eastAsia="zh-CN"/>
                    </w:rPr>
                    <w:t>75.00</w:t>
                  </w:r>
                </w:p>
              </w:tc>
            </w:tr>
            <w:tr w14:paraId="5BB0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81" w:type="pct"/>
                  <w:vMerge w:val="continue"/>
                  <w:noWrap w:val="0"/>
                  <w:vAlign w:val="center"/>
                </w:tcPr>
                <w:p w14:paraId="5C2DD29A">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rPr>
                      <w:rFonts w:hint="default" w:ascii="Times New Roman" w:hAnsi="Times New Roman" w:eastAsia="宋体"/>
                      <w:caps w:val="0"/>
                      <w:color w:val="auto"/>
                      <w:szCs w:val="21"/>
                      <w:highlight w:val="none"/>
                    </w:rPr>
                  </w:pPr>
                </w:p>
              </w:tc>
              <w:tc>
                <w:tcPr>
                  <w:tcW w:w="1434" w:type="pct"/>
                  <w:noWrap w:val="0"/>
                  <w:vAlign w:val="center"/>
                </w:tcPr>
                <w:p w14:paraId="6F95650C">
                  <w:pPr>
                    <w:keepNext w:val="0"/>
                    <w:keepLines w:val="0"/>
                    <w:suppressLineNumbers w:val="0"/>
                    <w:spacing w:before="0" w:beforeAutospacing="0" w:after="0" w:afterAutospacing="0"/>
                    <w:ind w:left="0" w:right="0"/>
                    <w:jc w:val="center"/>
                    <w:rPr>
                      <w:rFonts w:hint="default" w:ascii="Times New Roman" w:hAnsi="Times New Roman" w:eastAsia="宋体"/>
                      <w:caps w:val="0"/>
                      <w:color w:val="auto"/>
                      <w:szCs w:val="21"/>
                      <w:highlight w:val="none"/>
                      <w:lang w:val="en-US" w:eastAsia="zh-CN"/>
                    </w:rPr>
                  </w:pPr>
                  <w:r>
                    <w:rPr>
                      <w:rFonts w:hint="eastAsia"/>
                      <w:color w:val="auto"/>
                      <w:szCs w:val="21"/>
                      <w:highlight w:val="none"/>
                    </w:rPr>
                    <w:t>202</w:t>
                  </w:r>
                  <w:r>
                    <w:rPr>
                      <w:rFonts w:hint="eastAsia"/>
                      <w:color w:val="auto"/>
                      <w:szCs w:val="21"/>
                      <w:highlight w:val="none"/>
                      <w:lang w:val="en-US" w:eastAsia="zh-CN"/>
                    </w:rPr>
                    <w:t>6</w:t>
                  </w:r>
                  <w:r>
                    <w:rPr>
                      <w:rFonts w:hint="eastAsia"/>
                      <w:color w:val="auto"/>
                      <w:szCs w:val="21"/>
                      <w:highlight w:val="none"/>
                    </w:rPr>
                    <w:t>.</w:t>
                  </w:r>
                  <w:r>
                    <w:rPr>
                      <w:rFonts w:hint="eastAsia"/>
                      <w:color w:val="auto"/>
                      <w:szCs w:val="21"/>
                      <w:highlight w:val="none"/>
                      <w:lang w:val="en-US" w:eastAsia="zh-CN"/>
                    </w:rPr>
                    <w:t>06</w:t>
                  </w:r>
                  <w:r>
                    <w:rPr>
                      <w:rFonts w:hint="eastAsia"/>
                      <w:color w:val="auto"/>
                      <w:szCs w:val="21"/>
                      <w:highlight w:val="none"/>
                    </w:rPr>
                    <w:t>.</w:t>
                  </w:r>
                  <w:r>
                    <w:rPr>
                      <w:rFonts w:hint="eastAsia"/>
                      <w:color w:val="auto"/>
                      <w:szCs w:val="21"/>
                      <w:highlight w:val="none"/>
                      <w:lang w:val="en-US" w:eastAsia="zh-CN"/>
                    </w:rPr>
                    <w:t>07</w:t>
                  </w:r>
                  <w:r>
                    <w:rPr>
                      <w:rFonts w:hint="eastAsia"/>
                      <w:color w:val="auto"/>
                      <w:szCs w:val="21"/>
                      <w:highlight w:val="none"/>
                    </w:rPr>
                    <w:t>-</w:t>
                  </w:r>
                  <w:r>
                    <w:rPr>
                      <w:rFonts w:hint="eastAsia"/>
                      <w:color w:val="auto"/>
                      <w:szCs w:val="21"/>
                      <w:highlight w:val="none"/>
                      <w:lang w:val="en-US" w:eastAsia="zh-CN"/>
                    </w:rPr>
                    <w:t>2026.06.08</w:t>
                  </w:r>
                </w:p>
              </w:tc>
              <w:tc>
                <w:tcPr>
                  <w:tcW w:w="1285" w:type="pct"/>
                  <w:noWrap w:val="0"/>
                  <w:vAlign w:val="center"/>
                </w:tcPr>
                <w:p w14:paraId="682DB33B">
                  <w:pPr>
                    <w:keepNext w:val="0"/>
                    <w:keepLines w:val="0"/>
                    <w:suppressLineNumbers w:val="0"/>
                    <w:spacing w:before="0" w:beforeAutospacing="0" w:after="0" w:afterAutospacing="0"/>
                    <w:ind w:left="0" w:right="0"/>
                    <w:jc w:val="center"/>
                    <w:rPr>
                      <w:rFonts w:hint="default" w:ascii="Times New Roman" w:hAnsi="Times New Roman" w:eastAsia="宋体"/>
                      <w:caps w:val="0"/>
                      <w:color w:val="auto"/>
                      <w:highlight w:val="none"/>
                      <w:lang w:val="en-US" w:eastAsia="zh-CN"/>
                    </w:rPr>
                  </w:pPr>
                  <w:r>
                    <w:rPr>
                      <w:rFonts w:hint="eastAsia"/>
                      <w:caps w:val="0"/>
                      <w:color w:val="auto"/>
                      <w:highlight w:val="none"/>
                      <w:lang w:val="en-US" w:eastAsia="zh-CN"/>
                    </w:rPr>
                    <w:t>251</w:t>
                  </w:r>
                </w:p>
              </w:tc>
              <w:tc>
                <w:tcPr>
                  <w:tcW w:w="1198" w:type="pct"/>
                  <w:noWrap w:val="0"/>
                  <w:vAlign w:val="center"/>
                </w:tcPr>
                <w:p w14:paraId="5F135282">
                  <w:pPr>
                    <w:keepNext w:val="0"/>
                    <w:keepLines w:val="0"/>
                    <w:suppressLineNumbers w:val="0"/>
                    <w:spacing w:before="0" w:beforeAutospacing="0" w:after="0" w:afterAutospacing="0"/>
                    <w:ind w:left="0" w:right="0"/>
                    <w:jc w:val="center"/>
                    <w:rPr>
                      <w:rFonts w:hint="default" w:ascii="Times New Roman" w:hAnsi="Times New Roman" w:eastAsia="宋体" w:cs="Times New Roman"/>
                      <w:caps w:val="0"/>
                      <w:color w:val="auto"/>
                      <w:highlight w:val="none"/>
                      <w:lang w:val="en-US" w:eastAsia="zh-CN"/>
                    </w:rPr>
                  </w:pPr>
                  <w:r>
                    <w:rPr>
                      <w:rFonts w:hint="eastAsia" w:cs="Times New Roman"/>
                      <w:caps w:val="0"/>
                      <w:color w:val="auto"/>
                      <w:highlight w:val="none"/>
                      <w:lang w:val="en-US" w:eastAsia="zh-CN"/>
                    </w:rPr>
                    <w:t>83.67</w:t>
                  </w:r>
                </w:p>
              </w:tc>
            </w:tr>
            <w:tr w14:paraId="00DB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81" w:type="pct"/>
                  <w:vMerge w:val="continue"/>
                  <w:noWrap w:val="0"/>
                  <w:vAlign w:val="center"/>
                </w:tcPr>
                <w:p w14:paraId="0AD7D835">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rPr>
                      <w:rFonts w:hint="default" w:ascii="Times New Roman" w:hAnsi="Times New Roman" w:eastAsia="宋体"/>
                      <w:caps w:val="0"/>
                      <w:color w:val="auto"/>
                      <w:szCs w:val="21"/>
                      <w:highlight w:val="none"/>
                    </w:rPr>
                  </w:pPr>
                </w:p>
              </w:tc>
              <w:tc>
                <w:tcPr>
                  <w:tcW w:w="1434" w:type="pct"/>
                  <w:noWrap w:val="0"/>
                  <w:vAlign w:val="center"/>
                </w:tcPr>
                <w:p w14:paraId="264410E0">
                  <w:pPr>
                    <w:keepNext w:val="0"/>
                    <w:keepLines w:val="0"/>
                    <w:suppressLineNumbers w:val="0"/>
                    <w:spacing w:before="0" w:beforeAutospacing="0" w:after="0" w:afterAutospacing="0"/>
                    <w:ind w:left="0" w:right="0"/>
                    <w:jc w:val="center"/>
                    <w:rPr>
                      <w:rFonts w:hint="default" w:ascii="Times New Roman" w:hAnsi="Times New Roman" w:eastAsia="宋体"/>
                      <w:caps w:val="0"/>
                      <w:color w:val="auto"/>
                      <w:szCs w:val="21"/>
                      <w:highlight w:val="none"/>
                      <w:lang w:val="en-US" w:eastAsia="zh-CN"/>
                    </w:rPr>
                  </w:pPr>
                  <w:r>
                    <w:rPr>
                      <w:rFonts w:hint="eastAsia"/>
                      <w:color w:val="auto"/>
                      <w:szCs w:val="21"/>
                      <w:highlight w:val="none"/>
                    </w:rPr>
                    <w:t>202</w:t>
                  </w:r>
                  <w:r>
                    <w:rPr>
                      <w:rFonts w:hint="eastAsia"/>
                      <w:color w:val="auto"/>
                      <w:szCs w:val="21"/>
                      <w:highlight w:val="none"/>
                      <w:lang w:val="en-US" w:eastAsia="zh-CN"/>
                    </w:rPr>
                    <w:t>6</w:t>
                  </w:r>
                  <w:r>
                    <w:rPr>
                      <w:rFonts w:hint="eastAsia"/>
                      <w:color w:val="auto"/>
                      <w:szCs w:val="21"/>
                      <w:highlight w:val="none"/>
                    </w:rPr>
                    <w:t>.</w:t>
                  </w:r>
                  <w:r>
                    <w:rPr>
                      <w:rFonts w:hint="eastAsia"/>
                      <w:color w:val="auto"/>
                      <w:szCs w:val="21"/>
                      <w:highlight w:val="none"/>
                      <w:lang w:val="en-US" w:eastAsia="zh-CN"/>
                    </w:rPr>
                    <w:t>06</w:t>
                  </w:r>
                  <w:r>
                    <w:rPr>
                      <w:rFonts w:hint="eastAsia"/>
                      <w:color w:val="auto"/>
                      <w:szCs w:val="21"/>
                      <w:highlight w:val="none"/>
                    </w:rPr>
                    <w:t>.</w:t>
                  </w:r>
                  <w:r>
                    <w:rPr>
                      <w:rFonts w:hint="eastAsia"/>
                      <w:color w:val="auto"/>
                      <w:szCs w:val="21"/>
                      <w:highlight w:val="none"/>
                      <w:lang w:val="en-US" w:eastAsia="zh-CN"/>
                    </w:rPr>
                    <w:t>08</w:t>
                  </w:r>
                  <w:r>
                    <w:rPr>
                      <w:rFonts w:hint="eastAsia"/>
                      <w:color w:val="auto"/>
                      <w:szCs w:val="21"/>
                      <w:highlight w:val="none"/>
                    </w:rPr>
                    <w:t>-</w:t>
                  </w:r>
                  <w:r>
                    <w:rPr>
                      <w:rFonts w:hint="eastAsia"/>
                      <w:color w:val="auto"/>
                      <w:szCs w:val="21"/>
                      <w:highlight w:val="none"/>
                      <w:lang w:val="en-US" w:eastAsia="zh-CN"/>
                    </w:rPr>
                    <w:t>2026.06.09</w:t>
                  </w:r>
                </w:p>
              </w:tc>
              <w:tc>
                <w:tcPr>
                  <w:tcW w:w="1285" w:type="pct"/>
                  <w:noWrap w:val="0"/>
                  <w:vAlign w:val="center"/>
                </w:tcPr>
                <w:p w14:paraId="5CA4D820">
                  <w:pPr>
                    <w:keepNext w:val="0"/>
                    <w:keepLines w:val="0"/>
                    <w:suppressLineNumbers w:val="0"/>
                    <w:spacing w:before="0" w:beforeAutospacing="0" w:after="0" w:afterAutospacing="0"/>
                    <w:ind w:left="0" w:right="0"/>
                    <w:jc w:val="center"/>
                    <w:rPr>
                      <w:rFonts w:hint="default" w:ascii="Times New Roman" w:hAnsi="Times New Roman" w:eastAsia="宋体"/>
                      <w:caps w:val="0"/>
                      <w:color w:val="auto"/>
                      <w:highlight w:val="none"/>
                      <w:lang w:val="en-US" w:eastAsia="zh-CN"/>
                    </w:rPr>
                  </w:pPr>
                  <w:r>
                    <w:rPr>
                      <w:rFonts w:hint="eastAsia"/>
                      <w:caps w:val="0"/>
                      <w:color w:val="auto"/>
                      <w:highlight w:val="none"/>
                      <w:lang w:val="en-US" w:eastAsia="zh-CN"/>
                    </w:rPr>
                    <w:t>257</w:t>
                  </w:r>
                </w:p>
              </w:tc>
              <w:tc>
                <w:tcPr>
                  <w:tcW w:w="1198" w:type="pct"/>
                  <w:noWrap w:val="0"/>
                  <w:vAlign w:val="center"/>
                </w:tcPr>
                <w:p w14:paraId="27C8A38F">
                  <w:pPr>
                    <w:keepNext w:val="0"/>
                    <w:keepLines w:val="0"/>
                    <w:suppressLineNumbers w:val="0"/>
                    <w:spacing w:before="0" w:beforeAutospacing="0" w:after="0" w:afterAutospacing="0"/>
                    <w:ind w:left="0" w:right="0"/>
                    <w:jc w:val="center"/>
                    <w:rPr>
                      <w:rFonts w:hint="default" w:ascii="Times New Roman" w:hAnsi="Times New Roman" w:eastAsia="宋体" w:cs="Times New Roman"/>
                      <w:caps w:val="0"/>
                      <w:color w:val="auto"/>
                      <w:highlight w:val="none"/>
                      <w:lang w:val="en-US" w:eastAsia="zh-CN"/>
                    </w:rPr>
                  </w:pPr>
                  <w:r>
                    <w:rPr>
                      <w:rFonts w:hint="eastAsia" w:cs="Times New Roman"/>
                      <w:caps w:val="0"/>
                      <w:color w:val="auto"/>
                      <w:highlight w:val="none"/>
                      <w:lang w:val="en-US" w:eastAsia="zh-CN"/>
                    </w:rPr>
                    <w:t>85.67</w:t>
                  </w:r>
                </w:p>
              </w:tc>
            </w:tr>
            <w:tr w14:paraId="2327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16" w:type="pct"/>
                  <w:gridSpan w:val="2"/>
                  <w:noWrap w:val="0"/>
                  <w:vAlign w:val="center"/>
                </w:tcPr>
                <w:p w14:paraId="17A853F2">
                  <w:pPr>
                    <w:keepNext w:val="0"/>
                    <w:keepLines w:val="0"/>
                    <w:pageBreakBefore w:val="0"/>
                    <w:widowControl/>
                    <w:suppressLineNumbers w:val="0"/>
                    <w:kinsoku/>
                    <w:wordWrap/>
                    <w:bidi w:val="0"/>
                    <w:adjustRightInd/>
                    <w:snapToGrid/>
                    <w:spacing w:before="0" w:beforeAutospacing="0" w:after="0" w:afterAutospacing="0"/>
                    <w:ind w:left="-105" w:leftChars="-50" w:right="-105" w:rightChars="-50"/>
                    <w:jc w:val="center"/>
                    <w:textAlignment w:val="center"/>
                    <w:rPr>
                      <w:rFonts w:hint="eastAsia" w:ascii="Times New Roman" w:hAnsi="Times New Roman" w:eastAsia="宋体"/>
                      <w:caps w:val="0"/>
                      <w:color w:val="auto"/>
                      <w:szCs w:val="21"/>
                      <w:highlight w:val="none"/>
                      <w:lang w:val="en-US" w:eastAsia="zh-CN"/>
                    </w:rPr>
                  </w:pPr>
                  <w:r>
                    <w:rPr>
                      <w:rFonts w:hint="eastAsia" w:ascii="Times New Roman" w:hAnsi="Times New Roman" w:eastAsia="宋体"/>
                      <w:caps w:val="0"/>
                      <w:color w:val="auto"/>
                      <w:szCs w:val="21"/>
                      <w:highlight w:val="none"/>
                    </w:rPr>
                    <w:t>评价标准</w:t>
                  </w:r>
                </w:p>
              </w:tc>
              <w:tc>
                <w:tcPr>
                  <w:tcW w:w="2483" w:type="pct"/>
                  <w:gridSpan w:val="2"/>
                  <w:noWrap w:val="0"/>
                  <w:vAlign w:val="center"/>
                </w:tcPr>
                <w:p w14:paraId="479FFDC2">
                  <w:pPr>
                    <w:keepNext w:val="0"/>
                    <w:keepLines w:val="0"/>
                    <w:pageBreakBefore w:val="0"/>
                    <w:suppressLineNumbers w:val="0"/>
                    <w:kinsoku/>
                    <w:wordWrap/>
                    <w:bidi w:val="0"/>
                    <w:adjustRightInd/>
                    <w:snapToGrid/>
                    <w:spacing w:before="0" w:beforeAutospacing="0" w:after="0" w:afterAutospacing="0"/>
                    <w:ind w:left="-105" w:leftChars="-50" w:right="-105" w:rightChars="-50"/>
                    <w:jc w:val="center"/>
                    <w:rPr>
                      <w:rFonts w:hint="default" w:ascii="Times New Roman" w:hAnsi="Times New Roman" w:eastAsia="宋体"/>
                      <w:caps w:val="0"/>
                      <w:color w:val="auto"/>
                      <w:kern w:val="2"/>
                      <w:sz w:val="21"/>
                      <w:szCs w:val="24"/>
                      <w:highlight w:val="none"/>
                      <w:lang w:val="en-US" w:eastAsia="zh-CN" w:bidi="ar-SA"/>
                    </w:rPr>
                  </w:pPr>
                  <w:r>
                    <w:rPr>
                      <w:rFonts w:hint="eastAsia" w:ascii="Times New Roman" w:hAnsi="Times New Roman" w:eastAsia="宋体"/>
                      <w:color w:val="auto"/>
                      <w:kern w:val="0"/>
                      <w:szCs w:val="21"/>
                      <w:highlight w:val="none"/>
                      <w:lang w:val="en-US" w:eastAsia="zh-CN" w:bidi="ar"/>
                    </w:rPr>
                    <w:t>300</w:t>
                  </w:r>
                  <w:r>
                    <w:rPr>
                      <w:rFonts w:hint="default" w:ascii="Times New Roman" w:hAnsi="Times New Roman" w:eastAsia="宋体"/>
                      <w:caps w:val="0"/>
                      <w:color w:val="auto"/>
                      <w:sz w:val="21"/>
                      <w:highlight w:val="none"/>
                    </w:rPr>
                    <w:t>µg/m</w:t>
                  </w:r>
                  <w:r>
                    <w:rPr>
                      <w:rFonts w:hint="default" w:ascii="Times New Roman" w:hAnsi="Times New Roman" w:eastAsia="宋体"/>
                      <w:caps w:val="0"/>
                      <w:color w:val="auto"/>
                      <w:position w:val="7"/>
                      <w:sz w:val="14"/>
                      <w:highlight w:val="none"/>
                    </w:rPr>
                    <w:t>3</w:t>
                  </w:r>
                </w:p>
              </w:tc>
            </w:tr>
          </w:tbl>
          <w:p w14:paraId="364B747E">
            <w:pPr>
              <w:keepNext w:val="0"/>
              <w:keepLines w:val="0"/>
              <w:pageBreakBefore w:val="0"/>
              <w:widowControl w:val="0"/>
              <w:suppressLineNumbers w:val="0"/>
              <w:kinsoku/>
              <w:wordWrap/>
              <w:overflowPunct/>
              <w:topLinePunct/>
              <w:autoSpaceDE/>
              <w:autoSpaceDN/>
              <w:bidi w:val="0"/>
              <w:adjustRightInd/>
              <w:snapToGrid/>
              <w:spacing w:before="157" w:beforeLines="5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5</w:t>
            </w:r>
            <w:r>
              <w:rPr>
                <w:rFonts w:hint="default" w:ascii="Times New Roman" w:hAnsi="Times New Roman" w:cs="Times New Roman"/>
                <w:b/>
                <w:bCs/>
                <w:color w:val="auto"/>
                <w:sz w:val="24"/>
                <w:szCs w:val="24"/>
                <w:highlight w:val="none"/>
                <w:lang w:val="en-GB"/>
              </w:rPr>
              <w:t>、</w:t>
            </w:r>
            <w:r>
              <w:rPr>
                <w:rFonts w:hint="eastAsia" w:ascii="Times New Roman" w:hAnsi="Times New Roman" w:cs="Times New Roman"/>
                <w:b/>
                <w:bCs/>
                <w:color w:val="auto"/>
                <w:sz w:val="24"/>
                <w:szCs w:val="24"/>
                <w:highlight w:val="none"/>
                <w:lang w:val="en-US" w:eastAsia="zh-CN"/>
              </w:rPr>
              <w:t>地表</w:t>
            </w:r>
            <w:r>
              <w:rPr>
                <w:rFonts w:hint="default" w:ascii="Times New Roman" w:hAnsi="Times New Roman" w:cs="Times New Roman"/>
                <w:b/>
                <w:bCs/>
                <w:color w:val="auto"/>
                <w:sz w:val="24"/>
                <w:szCs w:val="24"/>
                <w:highlight w:val="none"/>
                <w:lang w:val="en-US" w:eastAsia="zh-CN"/>
              </w:rPr>
              <w:t>水环境</w:t>
            </w:r>
            <w:r>
              <w:rPr>
                <w:rFonts w:hint="eastAsia" w:ascii="Times New Roman" w:hAnsi="Times New Roman" w:cs="Times New Roman"/>
                <w:b/>
                <w:bCs/>
                <w:color w:val="auto"/>
                <w:sz w:val="24"/>
                <w:szCs w:val="24"/>
                <w:highlight w:val="none"/>
                <w:lang w:val="en-US" w:eastAsia="zh-CN"/>
              </w:rPr>
              <w:t>质量现状调查与评价</w:t>
            </w:r>
          </w:p>
          <w:p w14:paraId="1FE041E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本项目与地表水无水力联系，根据《</w:t>
            </w:r>
            <w:r>
              <w:rPr>
                <w:rFonts w:hint="eastAsia" w:ascii="Times New Roman" w:hAnsi="Times New Roman" w:cs="Times New Roman"/>
                <w:color w:val="auto"/>
                <w:sz w:val="24"/>
                <w:szCs w:val="24"/>
              </w:rPr>
              <w:t xml:space="preserve">环境影响评价技术导则 </w:t>
            </w:r>
            <w:r>
              <w:rPr>
                <w:rFonts w:hint="eastAsia" w:ascii="Times New Roman" w:hAnsi="Times New Roman" w:cs="Times New Roman"/>
                <w:color w:val="auto"/>
                <w:sz w:val="24"/>
                <w:szCs w:val="24"/>
                <w:lang w:val="en-US" w:eastAsia="zh-CN"/>
              </w:rPr>
              <w:t>地表水</w:t>
            </w:r>
            <w:r>
              <w:rPr>
                <w:rFonts w:hint="eastAsia" w:ascii="Times New Roman" w:hAnsi="Times New Roman" w:cs="Times New Roman"/>
                <w:color w:val="auto"/>
                <w:sz w:val="24"/>
                <w:szCs w:val="24"/>
              </w:rPr>
              <w:t>环境</w:t>
            </w:r>
            <w:r>
              <w:rPr>
                <w:rFonts w:hint="eastAsia" w:ascii="Times New Roman" w:hAnsi="Times New Roman" w:eastAsia="宋体" w:cs="Times New Roman"/>
                <w:color w:val="auto"/>
                <w:sz w:val="24"/>
                <w:szCs w:val="24"/>
                <w:highlight w:val="none"/>
                <w:lang w:val="en-US" w:eastAsia="zh-CN"/>
              </w:rPr>
              <w:t>》（HJ 2.3-2018），地表水评价等级为三级B，可以不开展现状评价。</w:t>
            </w:r>
          </w:p>
          <w:p w14:paraId="328B880D">
            <w:pPr>
              <w:pStyle w:val="76"/>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6、</w:t>
            </w:r>
            <w:r>
              <w:rPr>
                <w:rFonts w:hint="default" w:ascii="Times New Roman" w:hAnsi="Times New Roman" w:cs="Times New Roman"/>
                <w:b/>
                <w:bCs/>
                <w:color w:val="auto"/>
                <w:kern w:val="0"/>
                <w:sz w:val="24"/>
                <w:szCs w:val="24"/>
                <w:lang w:val="en-US" w:eastAsia="zh-CN"/>
              </w:rPr>
              <w:t>地下水环境</w:t>
            </w:r>
            <w:r>
              <w:rPr>
                <w:rFonts w:hint="eastAsia" w:ascii="Times New Roman" w:hAnsi="Times New Roman" w:cs="Times New Roman"/>
                <w:b/>
                <w:bCs/>
                <w:color w:val="auto"/>
                <w:kern w:val="0"/>
                <w:sz w:val="24"/>
                <w:szCs w:val="24"/>
                <w:lang w:val="en-US" w:eastAsia="zh-CN"/>
              </w:rPr>
              <w:t>质量现状</w:t>
            </w:r>
          </w:p>
          <w:p w14:paraId="37E637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根据《建设项目环境影响报告表编制技术指南（生态影响类）（试行）》，开展专项评价的环境要素，应按照环境影响评价相关技术导则要求进行现状调查和评价，并在表格中填写其现状调查和评价结果概要。不开展专项评价的环境要素，引用与项目距离近的有效数据和调查资料，包括符合时限要求的规划环境影响评价监测数据和调查资料，国家、地方环境质量监测网数据或生态环境主管部门公开发布的生态环境质量数据等；无相关数据的，大气、固定声源环境质量现状监测参照《建设项目环境影响报告表编制技术指南（污染影响类）</w:t>
            </w:r>
            <w:r>
              <w:rPr>
                <w:rFonts w:hint="eastAsia" w:cs="Times New Roman"/>
                <w:b w:val="0"/>
                <w:bCs w:val="0"/>
                <w:color w:val="auto"/>
                <w:sz w:val="24"/>
                <w:szCs w:val="24"/>
                <w:highlight w:val="none"/>
                <w:lang w:val="en-US" w:eastAsia="zh-CN"/>
              </w:rPr>
              <w:t>（试行）》</w:t>
            </w:r>
            <w:r>
              <w:rPr>
                <w:rFonts w:hint="eastAsia" w:ascii="Times New Roman" w:hAnsi="Times New Roman" w:eastAsia="宋体" w:cs="Times New Roman"/>
                <w:b w:val="0"/>
                <w:bCs w:val="0"/>
                <w:color w:val="auto"/>
                <w:sz w:val="24"/>
                <w:szCs w:val="24"/>
                <w:highlight w:val="none"/>
                <w:lang w:val="en-US" w:eastAsia="zh-CN"/>
              </w:rPr>
              <w:t>相关规定开展补充监测，水、生态、土壤等其他环境要素参照环境影响评价相关技术导则开展补充监测和调查。</w:t>
            </w:r>
          </w:p>
          <w:p w14:paraId="1F0DEA6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szCs w:val="24"/>
              </w:rPr>
            </w:pPr>
            <w:r>
              <w:rPr>
                <w:rFonts w:hint="eastAsia" w:cs="Times New Roman"/>
                <w:color w:val="auto"/>
                <w:sz w:val="24"/>
                <w:szCs w:val="24"/>
                <w:lang w:val="en-US" w:eastAsia="zh-CN"/>
              </w:rPr>
              <w:t>根据《国民经济行业分类》（GB/T 4754-2017），本项目行业类别为E4863生态保护工程施工</w:t>
            </w:r>
            <w:r>
              <w:rPr>
                <w:rFonts w:hint="eastAsia" w:ascii="Times New Roman" w:hAnsi="Times New Roman" w:eastAsia="宋体" w:cs="宋体"/>
                <w:color w:val="auto"/>
                <w:sz w:val="24"/>
                <w:szCs w:val="24"/>
                <w:lang w:val="en-US" w:eastAsia="zh-CN"/>
              </w:rPr>
              <w:t>。根据《建设项目环境影响评价分类管理名录》（2021年版），本项目所属行业类别为“</w:t>
            </w:r>
            <w:r>
              <w:rPr>
                <w:rFonts w:hint="default" w:ascii="Times New Roman" w:hAnsi="Times New Roman" w:eastAsia="宋体" w:cs="宋体"/>
                <w:color w:val="auto"/>
                <w:sz w:val="24"/>
                <w:szCs w:val="24"/>
                <w:lang w:val="en-US" w:eastAsia="zh-CN"/>
              </w:rPr>
              <w:t>四</w:t>
            </w:r>
            <w:r>
              <w:rPr>
                <w:rFonts w:hint="eastAsia" w:ascii="Times New Roman" w:hAnsi="Times New Roman" w:eastAsia="宋体" w:cs="宋体"/>
                <w:color w:val="auto"/>
                <w:sz w:val="24"/>
                <w:szCs w:val="24"/>
                <w:lang w:val="en-US" w:eastAsia="zh-CN"/>
              </w:rPr>
              <w:t>、煤炭开采和洗选业06—矿区修复治理工程（含煤矿火烧区治理工程）”。</w:t>
            </w:r>
            <w:r>
              <w:rPr>
                <w:rFonts w:hint="eastAsia" w:ascii="Times New Roman" w:hAnsi="Times New Roman" w:cs="Times New Roman"/>
                <w:color w:val="auto"/>
                <w:sz w:val="24"/>
                <w:szCs w:val="24"/>
              </w:rPr>
              <w:t>根据《环境影响评价技术导则 地下水环境》（HJ210-2016）中附录A地下水环境影响评价行业分类表，本项目</w:t>
            </w:r>
            <w:r>
              <w:rPr>
                <w:rFonts w:hint="eastAsia" w:cs="Times New Roman"/>
                <w:color w:val="auto"/>
                <w:sz w:val="24"/>
                <w:szCs w:val="24"/>
                <w:lang w:val="en-US" w:eastAsia="zh-CN"/>
              </w:rPr>
              <w:t>不属于</w:t>
            </w:r>
            <w:r>
              <w:rPr>
                <w:rFonts w:hint="eastAsia" w:ascii="Times New Roman" w:hAnsi="Times New Roman" w:cs="Times New Roman"/>
                <w:color w:val="auto"/>
                <w:sz w:val="24"/>
                <w:szCs w:val="24"/>
              </w:rPr>
              <w:t>附录A地下水环境影响评价行业分类表</w:t>
            </w:r>
            <w:r>
              <w:rPr>
                <w:rFonts w:hint="eastAsia" w:ascii="Times New Roman" w:hAnsi="Times New Roman" w:cs="Times New Roman"/>
                <w:color w:val="auto"/>
                <w:sz w:val="24"/>
                <w:szCs w:val="24"/>
                <w:lang w:val="en-US" w:eastAsia="zh-CN"/>
              </w:rPr>
              <w:t>中的类别</w:t>
            </w:r>
            <w:r>
              <w:rPr>
                <w:rFonts w:hint="eastAsia" w:ascii="Times New Roman" w:hAnsi="Times New Roman" w:cs="Times New Roman"/>
                <w:color w:val="auto"/>
                <w:sz w:val="24"/>
                <w:szCs w:val="24"/>
              </w:rPr>
              <w:t>，因此</w:t>
            </w:r>
            <w:r>
              <w:rPr>
                <w:rFonts w:hint="eastAsia" w:cs="Times New Roman"/>
                <w:color w:val="auto"/>
                <w:sz w:val="24"/>
                <w:szCs w:val="24"/>
                <w:lang w:eastAsia="zh-CN"/>
              </w:rPr>
              <w:t>，</w:t>
            </w:r>
            <w:r>
              <w:rPr>
                <w:rFonts w:hint="default" w:ascii="Times New Roman" w:hAnsi="Times New Roman" w:eastAsia="宋体" w:cs="Times New Roman"/>
                <w:color w:val="auto"/>
                <w:sz w:val="24"/>
                <w:shd w:val="clear" w:color="auto" w:fill="FFFFFF"/>
              </w:rPr>
              <w:t>本次评价不对地下水</w:t>
            </w:r>
            <w:r>
              <w:rPr>
                <w:rFonts w:hint="eastAsia" w:ascii="Times New Roman" w:hAnsi="Times New Roman" w:eastAsia="宋体" w:cs="Times New Roman"/>
                <w:color w:val="auto"/>
                <w:sz w:val="24"/>
                <w:shd w:val="clear" w:color="auto" w:fill="FFFFFF"/>
                <w:lang w:val="en-US" w:eastAsia="zh-CN"/>
              </w:rPr>
              <w:t>环境</w:t>
            </w:r>
            <w:r>
              <w:rPr>
                <w:rFonts w:hint="default" w:ascii="Times New Roman" w:hAnsi="Times New Roman" w:eastAsia="宋体" w:cs="Times New Roman"/>
                <w:color w:val="auto"/>
                <w:sz w:val="24"/>
                <w:shd w:val="clear" w:color="auto" w:fill="FFFFFF"/>
              </w:rPr>
              <w:t>质量现状进行调查评价</w:t>
            </w:r>
            <w:r>
              <w:rPr>
                <w:rFonts w:hint="eastAsia" w:ascii="Times New Roman" w:hAnsi="Times New Roman" w:cs="Times New Roman"/>
                <w:color w:val="auto"/>
                <w:sz w:val="24"/>
                <w:szCs w:val="24"/>
              </w:rPr>
              <w:t>。</w:t>
            </w:r>
          </w:p>
          <w:p w14:paraId="2BA3E1A2">
            <w:pPr>
              <w:keepNext w:val="0"/>
              <w:keepLines w:val="0"/>
              <w:suppressLineNumbers w:val="0"/>
              <w:spacing w:before="0" w:beforeAutospacing="0" w:after="0" w:afterAutospacing="0" w:line="360" w:lineRule="auto"/>
              <w:ind w:left="0" w:right="0" w:firstLine="482" w:firstLineChars="200"/>
              <w:rPr>
                <w:rFonts w:hint="eastAsia" w:ascii="Times New Roman" w:hAnsi="Times New Roman" w:cs="Times New Roman"/>
                <w:b/>
                <w:color w:val="auto"/>
                <w:sz w:val="24"/>
                <w:szCs w:val="24"/>
              </w:rPr>
            </w:pPr>
            <w:r>
              <w:rPr>
                <w:rFonts w:hint="eastAsia" w:cs="Times New Roman"/>
                <w:b/>
                <w:color w:val="auto"/>
                <w:sz w:val="24"/>
                <w:szCs w:val="24"/>
                <w:lang w:val="en-US" w:eastAsia="zh-CN"/>
              </w:rPr>
              <w:t>7、</w:t>
            </w:r>
            <w:r>
              <w:rPr>
                <w:rFonts w:hint="eastAsia" w:ascii="Times New Roman" w:hAnsi="Times New Roman" w:cs="Times New Roman"/>
                <w:b/>
                <w:color w:val="auto"/>
                <w:sz w:val="24"/>
                <w:szCs w:val="24"/>
              </w:rPr>
              <w:t>声环境</w:t>
            </w:r>
          </w:p>
          <w:p w14:paraId="2ED14C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根据《建设项目环境影响报告表编制技术指南（生态影响类）（试行）》，开展专项评价的环境要素，应按照环境影响评价相关技术导则要求进行现状调查和评价，并在表格中填写其现状调查和评价结果概要。不开展专项评价的环境要素，引用与项目距离近的有效数据和调查资料，包括符合时限要求的规划环境影响评价监测数据和调查资料，国家、地方环境质量监测网数据或生态环境主管部门公开发布的生态环境质量数据等；无相关数据的，大气、固定声源环境质量现状监测参照《建设项目环境影响报告表编制技术指南（污染影响类）</w:t>
            </w:r>
            <w:r>
              <w:rPr>
                <w:rFonts w:hint="eastAsia" w:cs="Times New Roman"/>
                <w:b w:val="0"/>
                <w:bCs w:val="0"/>
                <w:color w:val="auto"/>
                <w:sz w:val="24"/>
                <w:szCs w:val="24"/>
                <w:highlight w:val="none"/>
                <w:lang w:val="en-US" w:eastAsia="zh-CN"/>
              </w:rPr>
              <w:t>（试行）》</w:t>
            </w:r>
            <w:r>
              <w:rPr>
                <w:rFonts w:hint="eastAsia" w:ascii="Times New Roman" w:hAnsi="Times New Roman" w:eastAsia="宋体" w:cs="Times New Roman"/>
                <w:b w:val="0"/>
                <w:bCs w:val="0"/>
                <w:color w:val="auto"/>
                <w:sz w:val="24"/>
                <w:szCs w:val="24"/>
                <w:highlight w:val="none"/>
                <w:lang w:val="en-US" w:eastAsia="zh-CN"/>
              </w:rPr>
              <w:t>相关规定开展补充监测，水、生态、土壤等其他环境要素参照环境影响评价相关技术导则开展补充监测和调查。</w:t>
            </w:r>
          </w:p>
          <w:p w14:paraId="76721652">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cs="Times New Roman"/>
                <w:color w:val="auto"/>
              </w:rPr>
            </w:pPr>
            <w:r>
              <w:rPr>
                <w:rFonts w:hint="eastAsia" w:cs="Times New Roman"/>
                <w:color w:val="auto"/>
                <w:sz w:val="24"/>
                <w:szCs w:val="24"/>
                <w:lang w:val="en-US" w:eastAsia="zh-CN"/>
              </w:rPr>
              <w:t>参照</w:t>
            </w:r>
            <w:r>
              <w:rPr>
                <w:rFonts w:hint="eastAsia" w:ascii="Times New Roman" w:hAnsi="Times New Roman" w:cs="Times New Roman"/>
                <w:color w:val="auto"/>
                <w:sz w:val="24"/>
                <w:szCs w:val="24"/>
              </w:rPr>
              <w:t>《建设项目环境影响报告表编制技术指南（污染影响类）（试行）》要求，厂界外周边50m范围内存在声环境保护目标的建设项目，应监测保护目标声环境质量现状并评价达标情况。</w:t>
            </w:r>
            <w:r>
              <w:rPr>
                <w:rFonts w:hint="default" w:ascii="Times New Roman" w:hAnsi="Times New Roman" w:cs="Times New Roman"/>
                <w:bCs/>
                <w:color w:val="auto"/>
                <w:sz w:val="24"/>
                <w:szCs w:val="24"/>
                <w:lang w:val="en-US" w:eastAsia="zh-CN"/>
              </w:rPr>
              <w:t>本项目厂界外周边50m范围内不存在声环境保护目标，故本次环境影响评价未开展声环境质量现状监测</w:t>
            </w:r>
            <w:r>
              <w:rPr>
                <w:rFonts w:hint="eastAsia" w:ascii="Times New Roman" w:hAnsi="Times New Roman" w:cs="Times New Roman"/>
                <w:bCs/>
                <w:color w:val="auto"/>
                <w:sz w:val="24"/>
                <w:szCs w:val="24"/>
                <w:lang w:val="en-US" w:eastAsia="zh-CN"/>
              </w:rPr>
              <w:t>。</w:t>
            </w:r>
          </w:p>
          <w:p w14:paraId="3B6FE19D">
            <w:pPr>
              <w:keepNext w:val="0"/>
              <w:keepLines w:val="0"/>
              <w:suppressLineNumbers w:val="0"/>
              <w:spacing w:before="0" w:beforeAutospacing="0" w:after="0" w:afterAutospacing="0" w:line="360" w:lineRule="auto"/>
              <w:ind w:left="0" w:right="0" w:firstLine="482" w:firstLineChars="200"/>
              <w:rPr>
                <w:rFonts w:hint="eastAsia" w:ascii="Times New Roman" w:hAnsi="Times New Roman" w:cs="Times New Roman"/>
                <w:b/>
                <w:color w:val="auto"/>
                <w:sz w:val="24"/>
                <w:szCs w:val="24"/>
              </w:rPr>
            </w:pPr>
            <w:r>
              <w:rPr>
                <w:rFonts w:hint="eastAsia" w:cs="Times New Roman"/>
                <w:b/>
                <w:color w:val="auto"/>
                <w:sz w:val="24"/>
                <w:szCs w:val="24"/>
                <w:lang w:val="en-US" w:eastAsia="zh-CN"/>
              </w:rPr>
              <w:t>8、</w:t>
            </w:r>
            <w:r>
              <w:rPr>
                <w:rFonts w:hint="eastAsia" w:ascii="Times New Roman" w:hAnsi="Times New Roman" w:cs="Times New Roman"/>
                <w:b/>
                <w:color w:val="auto"/>
                <w:sz w:val="24"/>
                <w:szCs w:val="24"/>
              </w:rPr>
              <w:t>土壤环境</w:t>
            </w:r>
          </w:p>
          <w:p w14:paraId="570176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根据《建设项目环境影响报告表编制技术指南（生态影响类）（试行）》，开展专项评价的环境要素，应按照环境影响评价相关技术导则要求进行现状调查和评价，并在表格中填写其现状调查和评价结果概要。不开展专项评价的环境要素，引用与项目距离近的有效数据和调查资料，包括符合时限要求的规划环境影响评价监测数据和调查资料，国家、地方环境质量监测网数据或生态环境主管部门公开发布的生态环境质量数据等；无相关数据的，大气、固定声源环境质量现状监测参照《建设项目环境影响报告表编制技术指南（污染影响类）</w:t>
            </w:r>
            <w:r>
              <w:rPr>
                <w:rFonts w:hint="eastAsia" w:cs="Times New Roman"/>
                <w:b w:val="0"/>
                <w:bCs w:val="0"/>
                <w:color w:val="auto"/>
                <w:sz w:val="24"/>
                <w:szCs w:val="24"/>
                <w:highlight w:val="none"/>
                <w:lang w:val="en-US" w:eastAsia="zh-CN"/>
              </w:rPr>
              <w:t>（试行）》</w:t>
            </w:r>
            <w:r>
              <w:rPr>
                <w:rFonts w:hint="eastAsia" w:ascii="Times New Roman" w:hAnsi="Times New Roman" w:eastAsia="宋体" w:cs="Times New Roman"/>
                <w:b w:val="0"/>
                <w:bCs w:val="0"/>
                <w:color w:val="auto"/>
                <w:sz w:val="24"/>
                <w:szCs w:val="24"/>
                <w:highlight w:val="none"/>
                <w:lang w:val="en-US" w:eastAsia="zh-CN"/>
              </w:rPr>
              <w:t>相关规定开展补充监测，水、生态、土壤等其他环境要素参照环境影响评价相关技术导则开展补充监测和调查。</w:t>
            </w:r>
          </w:p>
          <w:p w14:paraId="6A2CDC63">
            <w:pPr>
              <w:keepNext w:val="0"/>
              <w:keepLines w:val="0"/>
              <w:suppressLineNumbers w:val="0"/>
              <w:adjustRightInd w:val="0"/>
              <w:snapToGrid w:val="0"/>
              <w:spacing w:before="0" w:beforeAutospacing="0" w:after="0" w:afterAutospacing="0" w:line="360" w:lineRule="auto"/>
              <w:ind w:left="0" w:leftChars="0" w:right="0" w:rightChars="0" w:firstLine="480" w:firstLineChars="20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根据《环境影响评价技术导则 土壤环境（试行）》（HJ964-2018）中附录 A 土壤环境影响评价项目类别表可知，本项目属于“</w:t>
            </w:r>
            <w:r>
              <w:rPr>
                <w:rFonts w:hint="eastAsia" w:cs="Times New Roman"/>
                <w:color w:val="auto"/>
                <w:sz w:val="24"/>
                <w:szCs w:val="24"/>
                <w:lang w:val="en-US" w:eastAsia="zh-CN"/>
              </w:rPr>
              <w:t>其他行业</w:t>
            </w:r>
            <w:r>
              <w:rPr>
                <w:rFonts w:hint="eastAsia" w:ascii="Times New Roman" w:hAnsi="Times New Roman" w:cs="Times New Roman"/>
                <w:color w:val="auto"/>
                <w:sz w:val="24"/>
                <w:szCs w:val="24"/>
              </w:rPr>
              <w:t>”，属于IV</w:t>
            </w:r>
            <w:r>
              <w:rPr>
                <w:rFonts w:hint="eastAsia" w:ascii="宋体" w:hAnsi="宋体" w:cs="宋体"/>
                <w:color w:val="auto"/>
                <w:sz w:val="24"/>
                <w:szCs w:val="24"/>
              </w:rPr>
              <w:t>类项目，可不开展土壤现状监测工作</w:t>
            </w:r>
            <w:r>
              <w:rPr>
                <w:rFonts w:hint="eastAsia" w:ascii="Times New Roman" w:hAnsi="Times New Roman" w:cs="Times New Roman"/>
                <w:color w:val="auto"/>
                <w:sz w:val="24"/>
                <w:szCs w:val="24"/>
              </w:rPr>
              <w:t>。</w:t>
            </w:r>
          </w:p>
          <w:p w14:paraId="2B35FC08">
            <w:pPr>
              <w:keepNext w:val="0"/>
              <w:keepLines w:val="0"/>
              <w:suppressLineNumbers w:val="0"/>
              <w:adjustRightInd w:val="0"/>
              <w:snapToGrid w:val="0"/>
              <w:spacing w:before="0" w:beforeAutospacing="0" w:after="0" w:afterAutospacing="0" w:line="360" w:lineRule="auto"/>
              <w:ind w:left="0" w:leftChars="0" w:right="0" w:rightChars="0" w:firstLine="480" w:firstLineChars="200"/>
              <w:rPr>
                <w:rFonts w:hint="eastAsia" w:ascii="Times New Roman" w:hAnsi="Times New Roman" w:cs="Times New Roman"/>
                <w:color w:val="auto"/>
                <w:sz w:val="24"/>
                <w:szCs w:val="24"/>
              </w:rPr>
            </w:pPr>
          </w:p>
        </w:tc>
      </w:tr>
      <w:tr w14:paraId="4180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vAlign w:val="center"/>
          </w:tcPr>
          <w:p w14:paraId="6FE00E27">
            <w:pPr>
              <w:keepNext w:val="0"/>
              <w:keepLines w:val="0"/>
              <w:suppressLineNumbers w:val="0"/>
              <w:adjustRightInd w:val="0"/>
              <w:snapToGrid w:val="0"/>
              <w:spacing w:before="0" w:beforeAutospacing="0" w:after="0" w:afterAutospacing="0"/>
              <w:ind w:left="0" w:leftChars="0" w:right="0" w:rightChars="0"/>
              <w:jc w:val="center"/>
              <w:rPr>
                <w:rFonts w:hint="eastAsia" w:ascii="黑体" w:hAnsi="黑体" w:eastAsia="黑体"/>
                <w:snapToGrid w:val="0"/>
                <w:color w:val="auto"/>
                <w:sz w:val="30"/>
                <w:szCs w:val="30"/>
                <w:vertAlign w:val="baseline"/>
              </w:rPr>
            </w:pPr>
            <w:r>
              <w:rPr>
                <w:rFonts w:hint="eastAsia" w:ascii="Times New Roman" w:hAnsi="Times New Roman" w:cs="Times New Roman"/>
                <w:b/>
                <w:bCs/>
                <w:color w:val="auto"/>
                <w:sz w:val="24"/>
                <w:szCs w:val="24"/>
              </w:rPr>
              <w:t>与项目有关的原有环境污染和生态破坏问题</w:t>
            </w:r>
          </w:p>
        </w:tc>
        <w:tc>
          <w:tcPr>
            <w:tcW w:w="8167" w:type="dxa"/>
            <w:vAlign w:val="center"/>
          </w:tcPr>
          <w:p w14:paraId="294DB104">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1、</w:t>
            </w:r>
            <w:r>
              <w:rPr>
                <w:rFonts w:hint="eastAsia" w:ascii="Times New Roman" w:hAnsi="Times New Roman" w:eastAsia="宋体" w:cs="Times New Roman"/>
                <w:b/>
                <w:bCs/>
                <w:color w:val="auto"/>
                <w:sz w:val="24"/>
                <w:szCs w:val="24"/>
                <w:lang w:val="en-US" w:eastAsia="zh-CN"/>
              </w:rPr>
              <w:t>煤田火区内矿井</w:t>
            </w:r>
          </w:p>
          <w:p w14:paraId="71D9C376">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（1）矿业权设置</w:t>
            </w:r>
          </w:p>
          <w:p w14:paraId="58B1FF1A">
            <w:pPr>
              <w:keepNext w:val="0"/>
              <w:keepLines w:val="0"/>
              <w:suppressLineNumbers w:val="0"/>
              <w:adjustRightInd w:val="0"/>
              <w:snapToGri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火区位于康龙煤矿的采矿权范围内。新疆富城矿业投资有限公司于20</w:t>
            </w:r>
            <w:r>
              <w:rPr>
                <w:rFonts w:hint="eastAsia" w:cs="Times New Roman"/>
                <w:color w:val="auto"/>
                <w:sz w:val="24"/>
                <w:szCs w:val="24"/>
                <w:lang w:val="en-US" w:eastAsia="zh-CN"/>
              </w:rPr>
              <w:t>23</w:t>
            </w:r>
            <w:r>
              <w:rPr>
                <w:rFonts w:hint="eastAsia" w:ascii="Times New Roman" w:hAnsi="Times New Roman" w:eastAsia="宋体" w:cs="Times New Roman"/>
                <w:color w:val="auto"/>
                <w:sz w:val="24"/>
                <w:szCs w:val="24"/>
              </w:rPr>
              <w:t>年</w:t>
            </w:r>
            <w:r>
              <w:rPr>
                <w:rFonts w:hint="eastAsia" w:cs="Times New Roman"/>
                <w:color w:val="auto"/>
                <w:sz w:val="24"/>
                <w:szCs w:val="24"/>
                <w:lang w:val="en-US" w:eastAsia="zh-CN"/>
              </w:rPr>
              <w:t>11</w:t>
            </w:r>
            <w:r>
              <w:rPr>
                <w:rFonts w:hint="eastAsia" w:ascii="Times New Roman" w:hAnsi="Times New Roman" w:eastAsia="宋体" w:cs="Times New Roman"/>
                <w:color w:val="auto"/>
                <w:sz w:val="24"/>
                <w:szCs w:val="24"/>
              </w:rPr>
              <w:t>月</w:t>
            </w:r>
            <w:r>
              <w:rPr>
                <w:rFonts w:hint="eastAsia" w:cs="Times New Roman"/>
                <w:color w:val="auto"/>
                <w:sz w:val="24"/>
                <w:szCs w:val="24"/>
                <w:lang w:val="en-US" w:eastAsia="zh-CN"/>
              </w:rPr>
              <w:t>4</w:t>
            </w:r>
            <w:r>
              <w:rPr>
                <w:rFonts w:hint="eastAsia" w:ascii="Times New Roman" w:hAnsi="Times New Roman" w:eastAsia="宋体" w:cs="Times New Roman"/>
                <w:color w:val="auto"/>
                <w:sz w:val="24"/>
                <w:szCs w:val="24"/>
              </w:rPr>
              <w:t>日，取得康龙煤矿的采矿权，采矿许可证号为：C6500002010111120105396，有效期限：2022-12-22至2032-12-22；采矿权人：新疆富城矿业投资有限公司阜康市康龙煤矿，生产规模：60万吨/年， 由10个拐点坐标圈定，面积1.7165km</w:t>
            </w:r>
            <w:r>
              <w:rPr>
                <w:rFonts w:hint="eastAsia" w:ascii="Times New Roman" w:hAnsi="Times New Roman" w:eastAsia="宋体" w:cs="Times New Roman"/>
                <w:color w:val="auto"/>
                <w:sz w:val="24"/>
                <w:szCs w:val="24"/>
                <w:vertAlign w:val="superscript"/>
              </w:rPr>
              <w:t>2</w:t>
            </w:r>
            <w:r>
              <w:rPr>
                <w:rFonts w:hint="eastAsia" w:ascii="Times New Roman" w:hAnsi="Times New Roman" w:eastAsia="宋体" w:cs="Times New Roman"/>
                <w:color w:val="auto"/>
                <w:sz w:val="24"/>
                <w:szCs w:val="24"/>
              </w:rPr>
              <w:t>。</w:t>
            </w:r>
          </w:p>
          <w:p w14:paraId="0FB43DEB">
            <w:pPr>
              <w:pStyle w:val="10"/>
              <w:keepNext w:val="0"/>
              <w:keepLines w:val="0"/>
              <w:suppressLineNumbers w:val="0"/>
              <w:spacing w:before="219" w:beforeAutospacing="0" w:afterAutospacing="0" w:line="340" w:lineRule="auto"/>
              <w:ind w:left="0"/>
              <w:jc w:val="center"/>
              <w:rPr>
                <w:rFonts w:hint="default"/>
                <w:spacing w:val="-6"/>
              </w:rPr>
            </w:pPr>
          </w:p>
          <w:p w14:paraId="4DDD6E7E">
            <w:pPr>
              <w:pStyle w:val="10"/>
              <w:keepNext w:val="0"/>
              <w:keepLines w:val="0"/>
              <w:suppressLineNumbers w:val="0"/>
              <w:spacing w:beforeAutospacing="0" w:afterAutospacing="0"/>
              <w:ind w:left="0"/>
              <w:jc w:val="center"/>
              <w:rPr>
                <w:rFonts w:hint="default"/>
                <w:b/>
                <w:bCs/>
                <w:spacing w:val="-3"/>
                <w:sz w:val="24"/>
                <w:szCs w:val="24"/>
              </w:rPr>
            </w:pPr>
            <w:r>
              <w:rPr>
                <w:rFonts w:hint="eastAsia"/>
                <w:b/>
                <w:bCs/>
                <w:sz w:val="24"/>
                <w:szCs w:val="24"/>
                <w:lang w:val="en-US" w:eastAsia="zh-CN"/>
              </w:rPr>
              <w:t xml:space="preserve">图3-1   </w:t>
            </w:r>
            <w:r>
              <w:rPr>
                <w:rFonts w:hint="default"/>
                <w:b/>
                <w:bCs/>
                <w:spacing w:val="-3"/>
                <w:sz w:val="24"/>
                <w:szCs w:val="24"/>
              </w:rPr>
              <w:t>矿权范围、勘查区范围、火区范围叠合图</w:t>
            </w:r>
          </w:p>
          <w:p w14:paraId="62442B83">
            <w:pPr>
              <w:keepNext w:val="0"/>
              <w:keepLines w:val="0"/>
              <w:suppressLineNumbers w:val="0"/>
              <w:adjustRightInd w:val="0"/>
              <w:snapToGrid w:val="0"/>
              <w:spacing w:before="0" w:beforeAutospacing="0" w:after="0" w:afterAutospacing="0" w:line="360" w:lineRule="auto"/>
              <w:ind w:left="0" w:right="0" w:firstLine="410" w:firstLineChars="200"/>
              <w:rPr>
                <w:rFonts w:hint="default" w:ascii="Times New Roman" w:hAnsi="Times New Roman" w:eastAsia="宋体" w:cs="Times New Roman"/>
                <w:b/>
                <w:bCs/>
                <w:color w:val="auto"/>
                <w:sz w:val="24"/>
                <w:szCs w:val="24"/>
                <w:lang w:val="en-US" w:eastAsia="zh-CN"/>
              </w:rPr>
            </w:pPr>
            <w:r>
              <w:rPr>
                <w:rFonts w:hint="eastAsia"/>
                <w:b/>
                <w:bCs/>
                <w:spacing w:val="-3"/>
                <w:lang w:eastAsia="zh-CN"/>
              </w:rPr>
              <w:t>（</w:t>
            </w:r>
            <w:r>
              <w:rPr>
                <w:rFonts w:hint="eastAsia"/>
                <w:b/>
                <w:bCs/>
                <w:spacing w:val="-3"/>
                <w:lang w:val="en-US" w:eastAsia="zh-CN"/>
              </w:rPr>
              <w:t>2</w:t>
            </w:r>
            <w:r>
              <w:rPr>
                <w:rFonts w:hint="eastAsia"/>
                <w:b/>
                <w:bCs/>
                <w:spacing w:val="-3"/>
                <w:lang w:eastAsia="zh-CN"/>
              </w:rPr>
              <w:t>）</w:t>
            </w:r>
            <w:r>
              <w:rPr>
                <w:rFonts w:hint="eastAsia"/>
                <w:b/>
                <w:bCs/>
                <w:spacing w:val="-3"/>
                <w:lang w:val="en-US" w:eastAsia="zh-CN"/>
              </w:rPr>
              <w:t>矿</w:t>
            </w:r>
            <w:r>
              <w:rPr>
                <w:rFonts w:hint="eastAsia" w:ascii="Times New Roman" w:hAnsi="Times New Roman" w:eastAsia="宋体" w:cs="Times New Roman"/>
                <w:b/>
                <w:bCs/>
                <w:color w:val="auto"/>
                <w:sz w:val="24"/>
                <w:szCs w:val="24"/>
                <w:lang w:val="en-US" w:eastAsia="zh-CN"/>
              </w:rPr>
              <w:t>井开采历史</w:t>
            </w:r>
          </w:p>
          <w:p w14:paraId="4DF67A13">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勘查区内存在1个生产矿井和1个关闭矿井。</w:t>
            </w:r>
          </w:p>
          <w:p w14:paraId="3539ADF2">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详查区范围内有生产矿井1处，老窑和废弃矿井20处。</w:t>
            </w:r>
          </w:p>
          <w:p w14:paraId="0ECE3EAE">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其中，详查区西部的鑫龙煤矿生产矿井1处 ，废弃矿井、小窑（7处），均被沙土掩埋；详查区东部的康龙煤矿2005年关闭，2007年提交了《新疆阜康市小龙口十七号详查区煤炭勘探报告》（新疆阜康市康龙煤矿）；2009年由新疆富城矿业投资有限公司收购，至今一直处于矿井建设之中，尚未投产。东部康龙煤矿有废弃矿井、老窑13处。</w:t>
            </w:r>
          </w:p>
          <w:p w14:paraId="4978237B">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其范围内有6处井下采空区、5处露天采坑。其中鑫龙煤矿采坑已地表因灭火治理工程，已被黄土填埋；康龙煤矿矿区存在4处采坑，其中4号和5号采坑因后期人为再次盗挖连成一处。现就2个矿井的开采</w:t>
            </w:r>
            <w:r>
              <w:rPr>
                <w:rFonts w:hint="eastAsia" w:cs="Times New Roman"/>
                <w:color w:val="auto"/>
                <w:sz w:val="24"/>
                <w:szCs w:val="24"/>
                <w:lang w:val="en-US" w:eastAsia="zh-CN"/>
              </w:rPr>
              <w:t>情况</w:t>
            </w:r>
            <w:r>
              <w:rPr>
                <w:rFonts w:hint="eastAsia" w:ascii="Times New Roman" w:hAnsi="Times New Roman" w:eastAsia="宋体" w:cs="Times New Roman"/>
                <w:color w:val="auto"/>
                <w:sz w:val="24"/>
                <w:szCs w:val="24"/>
                <w:lang w:val="en-US" w:eastAsia="zh-CN"/>
              </w:rPr>
              <w:t>如下叙述：</w:t>
            </w:r>
          </w:p>
          <w:p w14:paraId="752E3D07">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康龙煤矿为改造矿井，属于自治区煤炭工业发展“十一五”规划矿井（新政办函〔2008〕6号)，由原康龙煤矿和鑫龙煤矿整合升级改造而成，设计能力60万吨/年。于2010年3月开始建设，详查区总体规划正在批复中，矿井正在建设中。其中原康龙煤矿为一采区，鑫龙煤矿为二采区。合并后矿井名称仍然是康龙煤矿。</w:t>
            </w:r>
          </w:p>
          <w:p w14:paraId="7885A8FD">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矿井设计生产能力60万吨/年，设计可采储量为3134.3万吨，储量备用系数取1.4，服务年限37.3a，其中一水平（+700m以上）服务年限为15.3a。采用斜井立井综合开拓方式 ，共布置有五条井筒（4斜井1立井），即主斜井、副斜井、东回风斜井、西进风斜井及西回风立井。全矿井划分为三个水平，水平标高分别为+700m、+400m、+150m，均采用上山开采。矿井按走向及水平标高划为6个采区。初期投产一水平11采区，采区内包括一个A3煤层首采面，工作面生产能力为30万吨/年；再投产一个A8-2层大倾角俯伪斜综采试验工作面，工作面生产能力为10万吨/年。11 采区投产同时建设一水平12 采区，建设1年后12采区投产，11采区试验面试验结束取消，矿井两个采区生产，每个采区一个工作面，达到设计生产能力60万吨/年。井下每个采区布置3个掘进工作面，其中2个煤巷综掘工作面，另配1个岩巷普掘工作面。目前矿山仍处于建设阶段。</w:t>
            </w:r>
          </w:p>
          <w:p w14:paraId="59419E58">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2、煤田内火区</w:t>
            </w:r>
          </w:p>
          <w:p w14:paraId="7F541EC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（1）煤田火区燃烧状况</w:t>
            </w:r>
          </w:p>
          <w:p w14:paraId="030AB5B9">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火区内含煤地层侏罗系下统八道湾组中的A3、A4号煤层因自燃火烧严重，在地表形成了一条近东西向的烧变岩带 ，其中详查区北部的A3厚煤层火烧最严重。A7煤层地表局部有火烧。</w:t>
            </w:r>
          </w:p>
          <w:p w14:paraId="359ACE30">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区内高温点主要集中在西南地表明火区。地表活火区煤层顶板因高温烘烤导致大面积垮塌，地表有大片煤焦油，地表裂隙发育，青烟源源不断</w:t>
            </w:r>
            <w:r>
              <w:rPr>
                <w:rFonts w:hint="eastAsia" w:cs="Times New Roman"/>
                <w:color w:val="auto"/>
                <w:sz w:val="24"/>
                <w:szCs w:val="24"/>
                <w:lang w:val="en-US" w:eastAsia="zh-CN"/>
              </w:rPr>
              <w:t>地</w:t>
            </w:r>
            <w:r>
              <w:rPr>
                <w:rFonts w:hint="eastAsia" w:ascii="Times New Roman" w:hAnsi="Times New Roman" w:eastAsia="宋体" w:cs="Times New Roman"/>
                <w:color w:val="auto"/>
                <w:sz w:val="24"/>
                <w:szCs w:val="24"/>
                <w:lang w:val="en-US" w:eastAsia="zh-CN"/>
              </w:rPr>
              <w:t>从裂隙中冒出来，整个火区内弥漫着浓烈的</w:t>
            </w:r>
            <w:r>
              <w:rPr>
                <w:rFonts w:hint="eastAsia" w:cs="Times New Roman"/>
                <w:color w:val="auto"/>
                <w:sz w:val="24"/>
                <w:szCs w:val="24"/>
                <w:lang w:val="en-US" w:eastAsia="zh-CN"/>
              </w:rPr>
              <w:t>刺鼻</w:t>
            </w:r>
            <w:r>
              <w:rPr>
                <w:rFonts w:hint="eastAsia" w:ascii="Times New Roman" w:hAnsi="Times New Roman" w:eastAsia="宋体" w:cs="Times New Roman"/>
                <w:color w:val="auto"/>
                <w:sz w:val="24"/>
                <w:szCs w:val="24"/>
                <w:lang w:val="en-US" w:eastAsia="zh-CN"/>
              </w:rPr>
              <w:t>气味。经测温，火区内地表温度高达626℃。通过物探及钻探验证，深部存在高温异常，钻孔内测温温度异常。</w:t>
            </w:r>
          </w:p>
          <w:p w14:paraId="50FE5DF7">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井下活火区地表无明显异常，通过物探及钻探验证，以往采空区周围存在温度异常区，钻孔内测温温度异常，最高温度达154℃，推断属采空区残留煤燃烧热传导区域，或者燃烧煤层附近区域。</w:t>
            </w:r>
          </w:p>
          <w:p w14:paraId="5663B27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（2）火区着火原因</w:t>
            </w:r>
          </w:p>
          <w:p w14:paraId="6C031DC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煤矿开采，破坏了煤层自然赋存状态，煤层接触空气面积增大；地表高温区主要由于详查区原始地形地貌破坏严重，废渣土堆放物随处可见，地形起伏凹凸不平，地表煤层露头均已自燃成红色烧变岩，后因人为的进行私挖盗采，地表大面积剥离形成露天采坑 ，使煤层与空气充分接触后，发生氧化引发煤层自燃着火。本矿区1、2地号子火区着火原因为露天盗采采坑火；3号子火区为</w:t>
            </w:r>
            <w:r>
              <w:rPr>
                <w:rFonts w:hint="eastAsia" w:cs="Times New Roman"/>
                <w:color w:val="auto"/>
                <w:sz w:val="24"/>
                <w:szCs w:val="24"/>
                <w:lang w:val="en-US" w:eastAsia="zh-CN"/>
              </w:rPr>
              <w:t>露天</w:t>
            </w:r>
            <w:r>
              <w:rPr>
                <w:rFonts w:hint="eastAsia" w:ascii="Times New Roman" w:hAnsi="Times New Roman" w:eastAsia="宋体" w:cs="Times New Roman"/>
                <w:color w:val="auto"/>
                <w:sz w:val="24"/>
                <w:szCs w:val="24"/>
                <w:lang w:val="en-US" w:eastAsia="zh-CN"/>
              </w:rPr>
              <w:t>私挖盗采形成裂隙引发着火。井下温度异常区主要受当时技术水平、资金装备、防灭火措施的限制，矿井关闭后对井口未做彻底封堵，提供了氧气进入的通道，引发采空区遗煤自燃。采空区塌陷，造成采空区与地表贯通，形成供氧通道，引发大面积煤田火灾。</w:t>
            </w:r>
          </w:p>
          <w:p w14:paraId="110B16D1">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3、原有环境问题</w:t>
            </w:r>
          </w:p>
          <w:p w14:paraId="6CC9769B">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阜康西沙沟煤田火区经过多年的燃烧，在燃烧过程中造成大量煤炭资源损失的同时还释放出大量有毒有害气体和粉尘，造成空气中有害物质严重超标，可在中空对流层形成酸雨，同时还向大气中排放大量的热量，水分蒸发加剧，使得地表出现大量裂隙，火区上部寸草不生，土质疏松，土壤有机质下降，雨雪冲刷后造成水土流失，加剧土壤的荒漠化，对火区范围内的地形地貌、植被、土壤环境和大气环境都造成了极大的破坏，若不及时治理最终破坏该区域的生态平衡。</w:t>
            </w:r>
          </w:p>
          <w:p w14:paraId="52BA0C8B">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（1）对地形地貌的影响</w:t>
            </w:r>
          </w:p>
          <w:p w14:paraId="51C33659">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火区是由于无序私挖盗采后，未进行回填或废渣石回填引发残煤自燃而引发的煤田火灾，发火时间较早。煤层持续燃烧使上覆岩层长期受到高温烘烤，地层、岩石结构发生严重变形，地面形成大面积的破碎带、采坑周边裂隙纵横，时有崩塌发生，使地形地貌形态发生很大变化 ，火烧区主要形成地面塌陷。</w:t>
            </w:r>
          </w:p>
          <w:p w14:paraId="2F7F5316">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（2）对植被的影响</w:t>
            </w:r>
          </w:p>
          <w:p w14:paraId="2A39080E">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由于火区特殊的自然环境，植被多以低矮的草本植物为主。火区煤层在燃烧过程中产生的高温使土壤中的水分大量流失，大量盐类、煤焦油物质析出形成盐碱地，地表植被无法生长 。有明火的高温地带 ，零星的植被已经被烧烤枯死 。 由于煤层的长期燃烧，地表植被越来越稀少，土质疏松，土壤有机质下降，雨水冲刷造成水土流失加剧土壤荒漠化， 生物链被破坏 ，给本就脆弱的生态系统造成毁灭性破坏。</w:t>
            </w:r>
          </w:p>
          <w:p w14:paraId="475D02AD">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（3）对土壤环境的影响</w:t>
            </w:r>
          </w:p>
          <w:p w14:paraId="13A35E24">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火区内土壤不同程度的受到高温的影响，在高温区、裂隙带、塌陷坑等地方影响最为明显，土壤结构彻底破坏，土壤肥力下降。煤层在燃烧过程中会析出大量的硫、盐类物质和煤焦油，改变了土壤的有机质含量和元素组成，土壤的理化性质发生了变化，破坏了土壤有机环境。</w:t>
            </w:r>
          </w:p>
          <w:p w14:paraId="3CEB1A49">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（4）对大气的影响</w:t>
            </w:r>
          </w:p>
          <w:p w14:paraId="716D621F">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由于着火煤层处于地下半封闭状态，空气不充足，煤层在缺氧的条件下燃烧，不充分，不充分燃烧</w:t>
            </w:r>
            <w:r>
              <w:rPr>
                <w:rFonts w:hint="eastAsia" w:cs="Times New Roman"/>
                <w:color w:val="auto"/>
                <w:sz w:val="24"/>
                <w:szCs w:val="24"/>
                <w:lang w:val="en-US" w:eastAsia="zh-CN"/>
              </w:rPr>
              <w:t>产生</w:t>
            </w:r>
            <w:r>
              <w:rPr>
                <w:rFonts w:hint="eastAsia" w:ascii="Times New Roman" w:hAnsi="Times New Roman" w:eastAsia="宋体" w:cs="Times New Roman"/>
                <w:color w:val="auto"/>
                <w:sz w:val="24"/>
                <w:szCs w:val="24"/>
                <w:lang w:val="en-US" w:eastAsia="zh-CN"/>
              </w:rPr>
              <w:t>大量的有毒有害气体，比如H</w:t>
            </w:r>
            <w:r>
              <w:rPr>
                <w:rFonts w:hint="eastAsia" w:ascii="Times New Roman" w:hAnsi="Times New Roman" w:eastAsia="宋体" w:cs="Times New Roman"/>
                <w:color w:val="auto"/>
                <w:sz w:val="24"/>
                <w:szCs w:val="24"/>
                <w:vertAlign w:val="subscript"/>
                <w:lang w:val="en-US" w:eastAsia="zh-CN"/>
              </w:rPr>
              <w:t>2</w:t>
            </w:r>
            <w:r>
              <w:rPr>
                <w:rFonts w:hint="eastAsia" w:ascii="Times New Roman" w:hAnsi="Times New Roman" w:eastAsia="宋体" w:cs="Times New Roman"/>
                <w:color w:val="auto"/>
                <w:sz w:val="24"/>
                <w:szCs w:val="24"/>
                <w:lang w:val="en-US" w:eastAsia="zh-CN"/>
              </w:rPr>
              <w:t>S、CO、CH</w:t>
            </w:r>
            <w:r>
              <w:rPr>
                <w:rFonts w:hint="eastAsia" w:ascii="Times New Roman" w:hAnsi="Times New Roman" w:eastAsia="宋体" w:cs="Times New Roman"/>
                <w:color w:val="auto"/>
                <w:sz w:val="24"/>
                <w:szCs w:val="24"/>
                <w:vertAlign w:val="subscript"/>
                <w:lang w:val="en-US" w:eastAsia="zh-CN"/>
              </w:rPr>
              <w:t>4</w:t>
            </w:r>
            <w:r>
              <w:rPr>
                <w:rFonts w:hint="eastAsia" w:ascii="Times New Roman" w:hAnsi="Times New Roman" w:eastAsia="宋体" w:cs="Times New Roman"/>
                <w:color w:val="auto"/>
                <w:sz w:val="24"/>
                <w:szCs w:val="24"/>
                <w:lang w:val="en-US" w:eastAsia="zh-CN"/>
              </w:rPr>
              <w:t>、NO等。大量的有毒有害气体进入空气后对大气造成了严重污染。除此之外，煤层燃烧过程中会放出的大量CO</w:t>
            </w:r>
            <w:r>
              <w:rPr>
                <w:rFonts w:hint="eastAsia" w:ascii="Times New Roman" w:hAnsi="Times New Roman" w:eastAsia="宋体" w:cs="Times New Roman"/>
                <w:color w:val="auto"/>
                <w:sz w:val="24"/>
                <w:szCs w:val="24"/>
                <w:vertAlign w:val="subscript"/>
                <w:lang w:val="en-US" w:eastAsia="zh-CN"/>
              </w:rPr>
              <w:t>2</w:t>
            </w:r>
            <w:r>
              <w:rPr>
                <w:rFonts w:hint="eastAsia" w:ascii="Times New Roman" w:hAnsi="Times New Roman" w:eastAsia="宋体" w:cs="Times New Roman"/>
                <w:color w:val="auto"/>
                <w:sz w:val="24"/>
                <w:szCs w:val="24"/>
                <w:lang w:val="en-US" w:eastAsia="zh-CN"/>
              </w:rPr>
              <w:t>和SO</w:t>
            </w:r>
            <w:r>
              <w:rPr>
                <w:rFonts w:hint="eastAsia" w:ascii="Times New Roman" w:hAnsi="Times New Roman" w:eastAsia="宋体" w:cs="Times New Roman"/>
                <w:color w:val="auto"/>
                <w:sz w:val="24"/>
                <w:szCs w:val="24"/>
                <w:vertAlign w:val="subscript"/>
                <w:lang w:val="en-US" w:eastAsia="zh-CN"/>
              </w:rPr>
              <w:t>2</w:t>
            </w:r>
            <w:r>
              <w:rPr>
                <w:rFonts w:hint="eastAsia" w:ascii="Times New Roman" w:hAnsi="Times New Roman" w:eastAsia="宋体" w:cs="Times New Roman"/>
                <w:color w:val="auto"/>
                <w:sz w:val="24"/>
                <w:szCs w:val="24"/>
                <w:lang w:val="en-US" w:eastAsia="zh-CN"/>
              </w:rPr>
              <w:t>气体，CO</w:t>
            </w:r>
            <w:r>
              <w:rPr>
                <w:rFonts w:hint="eastAsia" w:ascii="Times New Roman" w:hAnsi="Times New Roman" w:eastAsia="宋体" w:cs="Times New Roman"/>
                <w:color w:val="auto"/>
                <w:sz w:val="24"/>
                <w:szCs w:val="24"/>
                <w:vertAlign w:val="subscript"/>
                <w:lang w:val="en-US" w:eastAsia="zh-CN"/>
              </w:rPr>
              <w:t>2</w:t>
            </w:r>
            <w:r>
              <w:rPr>
                <w:rFonts w:hint="eastAsia" w:ascii="Times New Roman" w:hAnsi="Times New Roman" w:eastAsia="宋体" w:cs="Times New Roman"/>
                <w:color w:val="auto"/>
                <w:sz w:val="24"/>
                <w:szCs w:val="24"/>
                <w:lang w:val="en-US" w:eastAsia="zh-CN"/>
              </w:rPr>
              <w:t>是造成温室效应的主要气体，火区的长期燃烧，放出的温室气体越来越多，大气结构遭到持续破坏，加重了温室效应作用。SO</w:t>
            </w:r>
            <w:r>
              <w:rPr>
                <w:rFonts w:hint="eastAsia" w:ascii="Times New Roman" w:hAnsi="Times New Roman" w:eastAsia="宋体" w:cs="Times New Roman"/>
                <w:color w:val="auto"/>
                <w:sz w:val="24"/>
                <w:szCs w:val="24"/>
                <w:vertAlign w:val="subscript"/>
                <w:lang w:val="en-US" w:eastAsia="zh-CN"/>
              </w:rPr>
              <w:t>2</w:t>
            </w:r>
            <w:r>
              <w:rPr>
                <w:rFonts w:hint="eastAsia" w:ascii="Times New Roman" w:hAnsi="Times New Roman" w:eastAsia="宋体" w:cs="Times New Roman"/>
                <w:color w:val="auto"/>
                <w:sz w:val="24"/>
                <w:szCs w:val="24"/>
                <w:lang w:val="en-US" w:eastAsia="zh-CN"/>
              </w:rPr>
              <w:t>是造成酸雨的主要气体，火区长期燃烧，放出大量的SO</w:t>
            </w:r>
            <w:r>
              <w:rPr>
                <w:rFonts w:hint="eastAsia" w:ascii="Times New Roman" w:hAnsi="Times New Roman" w:eastAsia="宋体" w:cs="Times New Roman"/>
                <w:color w:val="auto"/>
                <w:sz w:val="24"/>
                <w:szCs w:val="24"/>
                <w:vertAlign w:val="subscript"/>
                <w:lang w:val="en-US" w:eastAsia="zh-CN"/>
              </w:rPr>
              <w:t>2</w:t>
            </w:r>
            <w:r>
              <w:rPr>
                <w:rFonts w:hint="eastAsia" w:ascii="Times New Roman" w:hAnsi="Times New Roman" w:eastAsia="宋体" w:cs="Times New Roman"/>
                <w:color w:val="auto"/>
                <w:sz w:val="24"/>
                <w:szCs w:val="24"/>
                <w:lang w:val="en-US" w:eastAsia="zh-CN"/>
              </w:rPr>
              <w:t>气体，形成酸雨后降落到地面，导致地表植被死亡，加速了土地的荒漠化。</w:t>
            </w:r>
          </w:p>
          <w:p w14:paraId="7B5DFD5E">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4</w:t>
            </w:r>
            <w:r>
              <w:rPr>
                <w:rFonts w:hint="eastAsia" w:ascii="Times New Roman" w:hAnsi="Times New Roman" w:eastAsia="宋体" w:cs="Times New Roman"/>
                <w:b/>
                <w:bCs/>
                <w:color w:val="auto"/>
                <w:sz w:val="24"/>
                <w:szCs w:val="24"/>
                <w:lang w:val="en-US" w:eastAsia="zh-CN"/>
              </w:rPr>
              <w:t>、</w:t>
            </w:r>
            <w:r>
              <w:rPr>
                <w:rFonts w:hint="eastAsia" w:cs="Times New Roman"/>
                <w:b/>
                <w:bCs/>
                <w:color w:val="auto"/>
                <w:sz w:val="24"/>
                <w:szCs w:val="24"/>
                <w:lang w:val="en-US" w:eastAsia="zh-CN"/>
              </w:rPr>
              <w:t>整改措施</w:t>
            </w:r>
          </w:p>
          <w:p w14:paraId="33692623">
            <w:pPr>
              <w:pStyle w:val="10"/>
              <w:keepNext w:val="0"/>
              <w:keepLines w:val="0"/>
              <w:numPr>
                <w:ilvl w:val="0"/>
                <w:numId w:val="0"/>
              </w:numPr>
              <w:suppressLineNumbers w:val="0"/>
              <w:spacing w:beforeAutospacing="0" w:afterAutospacing="0" w:line="360" w:lineRule="auto"/>
              <w:ind w:left="0" w:right="113" w:rightChars="0" w:firstLine="480" w:firstLineChars="200"/>
              <w:rPr>
                <w:rFonts w:hint="default"/>
                <w:b/>
                <w:bCs/>
                <w:spacing w:val="-3"/>
                <w:lang w:val="en-US" w:eastAsia="zh-CN"/>
              </w:rPr>
            </w:pPr>
            <w:r>
              <w:rPr>
                <w:rFonts w:hint="eastAsia" w:ascii="Times New Roman" w:hAnsi="Times New Roman" w:eastAsia="宋体" w:cs="Times New Roman"/>
                <w:color w:val="auto"/>
                <w:kern w:val="2"/>
                <w:sz w:val="24"/>
                <w:szCs w:val="24"/>
                <w:lang w:val="en-US" w:eastAsia="zh-CN" w:bidi="ar-SA"/>
              </w:rPr>
              <w:t>根据</w:t>
            </w:r>
            <w:r>
              <w:rPr>
                <w:rFonts w:hint="eastAsia" w:ascii="Times New Roman" w:hAnsi="Times New Roman" w:eastAsia="宋体" w:cs="Times New Roman"/>
                <w:color w:val="auto"/>
                <w:sz w:val="24"/>
                <w:szCs w:val="24"/>
                <w:u w:val="none"/>
                <w:lang w:val="en-US" w:eastAsia="zh-CN"/>
              </w:rPr>
              <w:t>《新疆煤田火区治理规划（修编） （2016～2025 年）》</w:t>
            </w:r>
            <w:r>
              <w:rPr>
                <w:rFonts w:hint="eastAsia" w:cs="Times New Roman"/>
                <w:color w:val="auto"/>
                <w:sz w:val="24"/>
                <w:szCs w:val="24"/>
                <w:u w:val="none"/>
                <w:lang w:val="en-US" w:eastAsia="zh-CN"/>
              </w:rPr>
              <w:t>、</w:t>
            </w:r>
            <w:r>
              <w:rPr>
                <w:rFonts w:hint="eastAsia" w:ascii="Times New Roman" w:hAnsi="Times New Roman" w:eastAsia="宋体" w:cs="Times New Roman"/>
                <w:b w:val="0"/>
                <w:bCs w:val="0"/>
                <w:caps w:val="0"/>
                <w:color w:val="auto"/>
                <w:sz w:val="24"/>
                <w:highlight w:val="none"/>
                <w:lang w:val="en-US" w:eastAsia="zh-CN"/>
              </w:rPr>
              <w:t>《</w:t>
            </w:r>
            <w:r>
              <w:rPr>
                <w:rFonts w:hint="eastAsia" w:cs="Times New Roman"/>
                <w:b w:val="0"/>
                <w:bCs w:val="0"/>
                <w:caps w:val="0"/>
                <w:color w:val="auto"/>
                <w:sz w:val="24"/>
                <w:highlight w:val="none"/>
                <w:lang w:val="en-US" w:eastAsia="zh-CN"/>
              </w:rPr>
              <w:t>关于印发&lt;</w:t>
            </w:r>
            <w:r>
              <w:rPr>
                <w:rFonts w:hint="default"/>
                <w:b w:val="0"/>
                <w:bCs w:val="0"/>
                <w:snapToGrid/>
                <w:color w:val="auto"/>
                <w:kern w:val="2"/>
                <w:sz w:val="24"/>
                <w:szCs w:val="24"/>
              </w:rPr>
              <w:t>新疆维吾尔自治区</w:t>
            </w:r>
            <w:r>
              <w:rPr>
                <w:rFonts w:hint="eastAsia"/>
                <w:b w:val="0"/>
                <w:bCs w:val="0"/>
                <w:snapToGrid/>
                <w:color w:val="auto"/>
                <w:kern w:val="2"/>
                <w:sz w:val="24"/>
                <w:szCs w:val="24"/>
                <w:lang w:val="en-US" w:eastAsia="zh-CN"/>
              </w:rPr>
              <w:t>煤田灭火工作实施方案</w:t>
            </w:r>
            <w:r>
              <w:rPr>
                <w:rFonts w:hint="eastAsia" w:cs="Times New Roman"/>
                <w:b w:val="0"/>
                <w:bCs w:val="0"/>
                <w:caps w:val="0"/>
                <w:color w:val="auto"/>
                <w:sz w:val="24"/>
                <w:highlight w:val="none"/>
                <w:lang w:val="en-US" w:eastAsia="zh-CN"/>
              </w:rPr>
              <w:t>&gt;的通知</w:t>
            </w:r>
            <w:r>
              <w:rPr>
                <w:rFonts w:hint="eastAsia" w:ascii="Times New Roman" w:hAnsi="Times New Roman" w:eastAsia="宋体" w:cs="Times New Roman"/>
                <w:b w:val="0"/>
                <w:bCs w:val="0"/>
                <w:caps w:val="0"/>
                <w:color w:val="auto"/>
                <w:sz w:val="24"/>
                <w:highlight w:val="none"/>
                <w:lang w:val="en-US" w:eastAsia="zh-CN"/>
              </w:rPr>
              <w:t>》</w:t>
            </w:r>
            <w:r>
              <w:rPr>
                <w:rFonts w:hint="eastAsia" w:ascii="Times New Roman" w:hAnsi="Times New Roman" w:eastAsia="宋体" w:cs="Times New Roman"/>
                <w:b w:val="0"/>
                <w:bCs w:val="0"/>
                <w:caps w:val="0"/>
                <w:color w:val="auto"/>
                <w:sz w:val="24"/>
                <w:szCs w:val="24"/>
                <w:highlight w:val="none"/>
                <w:lang w:val="en-US" w:eastAsia="zh-CN"/>
              </w:rPr>
              <w:t>（</w:t>
            </w:r>
            <w:r>
              <w:rPr>
                <w:rFonts w:hint="eastAsia" w:cs="Times New Roman"/>
                <w:b w:val="0"/>
                <w:bCs w:val="0"/>
                <w:caps w:val="0"/>
                <w:color w:val="auto"/>
                <w:sz w:val="24"/>
                <w:szCs w:val="24"/>
                <w:highlight w:val="none"/>
                <w:lang w:val="en-US" w:eastAsia="zh-CN"/>
              </w:rPr>
              <w:t>新政办发</w:t>
            </w:r>
            <w:r>
              <w:rPr>
                <w:rFonts w:hint="eastAsia" w:ascii="Times New Roman" w:hAnsi="Times New Roman" w:eastAsia="宋体" w:cs="Times New Roman"/>
                <w:b w:val="0"/>
                <w:bCs w:val="0"/>
                <w:caps w:val="0"/>
                <w:color w:val="auto"/>
                <w:sz w:val="24"/>
                <w:szCs w:val="24"/>
                <w:highlight w:val="none"/>
                <w:lang w:val="en-US" w:eastAsia="zh-CN"/>
              </w:rPr>
              <w:t>〔</w:t>
            </w:r>
            <w:r>
              <w:rPr>
                <w:rFonts w:hint="eastAsia" w:cs="Times New Roman"/>
                <w:b w:val="0"/>
                <w:bCs w:val="0"/>
                <w:caps w:val="0"/>
                <w:color w:val="auto"/>
                <w:sz w:val="24"/>
                <w:szCs w:val="24"/>
                <w:highlight w:val="none"/>
                <w:lang w:val="en-US" w:eastAsia="zh-CN"/>
              </w:rPr>
              <w:t>2022</w:t>
            </w:r>
            <w:r>
              <w:rPr>
                <w:rFonts w:hint="eastAsia" w:ascii="Times New Roman" w:hAnsi="Times New Roman" w:eastAsia="宋体" w:cs="Times New Roman"/>
                <w:b w:val="0"/>
                <w:bCs w:val="0"/>
                <w:caps w:val="0"/>
                <w:color w:val="auto"/>
                <w:sz w:val="24"/>
                <w:szCs w:val="24"/>
                <w:highlight w:val="none"/>
                <w:lang w:val="en-US" w:eastAsia="zh-CN"/>
              </w:rPr>
              <w:t>〕</w:t>
            </w:r>
            <w:r>
              <w:rPr>
                <w:rFonts w:hint="eastAsia" w:cs="Times New Roman"/>
                <w:b w:val="0"/>
                <w:bCs w:val="0"/>
                <w:caps w:val="0"/>
                <w:color w:val="auto"/>
                <w:sz w:val="24"/>
                <w:szCs w:val="24"/>
                <w:highlight w:val="none"/>
                <w:lang w:val="en-US" w:eastAsia="zh-CN"/>
              </w:rPr>
              <w:t>54</w:t>
            </w:r>
            <w:r>
              <w:rPr>
                <w:rFonts w:hint="eastAsia" w:ascii="Times New Roman" w:hAnsi="Times New Roman" w:eastAsia="宋体" w:cs="Times New Roman"/>
                <w:b w:val="0"/>
                <w:bCs w:val="0"/>
                <w:caps w:val="0"/>
                <w:color w:val="auto"/>
                <w:sz w:val="24"/>
                <w:szCs w:val="24"/>
                <w:highlight w:val="none"/>
                <w:lang w:val="en-US" w:eastAsia="zh-CN"/>
              </w:rPr>
              <w:t>号）</w:t>
            </w:r>
            <w:r>
              <w:rPr>
                <w:rFonts w:hint="eastAsia" w:cs="Times New Roman"/>
                <w:b w:val="0"/>
                <w:bCs w:val="0"/>
                <w:caps w:val="0"/>
                <w:color w:val="auto"/>
                <w:sz w:val="24"/>
                <w:szCs w:val="24"/>
                <w:highlight w:val="none"/>
                <w:lang w:val="en-US" w:eastAsia="zh-CN"/>
              </w:rPr>
              <w:t>、</w:t>
            </w:r>
            <w:r>
              <w:rPr>
                <w:rFonts w:hint="eastAsia" w:ascii="Times New Roman" w:hAnsi="Times New Roman" w:eastAsia="宋体" w:cs="Times New Roman"/>
                <w:b w:val="0"/>
                <w:bCs w:val="0"/>
                <w:caps w:val="0"/>
                <w:color w:val="auto"/>
                <w:sz w:val="24"/>
                <w:highlight w:val="none"/>
                <w:lang w:val="en-US" w:eastAsia="zh-CN"/>
              </w:rPr>
              <w:t>《</w:t>
            </w:r>
            <w:r>
              <w:rPr>
                <w:rFonts w:hint="eastAsia" w:ascii="Times New Roman" w:hAnsi="Times New Roman" w:eastAsia="宋体" w:cs="Times New Roman"/>
                <w:b w:val="0"/>
                <w:bCs w:val="0"/>
                <w:kern w:val="2"/>
                <w:sz w:val="24"/>
                <w:szCs w:val="24"/>
                <w:lang w:val="en-US" w:eastAsia="zh-CN" w:bidi="ar-SA"/>
              </w:rPr>
              <w:t>新疆维吾尔自治区人民政府办公厅</w:t>
            </w:r>
            <w:r>
              <w:rPr>
                <w:rFonts w:hint="eastAsia" w:cs="Times New Roman"/>
                <w:b w:val="0"/>
                <w:bCs w:val="0"/>
                <w:caps w:val="0"/>
                <w:color w:val="auto"/>
                <w:sz w:val="24"/>
                <w:highlight w:val="none"/>
                <w:lang w:val="en-US" w:eastAsia="zh-CN"/>
              </w:rPr>
              <w:t>关于印发&lt;</w:t>
            </w:r>
            <w:r>
              <w:rPr>
                <w:rFonts w:hint="default"/>
                <w:b w:val="0"/>
                <w:bCs w:val="0"/>
                <w:snapToGrid/>
                <w:color w:val="auto"/>
                <w:kern w:val="2"/>
                <w:sz w:val="24"/>
                <w:szCs w:val="24"/>
              </w:rPr>
              <w:t>新疆维吾尔自治区</w:t>
            </w:r>
            <w:r>
              <w:rPr>
                <w:rFonts w:hint="eastAsia"/>
                <w:b w:val="0"/>
                <w:bCs w:val="0"/>
                <w:snapToGrid/>
                <w:color w:val="auto"/>
                <w:kern w:val="2"/>
                <w:sz w:val="24"/>
                <w:szCs w:val="24"/>
                <w:lang w:val="en-US" w:eastAsia="zh-CN"/>
              </w:rPr>
              <w:t>煤田灭火工作实施方案</w:t>
            </w:r>
            <w:r>
              <w:rPr>
                <w:rFonts w:hint="eastAsia" w:cs="Times New Roman"/>
                <w:b w:val="0"/>
                <w:bCs w:val="0"/>
                <w:caps w:val="0"/>
                <w:color w:val="auto"/>
                <w:sz w:val="24"/>
                <w:highlight w:val="none"/>
                <w:lang w:val="en-US" w:eastAsia="zh-CN"/>
              </w:rPr>
              <w:t>&gt;的补充通知</w:t>
            </w:r>
            <w:r>
              <w:rPr>
                <w:rFonts w:hint="eastAsia" w:ascii="Times New Roman" w:hAnsi="Times New Roman" w:eastAsia="宋体" w:cs="Times New Roman"/>
                <w:b w:val="0"/>
                <w:bCs w:val="0"/>
                <w:caps w:val="0"/>
                <w:color w:val="auto"/>
                <w:sz w:val="24"/>
                <w:highlight w:val="none"/>
                <w:lang w:val="en-US" w:eastAsia="zh-CN"/>
              </w:rPr>
              <w:t>》</w:t>
            </w:r>
            <w:r>
              <w:rPr>
                <w:rFonts w:hint="eastAsia" w:ascii="Times New Roman" w:hAnsi="Times New Roman" w:eastAsia="宋体" w:cs="Times New Roman"/>
                <w:b w:val="0"/>
                <w:bCs w:val="0"/>
                <w:caps w:val="0"/>
                <w:color w:val="auto"/>
                <w:sz w:val="24"/>
                <w:szCs w:val="24"/>
                <w:highlight w:val="none"/>
                <w:lang w:val="en-US" w:eastAsia="zh-CN"/>
              </w:rPr>
              <w:t>（</w:t>
            </w:r>
            <w:r>
              <w:rPr>
                <w:rFonts w:hint="eastAsia"/>
                <w:b w:val="0"/>
                <w:bCs w:val="0"/>
                <w:caps w:val="0"/>
                <w:color w:val="auto"/>
                <w:sz w:val="24"/>
                <w:highlight w:val="none"/>
                <w:lang w:val="en-US" w:eastAsia="zh-CN"/>
              </w:rPr>
              <w:t>新政办发</w:t>
            </w:r>
            <w:r>
              <w:rPr>
                <w:rFonts w:hint="default" w:ascii="Times New Roman" w:hAnsi="Times New Roman" w:cs="Times New Roman"/>
                <w:b w:val="0"/>
                <w:bCs w:val="0"/>
                <w:color w:val="auto"/>
                <w:kern w:val="0"/>
                <w:sz w:val="24"/>
                <w:lang w:eastAsia="zh-CN"/>
              </w:rPr>
              <w:t>〔</w:t>
            </w:r>
            <w:r>
              <w:rPr>
                <w:rFonts w:hint="eastAsia" w:ascii="Times New Roman" w:hAnsi="Times New Roman" w:cs="Times New Roman"/>
                <w:b w:val="0"/>
                <w:bCs w:val="0"/>
                <w:color w:val="auto"/>
                <w:kern w:val="0"/>
                <w:sz w:val="24"/>
                <w:lang w:val="en-US" w:eastAsia="zh-CN"/>
              </w:rPr>
              <w:t>2024</w:t>
            </w:r>
            <w:r>
              <w:rPr>
                <w:rFonts w:hint="default" w:ascii="Times New Roman" w:hAnsi="Times New Roman" w:cs="Times New Roman"/>
                <w:b w:val="0"/>
                <w:bCs w:val="0"/>
                <w:color w:val="auto"/>
                <w:kern w:val="0"/>
                <w:sz w:val="24"/>
                <w:lang w:eastAsia="zh-CN"/>
              </w:rPr>
              <w:t>〕</w:t>
            </w:r>
            <w:r>
              <w:rPr>
                <w:rFonts w:hint="eastAsia" w:cs="Times New Roman"/>
                <w:b w:val="0"/>
                <w:bCs w:val="0"/>
                <w:color w:val="auto"/>
                <w:kern w:val="0"/>
                <w:sz w:val="24"/>
                <w:lang w:val="en-US" w:eastAsia="zh-CN"/>
              </w:rPr>
              <w:t>17</w:t>
            </w:r>
            <w:r>
              <w:rPr>
                <w:rFonts w:hint="default" w:ascii="Times New Roman" w:hAnsi="Times New Roman" w:cs="Times New Roman"/>
                <w:b w:val="0"/>
                <w:bCs w:val="0"/>
                <w:color w:val="auto"/>
                <w:kern w:val="0"/>
                <w:sz w:val="24"/>
              </w:rPr>
              <w:t>号</w:t>
            </w:r>
            <w:r>
              <w:rPr>
                <w:rFonts w:hint="eastAsia" w:ascii="Times New Roman" w:hAnsi="Times New Roman" w:eastAsia="宋体" w:cs="Times New Roman"/>
                <w:b w:val="0"/>
                <w:bCs w:val="0"/>
                <w:caps w:val="0"/>
                <w:color w:val="auto"/>
                <w:sz w:val="24"/>
                <w:szCs w:val="24"/>
                <w:highlight w:val="none"/>
                <w:lang w:val="en-US" w:eastAsia="zh-CN"/>
              </w:rPr>
              <w:t>）</w:t>
            </w:r>
            <w:r>
              <w:rPr>
                <w:rFonts w:hint="eastAsia" w:cs="Times New Roman"/>
                <w:b w:val="0"/>
                <w:bCs w:val="0"/>
                <w:caps w:val="0"/>
                <w:color w:val="auto"/>
                <w:sz w:val="24"/>
                <w:szCs w:val="24"/>
                <w:highlight w:val="none"/>
                <w:lang w:val="en-US" w:eastAsia="zh-CN"/>
              </w:rPr>
              <w:t>、</w:t>
            </w:r>
            <w:r>
              <w:rPr>
                <w:rFonts w:hint="eastAsia" w:ascii="Times New Roman" w:hAnsi="Times New Roman" w:eastAsia="宋体" w:cs="Times New Roman"/>
                <w:b w:val="0"/>
                <w:bCs w:val="0"/>
                <w:kern w:val="2"/>
                <w:sz w:val="24"/>
                <w:szCs w:val="24"/>
                <w:lang w:val="en-US" w:eastAsia="zh-CN" w:bidi="ar-SA"/>
              </w:rPr>
              <w:t>《昌吉回族自治州人民政府办公室关于印发&lt;昌吉州煤田灭火工作实施方案&gt;的通知》</w:t>
            </w:r>
            <w:r>
              <w:rPr>
                <w:rFonts w:hint="eastAsia"/>
                <w:b w:val="0"/>
                <w:bCs w:val="0"/>
                <w:caps w:val="0"/>
                <w:color w:val="auto"/>
                <w:sz w:val="24"/>
                <w:highlight w:val="none"/>
                <w:lang w:val="en-US" w:eastAsia="zh-CN"/>
              </w:rPr>
              <w:t>（昌州政办发</w:t>
            </w:r>
            <w:r>
              <w:rPr>
                <w:rFonts w:hint="default" w:ascii="Times New Roman" w:hAnsi="Times New Roman" w:cs="Times New Roman"/>
                <w:b w:val="0"/>
                <w:bCs w:val="0"/>
                <w:color w:val="auto"/>
                <w:kern w:val="0"/>
                <w:sz w:val="24"/>
                <w:lang w:eastAsia="zh-CN"/>
              </w:rPr>
              <w:t>〔</w:t>
            </w:r>
            <w:r>
              <w:rPr>
                <w:rFonts w:hint="eastAsia" w:ascii="Times New Roman" w:hAnsi="Times New Roman" w:cs="Times New Roman"/>
                <w:b w:val="0"/>
                <w:bCs w:val="0"/>
                <w:color w:val="auto"/>
                <w:kern w:val="0"/>
                <w:sz w:val="24"/>
                <w:lang w:val="en-US" w:eastAsia="zh-CN"/>
              </w:rPr>
              <w:t>2024</w:t>
            </w:r>
            <w:r>
              <w:rPr>
                <w:rFonts w:hint="default" w:ascii="Times New Roman" w:hAnsi="Times New Roman" w:cs="Times New Roman"/>
                <w:b w:val="0"/>
                <w:bCs w:val="0"/>
                <w:color w:val="auto"/>
                <w:kern w:val="0"/>
                <w:sz w:val="24"/>
                <w:lang w:eastAsia="zh-CN"/>
              </w:rPr>
              <w:t>〕</w:t>
            </w:r>
            <w:r>
              <w:rPr>
                <w:rFonts w:hint="eastAsia" w:cs="Times New Roman"/>
                <w:b w:val="0"/>
                <w:bCs w:val="0"/>
                <w:color w:val="auto"/>
                <w:kern w:val="0"/>
                <w:sz w:val="24"/>
                <w:lang w:val="en-US" w:eastAsia="zh-CN"/>
              </w:rPr>
              <w:t>15</w:t>
            </w:r>
            <w:r>
              <w:rPr>
                <w:rFonts w:hint="default" w:ascii="Times New Roman" w:hAnsi="Times New Roman" w:cs="Times New Roman"/>
                <w:b w:val="0"/>
                <w:bCs w:val="0"/>
                <w:color w:val="auto"/>
                <w:kern w:val="0"/>
                <w:sz w:val="24"/>
              </w:rPr>
              <w:t>号</w:t>
            </w:r>
            <w:r>
              <w:rPr>
                <w:rFonts w:hint="eastAsia"/>
                <w:b w:val="0"/>
                <w:bCs w:val="0"/>
                <w:caps w:val="0"/>
                <w:color w:val="auto"/>
                <w:sz w:val="24"/>
                <w:highlight w:val="none"/>
                <w:lang w:val="en-US" w:eastAsia="zh-CN"/>
              </w:rPr>
              <w:t>）等相关要求，</w:t>
            </w:r>
            <w:r>
              <w:rPr>
                <w:rFonts w:hint="default" w:ascii="Times New Roman" w:hAnsi="Times New Roman" w:eastAsia="宋体" w:cs="Times New Roman"/>
                <w:color w:val="auto"/>
                <w:kern w:val="2"/>
                <w:sz w:val="24"/>
                <w:szCs w:val="24"/>
                <w:lang w:val="en-US" w:eastAsia="zh-CN" w:bidi="ar-SA"/>
              </w:rPr>
              <w:t>加快启动该火区的治理工作。</w:t>
            </w:r>
          </w:p>
          <w:p w14:paraId="585B090C">
            <w:pPr>
              <w:pStyle w:val="10"/>
              <w:keepNext w:val="0"/>
              <w:keepLines w:val="0"/>
              <w:suppressLineNumbers w:val="0"/>
              <w:spacing w:beforeAutospacing="0" w:afterAutospacing="0"/>
              <w:ind w:left="0"/>
              <w:rPr>
                <w:rFonts w:hint="default"/>
                <w:b/>
                <w:bCs/>
                <w:spacing w:val="-3"/>
                <w:lang w:val="en-US" w:eastAsia="zh-CN"/>
              </w:rPr>
            </w:pPr>
          </w:p>
        </w:tc>
      </w:tr>
      <w:tr w14:paraId="27AE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trPr>
        <w:tc>
          <w:tcPr>
            <w:tcW w:w="893" w:type="dxa"/>
            <w:vAlign w:val="center"/>
          </w:tcPr>
          <w:p w14:paraId="6C40AE3C">
            <w:pPr>
              <w:keepNext w:val="0"/>
              <w:keepLines w:val="0"/>
              <w:suppressLineNumbers w:val="0"/>
              <w:adjustRightInd w:val="0"/>
              <w:snapToGrid w:val="0"/>
              <w:spacing w:before="0" w:beforeAutospacing="0" w:after="0" w:afterAutospacing="0"/>
              <w:ind w:left="0" w:leftChars="0" w:right="0" w:rightChars="0"/>
              <w:jc w:val="center"/>
              <w:rPr>
                <w:rFonts w:hint="eastAsia" w:ascii="黑体" w:hAnsi="黑体" w:eastAsia="黑体"/>
                <w:snapToGrid w:val="0"/>
                <w:color w:val="auto"/>
                <w:sz w:val="30"/>
                <w:szCs w:val="30"/>
                <w:vertAlign w:val="baseline"/>
              </w:rPr>
            </w:pPr>
            <w:r>
              <w:rPr>
                <w:rFonts w:hint="eastAsia" w:ascii="Times New Roman" w:hAnsi="Times New Roman" w:cs="Times New Roman"/>
                <w:b/>
                <w:bCs/>
                <w:color w:val="auto"/>
                <w:sz w:val="24"/>
                <w:szCs w:val="24"/>
              </w:rPr>
              <w:t>生态环境保护目标</w:t>
            </w:r>
          </w:p>
        </w:tc>
        <w:tc>
          <w:tcPr>
            <w:tcW w:w="8167" w:type="dxa"/>
            <w:vAlign w:val="center"/>
          </w:tcPr>
          <w:p w14:paraId="00EBA8B4">
            <w:pPr>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本项目生态</w:t>
            </w:r>
            <w:r>
              <w:rPr>
                <w:rFonts w:hint="default" w:ascii="Times New Roman" w:hAnsi="Times New Roman" w:cs="Times New Roman"/>
                <w:color w:val="auto"/>
                <w:sz w:val="24"/>
                <w:szCs w:val="24"/>
              </w:rPr>
              <w:t>环境保护目标见表</w:t>
            </w:r>
            <w:r>
              <w:rPr>
                <w:rFonts w:hint="eastAsia" w:ascii="Times New Roman" w:hAnsi="Times New Roman" w:cs="Times New Roman"/>
                <w:color w:val="auto"/>
                <w:sz w:val="24"/>
                <w:szCs w:val="24"/>
                <w:lang w:val="en-US" w:eastAsia="zh-CN"/>
              </w:rPr>
              <w:t>3-</w:t>
            </w:r>
            <w:r>
              <w:rPr>
                <w:rFonts w:hint="eastAsia" w:cs="Times New Roman"/>
                <w:color w:val="auto"/>
                <w:sz w:val="24"/>
                <w:szCs w:val="24"/>
                <w:lang w:val="en-US" w:eastAsia="zh-CN"/>
              </w:rPr>
              <w:t>6</w:t>
            </w:r>
            <w:r>
              <w:rPr>
                <w:rFonts w:hint="default" w:ascii="Times New Roman" w:hAnsi="Times New Roman" w:cs="Times New Roman"/>
                <w:color w:val="auto"/>
                <w:sz w:val="24"/>
                <w:szCs w:val="24"/>
              </w:rPr>
              <w:t>。</w:t>
            </w:r>
          </w:p>
          <w:p w14:paraId="5A567003">
            <w:pPr>
              <w:keepNext w:val="0"/>
              <w:keepLines w:val="0"/>
              <w:suppressLineNumbers w:val="0"/>
              <w:spacing w:before="0" w:beforeAutospacing="0" w:after="0" w:afterAutospacing="0"/>
              <w:ind w:left="0" w:right="0"/>
              <w:jc w:val="center"/>
              <w:rPr>
                <w:rFonts w:hint="eastAsia" w:ascii="Times New Roman" w:hAnsi="Times New Roman" w:cs="Times New Roman"/>
                <w:b/>
                <w:color w:val="auto"/>
                <w:szCs w:val="21"/>
              </w:rPr>
            </w:pPr>
            <w:r>
              <w:rPr>
                <w:rFonts w:hint="default" w:ascii="Times New Roman" w:hAnsi="Times New Roman" w:cs="Times New Roman"/>
                <w:b/>
                <w:color w:val="auto"/>
                <w:szCs w:val="21"/>
              </w:rPr>
              <w:t>表</w:t>
            </w:r>
            <w:r>
              <w:rPr>
                <w:rFonts w:hint="eastAsia" w:ascii="Times New Roman" w:hAnsi="Times New Roman" w:cs="Times New Roman"/>
                <w:b/>
                <w:color w:val="auto"/>
                <w:szCs w:val="21"/>
                <w:lang w:val="en-US" w:eastAsia="zh-CN"/>
              </w:rPr>
              <w:t>3-</w:t>
            </w:r>
            <w:r>
              <w:rPr>
                <w:rFonts w:hint="eastAsia" w:cs="Times New Roman"/>
                <w:b/>
                <w:color w:val="auto"/>
                <w:szCs w:val="21"/>
                <w:lang w:val="en-US" w:eastAsia="zh-CN"/>
              </w:rPr>
              <w:t>6</w:t>
            </w:r>
            <w:r>
              <w:rPr>
                <w:rFonts w:hint="default" w:ascii="Times New Roman" w:hAnsi="Times New Roman" w:cs="Times New Roman"/>
                <w:b/>
                <w:color w:val="auto"/>
                <w:szCs w:val="21"/>
              </w:rPr>
              <w:t xml:space="preserve">   </w:t>
            </w:r>
            <w:r>
              <w:rPr>
                <w:rFonts w:hint="eastAsia" w:ascii="Times New Roman" w:hAnsi="Times New Roman" w:cs="Times New Roman"/>
                <w:b/>
                <w:color w:val="auto"/>
                <w:szCs w:val="21"/>
              </w:rPr>
              <w:t>生态</w:t>
            </w:r>
            <w:r>
              <w:rPr>
                <w:rFonts w:hint="default" w:ascii="Times New Roman" w:hAnsi="Times New Roman" w:cs="Times New Roman"/>
                <w:b/>
                <w:color w:val="auto"/>
                <w:szCs w:val="21"/>
              </w:rPr>
              <w:t>环境保护目标</w:t>
            </w:r>
            <w:r>
              <w:rPr>
                <w:rFonts w:hint="eastAsia" w:ascii="Times New Roman" w:hAnsi="Times New Roman" w:cs="Times New Roman"/>
                <w:b/>
                <w:color w:val="auto"/>
                <w:szCs w:val="21"/>
              </w:rPr>
              <w:t>一览表</w:t>
            </w:r>
          </w:p>
          <w:tbl>
            <w:tblPr>
              <w:tblStyle w:val="26"/>
              <w:tblW w:w="7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975"/>
              <w:gridCol w:w="1793"/>
              <w:gridCol w:w="1474"/>
              <w:gridCol w:w="2844"/>
            </w:tblGrid>
            <w:tr w14:paraId="6C2C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159" w:type="pct"/>
                  <w:gridSpan w:val="2"/>
                  <w:vMerge w:val="restart"/>
                  <w:noWrap w:val="0"/>
                  <w:tcMar>
                    <w:left w:w="28" w:type="dxa"/>
                    <w:right w:w="28" w:type="dxa"/>
                  </w:tcMar>
                  <w:vAlign w:val="center"/>
                </w:tcPr>
                <w:p w14:paraId="2381469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要素</w:t>
                  </w:r>
                </w:p>
              </w:tc>
              <w:tc>
                <w:tcPr>
                  <w:tcW w:w="1126" w:type="pct"/>
                  <w:vMerge w:val="restart"/>
                  <w:noWrap w:val="0"/>
                  <w:tcMar>
                    <w:left w:w="28" w:type="dxa"/>
                    <w:right w:w="28" w:type="dxa"/>
                  </w:tcMar>
                  <w:vAlign w:val="center"/>
                </w:tcPr>
                <w:p w14:paraId="7953F63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目标名称</w:t>
                  </w:r>
                </w:p>
              </w:tc>
              <w:tc>
                <w:tcPr>
                  <w:tcW w:w="2714" w:type="pct"/>
                  <w:gridSpan w:val="2"/>
                  <w:noWrap w:val="0"/>
                  <w:tcMar>
                    <w:left w:w="28" w:type="dxa"/>
                    <w:right w:w="28" w:type="dxa"/>
                  </w:tcMar>
                  <w:vAlign w:val="center"/>
                </w:tcPr>
                <w:p w14:paraId="365AC724">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b w:val="0"/>
                      <w:bCs w:val="0"/>
                      <w:color w:val="auto"/>
                      <w:sz w:val="21"/>
                      <w:szCs w:val="21"/>
                    </w:rPr>
                  </w:pPr>
                  <w:r>
                    <w:rPr>
                      <w:rFonts w:hint="eastAsia" w:ascii="Times New Roman" w:hAnsi="Times New Roman" w:cs="Times New Roman"/>
                      <w:b w:val="0"/>
                      <w:bCs w:val="0"/>
                      <w:color w:val="auto"/>
                      <w:sz w:val="21"/>
                      <w:szCs w:val="21"/>
                    </w:rPr>
                    <w:t>与项目位置关系</w:t>
                  </w:r>
                </w:p>
              </w:tc>
            </w:tr>
            <w:tr w14:paraId="55FD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159" w:type="pct"/>
                  <w:gridSpan w:val="2"/>
                  <w:vMerge w:val="continue"/>
                  <w:noWrap w:val="0"/>
                  <w:tcMar>
                    <w:left w:w="28" w:type="dxa"/>
                    <w:right w:w="28" w:type="dxa"/>
                  </w:tcMar>
                  <w:vAlign w:val="center"/>
                </w:tcPr>
                <w:p w14:paraId="23E2F2B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rPr>
                  </w:pPr>
                </w:p>
              </w:tc>
              <w:tc>
                <w:tcPr>
                  <w:tcW w:w="1126" w:type="pct"/>
                  <w:vMerge w:val="continue"/>
                  <w:noWrap w:val="0"/>
                  <w:tcMar>
                    <w:left w:w="28" w:type="dxa"/>
                    <w:right w:w="28" w:type="dxa"/>
                  </w:tcMar>
                  <w:vAlign w:val="center"/>
                </w:tcPr>
                <w:p w14:paraId="6A89198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rPr>
                  </w:pPr>
                </w:p>
              </w:tc>
              <w:tc>
                <w:tcPr>
                  <w:tcW w:w="926" w:type="pct"/>
                  <w:noWrap w:val="0"/>
                  <w:tcMar>
                    <w:left w:w="28" w:type="dxa"/>
                    <w:right w:w="28" w:type="dxa"/>
                  </w:tcMar>
                  <w:vAlign w:val="center"/>
                </w:tcPr>
                <w:p w14:paraId="15AB738F">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方向</w:t>
                  </w:r>
                </w:p>
              </w:tc>
              <w:tc>
                <w:tcPr>
                  <w:tcW w:w="1787" w:type="pct"/>
                  <w:noWrap w:val="0"/>
                  <w:tcMar>
                    <w:left w:w="28" w:type="dxa"/>
                    <w:right w:w="28" w:type="dxa"/>
                  </w:tcMar>
                  <w:vAlign w:val="center"/>
                </w:tcPr>
                <w:p w14:paraId="0779D76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距离</w:t>
                  </w:r>
                </w:p>
              </w:tc>
            </w:tr>
            <w:tr w14:paraId="7306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159" w:type="pct"/>
                  <w:gridSpan w:val="2"/>
                  <w:noWrap w:val="0"/>
                  <w:tcMar>
                    <w:left w:w="28" w:type="dxa"/>
                    <w:right w:w="28" w:type="dxa"/>
                  </w:tcMar>
                  <w:vAlign w:val="center"/>
                </w:tcPr>
                <w:p w14:paraId="51E9AA2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环境空气</w:t>
                  </w:r>
                </w:p>
              </w:tc>
              <w:tc>
                <w:tcPr>
                  <w:tcW w:w="3840" w:type="pct"/>
                  <w:gridSpan w:val="3"/>
                  <w:noWrap w:val="0"/>
                  <w:tcMar>
                    <w:left w:w="28" w:type="dxa"/>
                    <w:right w:w="28" w:type="dxa"/>
                  </w:tcMar>
                  <w:vAlign w:val="center"/>
                </w:tcPr>
                <w:p w14:paraId="44E1BBA9">
                  <w:pPr>
                    <w:keepNext w:val="0"/>
                    <w:keepLines w:val="0"/>
                    <w:pageBreakBefore w:val="0"/>
                    <w:widowControl/>
                    <w:suppressLineNumbers w:val="0"/>
                    <w:tabs>
                      <w:tab w:val="left" w:pos="0"/>
                    </w:tab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lang w:bidi="ar"/>
                    </w:rPr>
                    <w:t>项</w:t>
                  </w:r>
                  <w:r>
                    <w:rPr>
                      <w:rFonts w:hint="default" w:ascii="Times New Roman" w:hAnsi="Times New Roman" w:eastAsia="宋体" w:cs="Times New Roman"/>
                      <w:color w:val="auto"/>
                      <w:kern w:val="0"/>
                      <w:sz w:val="21"/>
                      <w:szCs w:val="21"/>
                      <w:lang w:bidi="ar"/>
                    </w:rPr>
                    <w:t>目区</w:t>
                  </w:r>
                  <w:r>
                    <w:rPr>
                      <w:rFonts w:hint="default" w:ascii="Times New Roman" w:hAnsi="Times New Roman" w:eastAsia="宋体" w:cs="Times New Roman"/>
                      <w:color w:val="auto"/>
                      <w:kern w:val="0"/>
                      <w:sz w:val="21"/>
                      <w:szCs w:val="21"/>
                      <w:lang w:val="en-US" w:eastAsia="zh-CN" w:bidi="ar"/>
                    </w:rPr>
                    <w:t>厂界</w:t>
                  </w:r>
                  <w:r>
                    <w:rPr>
                      <w:rFonts w:hint="default" w:ascii="Times New Roman" w:hAnsi="Times New Roman" w:eastAsia="宋体" w:cs="Times New Roman"/>
                      <w:color w:val="auto"/>
                      <w:kern w:val="0"/>
                      <w:sz w:val="21"/>
                      <w:szCs w:val="21"/>
                      <w:lang w:bidi="ar"/>
                    </w:rPr>
                    <w:t>外500m范围内无自然保护区、风景名胜区、居住区、文化区和农村地区中人群较集中的区域等大气环境敏感目标。</w:t>
                  </w:r>
                </w:p>
              </w:tc>
            </w:tr>
            <w:tr w14:paraId="238C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59" w:type="pct"/>
                  <w:gridSpan w:val="2"/>
                  <w:noWrap w:val="0"/>
                  <w:tcMar>
                    <w:left w:w="28" w:type="dxa"/>
                    <w:right w:w="28" w:type="dxa"/>
                  </w:tcMar>
                  <w:vAlign w:val="center"/>
                </w:tcPr>
                <w:p w14:paraId="14A3EC6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声环境</w:t>
                  </w:r>
                </w:p>
              </w:tc>
              <w:tc>
                <w:tcPr>
                  <w:tcW w:w="3840" w:type="pct"/>
                  <w:gridSpan w:val="3"/>
                  <w:noWrap w:val="0"/>
                  <w:tcMar>
                    <w:left w:w="28" w:type="dxa"/>
                    <w:right w:w="28" w:type="dxa"/>
                  </w:tcMar>
                  <w:vAlign w:val="center"/>
                </w:tcPr>
                <w:p w14:paraId="219F690E">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lang w:bidi="ar"/>
                    </w:rPr>
                    <w:t>项目区</w:t>
                  </w:r>
                  <w:r>
                    <w:rPr>
                      <w:rFonts w:hint="default" w:ascii="Times New Roman" w:hAnsi="Times New Roman" w:cs="Times New Roman"/>
                      <w:color w:val="auto"/>
                      <w:kern w:val="0"/>
                      <w:sz w:val="21"/>
                      <w:szCs w:val="21"/>
                      <w:lang w:val="en-US" w:eastAsia="zh-CN" w:bidi="ar"/>
                    </w:rPr>
                    <w:t>厂界</w:t>
                  </w:r>
                  <w:r>
                    <w:rPr>
                      <w:rFonts w:hint="default" w:ascii="Times New Roman" w:hAnsi="Times New Roman" w:cs="Times New Roman"/>
                      <w:color w:val="auto"/>
                      <w:kern w:val="0"/>
                      <w:sz w:val="21"/>
                      <w:szCs w:val="21"/>
                      <w:lang w:bidi="ar"/>
                    </w:rPr>
                    <w:t>外50m范围内无声环境保护目标。</w:t>
                  </w:r>
                </w:p>
              </w:tc>
            </w:tr>
            <w:tr w14:paraId="64BD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46" w:type="pct"/>
                  <w:vMerge w:val="restart"/>
                  <w:noWrap w:val="0"/>
                  <w:tcMar>
                    <w:left w:w="28" w:type="dxa"/>
                    <w:right w:w="28" w:type="dxa"/>
                  </w:tcMar>
                  <w:vAlign w:val="center"/>
                </w:tcPr>
                <w:p w14:paraId="3C82582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水环境</w:t>
                  </w:r>
                </w:p>
              </w:tc>
              <w:tc>
                <w:tcPr>
                  <w:tcW w:w="612" w:type="pct"/>
                  <w:noWrap w:val="0"/>
                  <w:tcMar>
                    <w:left w:w="28" w:type="dxa"/>
                    <w:right w:w="28" w:type="dxa"/>
                  </w:tcMar>
                  <w:vAlign w:val="center"/>
                </w:tcPr>
                <w:p w14:paraId="00034E3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地表水</w:t>
                  </w:r>
                </w:p>
              </w:tc>
              <w:tc>
                <w:tcPr>
                  <w:tcW w:w="1126" w:type="pct"/>
                  <w:noWrap w:val="0"/>
                  <w:tcMar>
                    <w:left w:w="28" w:type="dxa"/>
                    <w:right w:w="28" w:type="dxa"/>
                  </w:tcMar>
                  <w:vAlign w:val="center"/>
                </w:tcPr>
                <w:p w14:paraId="3F13FE2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甘河子水库水源地二级保护区</w:t>
                  </w:r>
                </w:p>
              </w:tc>
              <w:tc>
                <w:tcPr>
                  <w:tcW w:w="926" w:type="pct"/>
                  <w:noWrap w:val="0"/>
                  <w:tcMar>
                    <w:left w:w="28" w:type="dxa"/>
                    <w:right w:w="28" w:type="dxa"/>
                  </w:tcMar>
                  <w:vAlign w:val="center"/>
                </w:tcPr>
                <w:p w14:paraId="473D86F9">
                  <w:pPr>
                    <w:keepNext w:val="0"/>
                    <w:keepLines w:val="0"/>
                    <w:suppressLineNumbers w:val="0"/>
                    <w:spacing w:before="0" w:beforeAutospacing="0" w:after="0" w:afterAutospacing="0" w:line="240" w:lineRule="auto"/>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南侧</w:t>
                  </w:r>
                </w:p>
              </w:tc>
              <w:tc>
                <w:tcPr>
                  <w:tcW w:w="1787" w:type="pct"/>
                  <w:noWrap w:val="0"/>
                  <w:tcMar>
                    <w:left w:w="28" w:type="dxa"/>
                    <w:right w:w="28" w:type="dxa"/>
                  </w:tcMar>
                  <w:vAlign w:val="center"/>
                </w:tcPr>
                <w:p w14:paraId="75462462">
                  <w:pPr>
                    <w:keepNext w:val="0"/>
                    <w:keepLines w:val="0"/>
                    <w:suppressLineNumbers w:val="0"/>
                    <w:spacing w:before="0" w:beforeAutospacing="0" w:after="0" w:afterAutospacing="0" w:line="240" w:lineRule="auto"/>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1.84km</w:t>
                  </w:r>
                </w:p>
              </w:tc>
            </w:tr>
            <w:tr w14:paraId="1277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46" w:type="pct"/>
                  <w:vMerge w:val="continue"/>
                  <w:noWrap w:val="0"/>
                  <w:tcMar>
                    <w:left w:w="28" w:type="dxa"/>
                    <w:right w:w="28" w:type="dxa"/>
                  </w:tcMar>
                  <w:vAlign w:val="center"/>
                </w:tcPr>
                <w:p w14:paraId="682306B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p>
              </w:tc>
              <w:tc>
                <w:tcPr>
                  <w:tcW w:w="612" w:type="pct"/>
                  <w:noWrap w:val="0"/>
                  <w:tcMar>
                    <w:left w:w="28" w:type="dxa"/>
                    <w:right w:w="28" w:type="dxa"/>
                  </w:tcMar>
                  <w:vAlign w:val="center"/>
                </w:tcPr>
                <w:p w14:paraId="42E67A1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地下水</w:t>
                  </w:r>
                </w:p>
              </w:tc>
              <w:tc>
                <w:tcPr>
                  <w:tcW w:w="3840" w:type="pct"/>
                  <w:gridSpan w:val="3"/>
                  <w:noWrap w:val="0"/>
                  <w:tcMar>
                    <w:left w:w="28" w:type="dxa"/>
                    <w:right w:w="28" w:type="dxa"/>
                  </w:tcMar>
                  <w:vAlign w:val="center"/>
                </w:tcPr>
                <w:p w14:paraId="7656756E">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rPr>
                  </w:pPr>
                  <w:r>
                    <w:rPr>
                      <w:rFonts w:hint="default" w:ascii="Times New Roman" w:hAnsi="Times New Roman" w:cs="Times New Roman"/>
                      <w:color w:val="auto"/>
                      <w:kern w:val="0"/>
                      <w:sz w:val="21"/>
                      <w:szCs w:val="21"/>
                      <w:lang w:bidi="ar"/>
                    </w:rPr>
                    <w:t>项目区</w:t>
                  </w:r>
                  <w:r>
                    <w:rPr>
                      <w:rFonts w:hint="default" w:ascii="Times New Roman" w:hAnsi="Times New Roman" w:cs="Times New Roman"/>
                      <w:color w:val="auto"/>
                      <w:kern w:val="0"/>
                      <w:sz w:val="21"/>
                      <w:szCs w:val="21"/>
                      <w:lang w:val="en-US" w:eastAsia="zh-CN" w:bidi="ar"/>
                    </w:rPr>
                    <w:t>厂界</w:t>
                  </w:r>
                  <w:r>
                    <w:rPr>
                      <w:rFonts w:hint="default" w:ascii="Times New Roman" w:hAnsi="Times New Roman" w:cs="Times New Roman"/>
                      <w:color w:val="auto"/>
                      <w:kern w:val="0"/>
                      <w:sz w:val="21"/>
                      <w:szCs w:val="21"/>
                      <w:lang w:bidi="ar"/>
                    </w:rPr>
                    <w:t>外500m范围内无地下水集中式饮用水水源和热水、矿泉水、温泉等特殊地下水资源。</w:t>
                  </w:r>
                </w:p>
              </w:tc>
            </w:tr>
            <w:tr w14:paraId="55C5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1159" w:type="pct"/>
                  <w:gridSpan w:val="2"/>
                  <w:noWrap w:val="0"/>
                  <w:tcMar>
                    <w:left w:w="28" w:type="dxa"/>
                    <w:right w:w="28" w:type="dxa"/>
                  </w:tcMar>
                  <w:vAlign w:val="center"/>
                </w:tcPr>
                <w:p w14:paraId="246EA91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生态环境</w:t>
                  </w:r>
                </w:p>
              </w:tc>
              <w:tc>
                <w:tcPr>
                  <w:tcW w:w="3840" w:type="pct"/>
                  <w:gridSpan w:val="3"/>
                  <w:noWrap w:val="0"/>
                  <w:tcMar>
                    <w:left w:w="28" w:type="dxa"/>
                    <w:right w:w="28" w:type="dxa"/>
                  </w:tcMar>
                  <w:vAlign w:val="center"/>
                </w:tcPr>
                <w:p w14:paraId="2DEE58BF">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rPr>
                  </w:pPr>
                  <w:r>
                    <w:rPr>
                      <w:rFonts w:hint="eastAsia" w:cs="Times New Roman"/>
                      <w:color w:val="auto"/>
                      <w:sz w:val="21"/>
                      <w:szCs w:val="21"/>
                      <w:lang w:val="en-US" w:eastAsia="zh-CN"/>
                    </w:rPr>
                    <w:t>项目区周边无野生动植物分布，无野生动物迁通道，项目范围内无生态环境保护目标。</w:t>
                  </w:r>
                </w:p>
              </w:tc>
            </w:tr>
          </w:tbl>
          <w:p w14:paraId="3B8A3F2A">
            <w:pPr>
              <w:pStyle w:val="47"/>
              <w:keepNext w:val="0"/>
              <w:keepLines w:val="0"/>
              <w:suppressLineNumbers w:val="0"/>
              <w:spacing w:before="0" w:beforeAutospacing="0" w:after="0" w:afterAutospacing="0"/>
              <w:ind w:left="0" w:leftChars="0" w:right="0" w:rightChars="0" w:firstLine="0" w:firstLineChars="0"/>
              <w:rPr>
                <w:rFonts w:hint="eastAsia" w:ascii="黑体" w:hAnsi="黑体" w:eastAsia="黑体"/>
                <w:snapToGrid w:val="0"/>
                <w:color w:val="auto"/>
                <w:sz w:val="30"/>
                <w:szCs w:val="30"/>
                <w:vertAlign w:val="baseline"/>
              </w:rPr>
            </w:pPr>
          </w:p>
        </w:tc>
      </w:tr>
      <w:tr w14:paraId="2F5F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3" w:type="dxa"/>
            <w:vAlign w:val="center"/>
          </w:tcPr>
          <w:p w14:paraId="08C61EAB">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宋体"/>
                <w:b/>
                <w:bCs/>
                <w:color w:val="auto"/>
                <w:kern w:val="0"/>
                <w:sz w:val="24"/>
                <w:szCs w:val="24"/>
              </w:rPr>
            </w:pPr>
            <w:r>
              <w:rPr>
                <w:rFonts w:hint="eastAsia" w:ascii="Times New Roman" w:hAnsi="Times New Roman" w:cs="宋体"/>
                <w:b/>
                <w:bCs/>
                <w:color w:val="auto"/>
                <w:kern w:val="0"/>
                <w:sz w:val="24"/>
                <w:szCs w:val="24"/>
              </w:rPr>
              <w:t>评价</w:t>
            </w:r>
          </w:p>
          <w:p w14:paraId="5B640F67">
            <w:pPr>
              <w:keepNext w:val="0"/>
              <w:keepLines w:val="0"/>
              <w:suppressLineNumbers w:val="0"/>
              <w:adjustRightInd w:val="0"/>
              <w:snapToGrid w:val="0"/>
              <w:spacing w:before="0" w:beforeAutospacing="0" w:after="0" w:afterAutospacing="0"/>
              <w:ind w:left="0" w:leftChars="0" w:right="0" w:rightChars="0"/>
              <w:jc w:val="center"/>
              <w:rPr>
                <w:rFonts w:hint="eastAsia" w:ascii="黑体" w:hAnsi="黑体" w:eastAsia="黑体"/>
                <w:snapToGrid w:val="0"/>
                <w:color w:val="auto"/>
                <w:sz w:val="30"/>
                <w:szCs w:val="30"/>
                <w:vertAlign w:val="baseline"/>
              </w:rPr>
            </w:pPr>
            <w:r>
              <w:rPr>
                <w:rFonts w:hint="eastAsia" w:ascii="Times New Roman" w:hAnsi="Times New Roman" w:cs="宋体"/>
                <w:b/>
                <w:bCs/>
                <w:color w:val="auto"/>
                <w:kern w:val="0"/>
                <w:sz w:val="24"/>
                <w:szCs w:val="24"/>
              </w:rPr>
              <w:t>标准</w:t>
            </w:r>
          </w:p>
        </w:tc>
        <w:tc>
          <w:tcPr>
            <w:tcW w:w="8167" w:type="dxa"/>
            <w:vAlign w:val="center"/>
          </w:tcPr>
          <w:p w14:paraId="493DF04B">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rPr>
            </w:pPr>
            <w:r>
              <w:rPr>
                <w:rFonts w:hint="eastAsia" w:cs="Times New Roman"/>
                <w:b/>
                <w:bCs/>
                <w:color w:val="auto"/>
                <w:sz w:val="24"/>
                <w:lang w:val="en-US" w:eastAsia="zh-CN"/>
              </w:rPr>
              <w:t>1、</w:t>
            </w:r>
            <w:r>
              <w:rPr>
                <w:rFonts w:hint="eastAsia" w:ascii="Times New Roman" w:hAnsi="Times New Roman" w:cs="Times New Roman"/>
                <w:b/>
                <w:bCs/>
                <w:color w:val="auto"/>
                <w:sz w:val="24"/>
              </w:rPr>
              <w:t>环境质量标准</w:t>
            </w:r>
          </w:p>
          <w:p w14:paraId="21C33D83">
            <w:pPr>
              <w:pStyle w:val="58"/>
              <w:keepNext w:val="0"/>
              <w:keepLines w:val="0"/>
              <w:suppressLineNumbers w:val="0"/>
              <w:tabs>
                <w:tab w:val="left" w:pos="2355"/>
              </w:tabs>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环境空气质量标准</w:t>
            </w:r>
          </w:p>
          <w:p w14:paraId="1485F38D">
            <w:pPr>
              <w:keepNext w:val="0"/>
              <w:keepLines w:val="0"/>
              <w:suppressLineNumbers w:val="0"/>
              <w:spacing w:before="0" w:beforeAutospacing="0" w:after="0" w:afterAutospacing="0" w:line="360" w:lineRule="auto"/>
              <w:ind w:left="0" w:right="0" w:firstLine="480"/>
              <w:rPr>
                <w:rFonts w:hint="default"/>
                <w:color w:val="auto"/>
              </w:rPr>
            </w:pPr>
            <w:r>
              <w:rPr>
                <w:rFonts w:hint="default"/>
                <w:color w:val="auto"/>
                <w:kern w:val="0"/>
                <w:sz w:val="24"/>
                <w:szCs w:val="24"/>
              </w:rPr>
              <w:t>项目区域环境空气执行《环境空气质量标准》（GB3095-20</w:t>
            </w:r>
            <w:r>
              <w:rPr>
                <w:rFonts w:hint="eastAsia"/>
                <w:color w:val="auto"/>
                <w:kern w:val="0"/>
                <w:sz w:val="24"/>
                <w:szCs w:val="24"/>
                <w:lang w:val="en-US" w:eastAsia="zh-CN"/>
              </w:rPr>
              <w:t>26</w:t>
            </w:r>
            <w:r>
              <w:rPr>
                <w:rFonts w:hint="default"/>
                <w:color w:val="auto"/>
                <w:kern w:val="0"/>
                <w:sz w:val="24"/>
                <w:szCs w:val="24"/>
              </w:rPr>
              <w:t>）</w:t>
            </w:r>
            <w:r>
              <w:rPr>
                <w:rFonts w:hint="eastAsia"/>
                <w:color w:val="auto"/>
                <w:kern w:val="0"/>
                <w:sz w:val="24"/>
                <w:szCs w:val="24"/>
                <w:lang w:val="en-US" w:eastAsia="zh-CN"/>
              </w:rPr>
              <w:t>中的过渡阶段浓度限值</w:t>
            </w:r>
            <w:r>
              <w:rPr>
                <w:rFonts w:hint="default"/>
                <w:color w:val="auto"/>
                <w:kern w:val="0"/>
                <w:sz w:val="24"/>
                <w:szCs w:val="24"/>
              </w:rPr>
              <w:t>二级标准。具体标准值见表</w:t>
            </w:r>
            <w:r>
              <w:rPr>
                <w:rFonts w:hint="eastAsia"/>
                <w:color w:val="auto"/>
                <w:kern w:val="0"/>
                <w:sz w:val="24"/>
                <w:szCs w:val="24"/>
                <w:lang w:val="en-US" w:eastAsia="zh-CN"/>
              </w:rPr>
              <w:t>3-7</w:t>
            </w:r>
            <w:r>
              <w:rPr>
                <w:rFonts w:hint="default"/>
                <w:color w:val="auto"/>
                <w:kern w:val="0"/>
                <w:sz w:val="24"/>
                <w:szCs w:val="24"/>
              </w:rPr>
              <w:t>。</w:t>
            </w:r>
          </w:p>
          <w:p w14:paraId="51122B4A">
            <w:pPr>
              <w:pStyle w:val="100"/>
              <w:keepNext w:val="0"/>
              <w:keepLines w:val="0"/>
              <w:suppressLineNumbers w:val="0"/>
              <w:spacing w:before="0" w:beforeAutospacing="0" w:after="0" w:afterAutospacing="0" w:line="240" w:lineRule="auto"/>
              <w:ind w:left="0" w:right="0" w:firstLine="422"/>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kern w:val="0"/>
                <w:sz w:val="21"/>
                <w:szCs w:val="21"/>
                <w:lang w:val="en-US" w:eastAsia="zh-CN"/>
              </w:rPr>
              <w:t>表3-</w:t>
            </w:r>
            <w:r>
              <w:rPr>
                <w:rFonts w:hint="eastAsia" w:ascii="Times New Roman" w:cs="Times New Roman"/>
                <w:b/>
                <w:bCs/>
                <w:color w:val="auto"/>
                <w:kern w:val="0"/>
                <w:sz w:val="21"/>
                <w:szCs w:val="21"/>
                <w:lang w:val="en-US" w:eastAsia="zh-CN"/>
              </w:rPr>
              <w:t>7</w:t>
            </w:r>
            <w:r>
              <w:rPr>
                <w:rFonts w:hint="default" w:ascii="Times New Roman" w:hAnsi="Times New Roman" w:cs="Times New Roman"/>
                <w:b/>
                <w:bCs/>
                <w:color w:val="auto"/>
                <w:kern w:val="0"/>
                <w:sz w:val="21"/>
                <w:szCs w:val="21"/>
                <w:lang w:val="en-US" w:eastAsia="zh-CN"/>
              </w:rPr>
              <w:t xml:space="preserve"> </w:t>
            </w:r>
            <w:r>
              <w:rPr>
                <w:rFonts w:hint="default" w:ascii="Times New Roman" w:hAnsi="Times New Roman" w:cs="Times New Roman"/>
                <w:b/>
                <w:bCs/>
                <w:color w:val="auto"/>
                <w:kern w:val="2"/>
                <w:sz w:val="21"/>
                <w:szCs w:val="21"/>
              </w:rPr>
              <w:t xml:space="preserve"> 环境空气质量标准</w:t>
            </w:r>
          </w:p>
          <w:tbl>
            <w:tblPr>
              <w:tblStyle w:val="27"/>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2"/>
              <w:gridCol w:w="2955"/>
              <w:gridCol w:w="2940"/>
            </w:tblGrid>
            <w:tr w14:paraId="1871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2" w:type="dxa"/>
                  <w:vMerge w:val="restart"/>
                  <w:noWrap w:val="0"/>
                  <w:vAlign w:val="center"/>
                </w:tcPr>
                <w:p w14:paraId="7CB744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b w:val="0"/>
                      <w:bCs w:val="0"/>
                      <w:color w:val="auto"/>
                      <w:sz w:val="24"/>
                      <w:szCs w:val="24"/>
                      <w:vertAlign w:val="baseline"/>
                    </w:rPr>
                  </w:pPr>
                  <w:r>
                    <w:rPr>
                      <w:rFonts w:hint="default"/>
                      <w:b w:val="0"/>
                      <w:bCs w:val="0"/>
                      <w:snapToGrid w:val="0"/>
                      <w:color w:val="auto"/>
                      <w:kern w:val="0"/>
                      <w:sz w:val="21"/>
                      <w:szCs w:val="21"/>
                    </w:rPr>
                    <w:t>污染物</w:t>
                  </w:r>
                </w:p>
              </w:tc>
              <w:tc>
                <w:tcPr>
                  <w:tcW w:w="5895" w:type="dxa"/>
                  <w:gridSpan w:val="2"/>
                  <w:tcBorders>
                    <w:right w:val="nil"/>
                  </w:tcBorders>
                  <w:noWrap w:val="0"/>
                  <w:vAlign w:val="center"/>
                </w:tcPr>
                <w:p w14:paraId="78A7F3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b w:val="0"/>
                      <w:bCs w:val="0"/>
                      <w:color w:val="auto"/>
                      <w:sz w:val="24"/>
                      <w:szCs w:val="24"/>
                      <w:vertAlign w:val="baseline"/>
                    </w:rPr>
                  </w:pPr>
                  <w:r>
                    <w:rPr>
                      <w:rFonts w:hint="default"/>
                      <w:b w:val="0"/>
                      <w:bCs w:val="0"/>
                      <w:snapToGrid w:val="0"/>
                      <w:color w:val="auto"/>
                      <w:kern w:val="0"/>
                      <w:sz w:val="21"/>
                      <w:szCs w:val="21"/>
                    </w:rPr>
                    <w:t>浓度限值（μg/m</w:t>
                  </w:r>
                  <w:r>
                    <w:rPr>
                      <w:rFonts w:hint="default"/>
                      <w:b w:val="0"/>
                      <w:bCs w:val="0"/>
                      <w:snapToGrid w:val="0"/>
                      <w:color w:val="auto"/>
                      <w:kern w:val="0"/>
                      <w:sz w:val="21"/>
                      <w:szCs w:val="21"/>
                      <w:vertAlign w:val="superscript"/>
                    </w:rPr>
                    <w:t>3</w:t>
                  </w:r>
                  <w:r>
                    <w:rPr>
                      <w:rFonts w:hint="default"/>
                      <w:b w:val="0"/>
                      <w:bCs w:val="0"/>
                      <w:snapToGrid w:val="0"/>
                      <w:color w:val="auto"/>
                      <w:kern w:val="0"/>
                      <w:sz w:val="21"/>
                      <w:szCs w:val="21"/>
                    </w:rPr>
                    <w:t>）</w:t>
                  </w:r>
                </w:p>
              </w:tc>
            </w:tr>
            <w:tr w14:paraId="46DD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2" w:type="dxa"/>
                  <w:vMerge w:val="continue"/>
                  <w:tcBorders>
                    <w:left w:val="nil"/>
                  </w:tcBorders>
                  <w:noWrap w:val="0"/>
                  <w:vAlign w:val="center"/>
                </w:tcPr>
                <w:p w14:paraId="5BC4DD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olor w:val="auto"/>
                      <w:sz w:val="24"/>
                      <w:szCs w:val="24"/>
                      <w:vertAlign w:val="baseline"/>
                    </w:rPr>
                  </w:pPr>
                </w:p>
              </w:tc>
              <w:tc>
                <w:tcPr>
                  <w:tcW w:w="2955" w:type="dxa"/>
                  <w:noWrap w:val="0"/>
                  <w:vAlign w:val="center"/>
                </w:tcPr>
                <w:p w14:paraId="3A947F4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取值时间</w:t>
                  </w:r>
                </w:p>
              </w:tc>
              <w:tc>
                <w:tcPr>
                  <w:tcW w:w="2940" w:type="dxa"/>
                  <w:tcBorders>
                    <w:right w:val="nil"/>
                  </w:tcBorders>
                  <w:noWrap w:val="0"/>
                  <w:vAlign w:val="center"/>
                </w:tcPr>
                <w:p w14:paraId="5FF10D4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二级标准</w:t>
                  </w:r>
                </w:p>
              </w:tc>
            </w:tr>
            <w:tr w14:paraId="30C5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2" w:type="dxa"/>
                  <w:vMerge w:val="restart"/>
                  <w:tcBorders>
                    <w:left w:val="nil"/>
                  </w:tcBorders>
                  <w:noWrap w:val="0"/>
                  <w:vAlign w:val="center"/>
                </w:tcPr>
                <w:p w14:paraId="2522394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NO</w:t>
                  </w:r>
                  <w:r>
                    <w:rPr>
                      <w:rFonts w:hint="default"/>
                      <w:snapToGrid w:val="0"/>
                      <w:color w:val="auto"/>
                      <w:kern w:val="0"/>
                      <w:sz w:val="21"/>
                      <w:szCs w:val="21"/>
                      <w:vertAlign w:val="subscript"/>
                    </w:rPr>
                    <w:t>2</w:t>
                  </w:r>
                </w:p>
              </w:tc>
              <w:tc>
                <w:tcPr>
                  <w:tcW w:w="2955" w:type="dxa"/>
                  <w:noWrap w:val="0"/>
                  <w:vAlign w:val="center"/>
                </w:tcPr>
                <w:p w14:paraId="517992E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default"/>
                      <w:snapToGrid w:val="0"/>
                      <w:color w:val="auto"/>
                      <w:kern w:val="0"/>
                      <w:sz w:val="21"/>
                      <w:szCs w:val="21"/>
                    </w:rPr>
                    <w:t>年平均</w:t>
                  </w:r>
                </w:p>
              </w:tc>
              <w:tc>
                <w:tcPr>
                  <w:tcW w:w="2940" w:type="dxa"/>
                  <w:tcBorders>
                    <w:right w:val="nil"/>
                  </w:tcBorders>
                  <w:noWrap w:val="0"/>
                  <w:vAlign w:val="center"/>
                </w:tcPr>
                <w:p w14:paraId="2E8D252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40</w:t>
                  </w:r>
                </w:p>
              </w:tc>
            </w:tr>
            <w:tr w14:paraId="5797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142" w:type="dxa"/>
                  <w:vMerge w:val="continue"/>
                  <w:tcBorders>
                    <w:left w:val="nil"/>
                  </w:tcBorders>
                  <w:noWrap w:val="0"/>
                  <w:vAlign w:val="center"/>
                </w:tcPr>
                <w:p w14:paraId="3F38D1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olor w:val="auto"/>
                      <w:sz w:val="24"/>
                      <w:szCs w:val="24"/>
                      <w:vertAlign w:val="baseline"/>
                    </w:rPr>
                  </w:pPr>
                </w:p>
              </w:tc>
              <w:tc>
                <w:tcPr>
                  <w:tcW w:w="2955" w:type="dxa"/>
                  <w:noWrap w:val="0"/>
                  <w:vAlign w:val="center"/>
                </w:tcPr>
                <w:p w14:paraId="2071F3C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eastAsia"/>
                      <w:snapToGrid w:val="0"/>
                      <w:color w:val="auto"/>
                      <w:kern w:val="0"/>
                      <w:sz w:val="21"/>
                      <w:szCs w:val="21"/>
                      <w:lang w:val="en-US" w:eastAsia="zh-CN"/>
                    </w:rPr>
                    <w:t>日</w:t>
                  </w:r>
                  <w:r>
                    <w:rPr>
                      <w:rFonts w:hint="default"/>
                      <w:snapToGrid w:val="0"/>
                      <w:color w:val="auto"/>
                      <w:kern w:val="0"/>
                      <w:sz w:val="21"/>
                      <w:szCs w:val="21"/>
                    </w:rPr>
                    <w:t>平均</w:t>
                  </w:r>
                </w:p>
              </w:tc>
              <w:tc>
                <w:tcPr>
                  <w:tcW w:w="2940" w:type="dxa"/>
                  <w:tcBorders>
                    <w:right w:val="nil"/>
                  </w:tcBorders>
                  <w:noWrap w:val="0"/>
                  <w:vAlign w:val="center"/>
                </w:tcPr>
                <w:p w14:paraId="78A2D0C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80</w:t>
                  </w:r>
                </w:p>
              </w:tc>
            </w:tr>
            <w:tr w14:paraId="27B8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2" w:type="dxa"/>
                  <w:vMerge w:val="continue"/>
                  <w:tcBorders>
                    <w:left w:val="nil"/>
                  </w:tcBorders>
                  <w:noWrap w:val="0"/>
                  <w:vAlign w:val="center"/>
                </w:tcPr>
                <w:p w14:paraId="6C4899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olor w:val="auto"/>
                      <w:sz w:val="24"/>
                      <w:szCs w:val="24"/>
                      <w:vertAlign w:val="baseline"/>
                    </w:rPr>
                  </w:pPr>
                </w:p>
              </w:tc>
              <w:tc>
                <w:tcPr>
                  <w:tcW w:w="2955" w:type="dxa"/>
                  <w:noWrap w:val="0"/>
                  <w:vAlign w:val="center"/>
                </w:tcPr>
                <w:p w14:paraId="7A76384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default"/>
                      <w:snapToGrid w:val="0"/>
                      <w:color w:val="auto"/>
                      <w:kern w:val="0"/>
                      <w:sz w:val="21"/>
                      <w:szCs w:val="21"/>
                    </w:rPr>
                    <w:t>1小时平均</w:t>
                  </w:r>
                </w:p>
              </w:tc>
              <w:tc>
                <w:tcPr>
                  <w:tcW w:w="2940" w:type="dxa"/>
                  <w:tcBorders>
                    <w:right w:val="nil"/>
                  </w:tcBorders>
                  <w:noWrap w:val="0"/>
                  <w:vAlign w:val="center"/>
                </w:tcPr>
                <w:p w14:paraId="62C3BDB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200</w:t>
                  </w:r>
                </w:p>
              </w:tc>
            </w:tr>
            <w:tr w14:paraId="6C02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2142" w:type="dxa"/>
                  <w:vMerge w:val="restart"/>
                  <w:tcBorders>
                    <w:left w:val="nil"/>
                  </w:tcBorders>
                  <w:noWrap w:val="0"/>
                  <w:vAlign w:val="center"/>
                </w:tcPr>
                <w:p w14:paraId="6A44949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SO</w:t>
                  </w:r>
                  <w:r>
                    <w:rPr>
                      <w:rFonts w:hint="default"/>
                      <w:snapToGrid w:val="0"/>
                      <w:color w:val="auto"/>
                      <w:kern w:val="0"/>
                      <w:sz w:val="21"/>
                      <w:szCs w:val="21"/>
                      <w:vertAlign w:val="subscript"/>
                    </w:rPr>
                    <w:t>2</w:t>
                  </w:r>
                </w:p>
              </w:tc>
              <w:tc>
                <w:tcPr>
                  <w:tcW w:w="2955" w:type="dxa"/>
                  <w:noWrap w:val="0"/>
                  <w:vAlign w:val="center"/>
                </w:tcPr>
                <w:p w14:paraId="78333F1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default"/>
                      <w:snapToGrid w:val="0"/>
                      <w:color w:val="auto"/>
                      <w:kern w:val="0"/>
                      <w:sz w:val="21"/>
                      <w:szCs w:val="21"/>
                    </w:rPr>
                    <w:t>年平均</w:t>
                  </w:r>
                </w:p>
              </w:tc>
              <w:tc>
                <w:tcPr>
                  <w:tcW w:w="2940" w:type="dxa"/>
                  <w:tcBorders>
                    <w:right w:val="nil"/>
                  </w:tcBorders>
                  <w:noWrap w:val="0"/>
                  <w:vAlign w:val="center"/>
                </w:tcPr>
                <w:p w14:paraId="08D7988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60</w:t>
                  </w:r>
                </w:p>
              </w:tc>
            </w:tr>
            <w:tr w14:paraId="1773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2142" w:type="dxa"/>
                  <w:vMerge w:val="continue"/>
                  <w:tcBorders>
                    <w:left w:val="nil"/>
                  </w:tcBorders>
                  <w:noWrap w:val="0"/>
                  <w:vAlign w:val="center"/>
                </w:tcPr>
                <w:p w14:paraId="2E89E8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olor w:val="auto"/>
                      <w:sz w:val="24"/>
                      <w:szCs w:val="24"/>
                      <w:vertAlign w:val="baseline"/>
                    </w:rPr>
                  </w:pPr>
                </w:p>
              </w:tc>
              <w:tc>
                <w:tcPr>
                  <w:tcW w:w="2955" w:type="dxa"/>
                  <w:noWrap w:val="0"/>
                  <w:vAlign w:val="center"/>
                </w:tcPr>
                <w:p w14:paraId="1D17207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eastAsia"/>
                      <w:snapToGrid w:val="0"/>
                      <w:color w:val="auto"/>
                      <w:kern w:val="0"/>
                      <w:sz w:val="21"/>
                      <w:szCs w:val="21"/>
                      <w:lang w:val="en-US" w:eastAsia="zh-CN"/>
                    </w:rPr>
                    <w:t>日</w:t>
                  </w:r>
                  <w:r>
                    <w:rPr>
                      <w:rFonts w:hint="default"/>
                      <w:snapToGrid w:val="0"/>
                      <w:color w:val="auto"/>
                      <w:kern w:val="0"/>
                      <w:sz w:val="21"/>
                      <w:szCs w:val="21"/>
                    </w:rPr>
                    <w:t>平均</w:t>
                  </w:r>
                </w:p>
              </w:tc>
              <w:tc>
                <w:tcPr>
                  <w:tcW w:w="2940" w:type="dxa"/>
                  <w:tcBorders>
                    <w:right w:val="nil"/>
                  </w:tcBorders>
                  <w:noWrap w:val="0"/>
                  <w:vAlign w:val="center"/>
                </w:tcPr>
                <w:p w14:paraId="2E3C716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150</w:t>
                  </w:r>
                </w:p>
              </w:tc>
            </w:tr>
            <w:tr w14:paraId="333D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2" w:type="dxa"/>
                  <w:vMerge w:val="continue"/>
                  <w:tcBorders>
                    <w:left w:val="nil"/>
                  </w:tcBorders>
                  <w:noWrap w:val="0"/>
                  <w:vAlign w:val="center"/>
                </w:tcPr>
                <w:p w14:paraId="10B648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olor w:val="auto"/>
                      <w:sz w:val="24"/>
                      <w:szCs w:val="24"/>
                      <w:vertAlign w:val="baseline"/>
                    </w:rPr>
                  </w:pPr>
                </w:p>
              </w:tc>
              <w:tc>
                <w:tcPr>
                  <w:tcW w:w="2955" w:type="dxa"/>
                  <w:noWrap w:val="0"/>
                  <w:vAlign w:val="center"/>
                </w:tcPr>
                <w:p w14:paraId="7DD39A6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default"/>
                      <w:snapToGrid w:val="0"/>
                      <w:color w:val="auto"/>
                      <w:kern w:val="0"/>
                      <w:sz w:val="21"/>
                      <w:szCs w:val="21"/>
                    </w:rPr>
                    <w:t>1小时平均</w:t>
                  </w:r>
                </w:p>
              </w:tc>
              <w:tc>
                <w:tcPr>
                  <w:tcW w:w="2940" w:type="dxa"/>
                  <w:tcBorders>
                    <w:right w:val="nil"/>
                  </w:tcBorders>
                  <w:noWrap w:val="0"/>
                  <w:vAlign w:val="center"/>
                </w:tcPr>
                <w:p w14:paraId="627FDE6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eastAsia"/>
                      <w:snapToGrid w:val="0"/>
                      <w:color w:val="auto"/>
                      <w:kern w:val="0"/>
                      <w:sz w:val="21"/>
                      <w:szCs w:val="21"/>
                      <w:lang w:val="en-US" w:eastAsia="zh-CN"/>
                    </w:rPr>
                    <w:t>500</w:t>
                  </w:r>
                </w:p>
              </w:tc>
            </w:tr>
            <w:tr w14:paraId="5F0C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2" w:type="dxa"/>
                  <w:vMerge w:val="restart"/>
                  <w:tcBorders>
                    <w:left w:val="nil"/>
                  </w:tcBorders>
                  <w:noWrap w:val="0"/>
                  <w:vAlign w:val="center"/>
                </w:tcPr>
                <w:p w14:paraId="795D91A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PM</w:t>
                  </w:r>
                  <w:r>
                    <w:rPr>
                      <w:rFonts w:hint="default"/>
                      <w:snapToGrid w:val="0"/>
                      <w:color w:val="auto"/>
                      <w:kern w:val="0"/>
                      <w:sz w:val="21"/>
                      <w:szCs w:val="21"/>
                      <w:vertAlign w:val="subscript"/>
                    </w:rPr>
                    <w:t>10</w:t>
                  </w:r>
                </w:p>
              </w:tc>
              <w:tc>
                <w:tcPr>
                  <w:tcW w:w="2955" w:type="dxa"/>
                  <w:noWrap w:val="0"/>
                  <w:vAlign w:val="center"/>
                </w:tcPr>
                <w:p w14:paraId="6A47639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default"/>
                      <w:snapToGrid w:val="0"/>
                      <w:color w:val="auto"/>
                      <w:kern w:val="0"/>
                      <w:sz w:val="21"/>
                      <w:szCs w:val="21"/>
                    </w:rPr>
                    <w:t>年平均</w:t>
                  </w:r>
                </w:p>
              </w:tc>
              <w:tc>
                <w:tcPr>
                  <w:tcW w:w="2940" w:type="dxa"/>
                  <w:tcBorders>
                    <w:right w:val="nil"/>
                  </w:tcBorders>
                  <w:noWrap w:val="0"/>
                  <w:vAlign w:val="center"/>
                </w:tcPr>
                <w:p w14:paraId="71467C9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eastAsia="宋体"/>
                      <w:color w:val="auto"/>
                      <w:sz w:val="24"/>
                      <w:szCs w:val="24"/>
                      <w:vertAlign w:val="baseline"/>
                      <w:lang w:val="en-US" w:eastAsia="zh-CN"/>
                    </w:rPr>
                  </w:pPr>
                  <w:r>
                    <w:rPr>
                      <w:rFonts w:hint="eastAsia"/>
                      <w:snapToGrid w:val="0"/>
                      <w:color w:val="auto"/>
                      <w:kern w:val="0"/>
                      <w:sz w:val="21"/>
                      <w:szCs w:val="21"/>
                      <w:lang w:val="en-US" w:eastAsia="zh-CN"/>
                    </w:rPr>
                    <w:t>60</w:t>
                  </w:r>
                </w:p>
              </w:tc>
            </w:tr>
            <w:tr w14:paraId="72C8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2" w:type="dxa"/>
                  <w:vMerge w:val="continue"/>
                  <w:tcBorders>
                    <w:left w:val="nil"/>
                  </w:tcBorders>
                  <w:noWrap w:val="0"/>
                  <w:vAlign w:val="center"/>
                </w:tcPr>
                <w:p w14:paraId="02F667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olor w:val="auto"/>
                      <w:sz w:val="24"/>
                      <w:szCs w:val="24"/>
                      <w:vertAlign w:val="baseline"/>
                    </w:rPr>
                  </w:pPr>
                </w:p>
              </w:tc>
              <w:tc>
                <w:tcPr>
                  <w:tcW w:w="2955" w:type="dxa"/>
                  <w:noWrap w:val="0"/>
                  <w:vAlign w:val="center"/>
                </w:tcPr>
                <w:p w14:paraId="3BA25F5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eastAsia"/>
                      <w:snapToGrid w:val="0"/>
                      <w:color w:val="auto"/>
                      <w:kern w:val="0"/>
                      <w:sz w:val="21"/>
                      <w:szCs w:val="21"/>
                      <w:lang w:val="en-US" w:eastAsia="zh-CN"/>
                    </w:rPr>
                    <w:t>日</w:t>
                  </w:r>
                  <w:r>
                    <w:rPr>
                      <w:rFonts w:hint="default"/>
                      <w:snapToGrid w:val="0"/>
                      <w:color w:val="auto"/>
                      <w:kern w:val="0"/>
                      <w:sz w:val="21"/>
                      <w:szCs w:val="21"/>
                    </w:rPr>
                    <w:t>平均</w:t>
                  </w:r>
                </w:p>
              </w:tc>
              <w:tc>
                <w:tcPr>
                  <w:tcW w:w="2940" w:type="dxa"/>
                  <w:tcBorders>
                    <w:right w:val="nil"/>
                  </w:tcBorders>
                  <w:noWrap w:val="0"/>
                  <w:vAlign w:val="center"/>
                </w:tcPr>
                <w:p w14:paraId="2F5C18C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eastAsia="宋体"/>
                      <w:color w:val="auto"/>
                      <w:sz w:val="24"/>
                      <w:szCs w:val="24"/>
                      <w:vertAlign w:val="baseline"/>
                      <w:lang w:val="en-US" w:eastAsia="zh-CN"/>
                    </w:rPr>
                  </w:pPr>
                  <w:r>
                    <w:rPr>
                      <w:rFonts w:hint="eastAsia"/>
                      <w:snapToGrid w:val="0"/>
                      <w:color w:val="auto"/>
                      <w:kern w:val="0"/>
                      <w:sz w:val="21"/>
                      <w:szCs w:val="21"/>
                      <w:lang w:val="en-US" w:eastAsia="zh-CN"/>
                    </w:rPr>
                    <w:t>120</w:t>
                  </w:r>
                </w:p>
              </w:tc>
            </w:tr>
            <w:tr w14:paraId="048B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142" w:type="dxa"/>
                  <w:vMerge w:val="restart"/>
                  <w:tcBorders>
                    <w:left w:val="nil"/>
                  </w:tcBorders>
                  <w:noWrap w:val="0"/>
                  <w:vAlign w:val="center"/>
                </w:tcPr>
                <w:p w14:paraId="1A481FC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PM</w:t>
                  </w:r>
                  <w:r>
                    <w:rPr>
                      <w:rFonts w:hint="default"/>
                      <w:snapToGrid w:val="0"/>
                      <w:color w:val="auto"/>
                      <w:kern w:val="0"/>
                      <w:sz w:val="21"/>
                      <w:szCs w:val="21"/>
                      <w:vertAlign w:val="subscript"/>
                    </w:rPr>
                    <w:t>2.5</w:t>
                  </w:r>
                </w:p>
              </w:tc>
              <w:tc>
                <w:tcPr>
                  <w:tcW w:w="2955" w:type="dxa"/>
                  <w:noWrap w:val="0"/>
                  <w:vAlign w:val="center"/>
                </w:tcPr>
                <w:p w14:paraId="2413C70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default"/>
                      <w:snapToGrid w:val="0"/>
                      <w:color w:val="auto"/>
                      <w:kern w:val="0"/>
                      <w:sz w:val="21"/>
                      <w:szCs w:val="21"/>
                    </w:rPr>
                    <w:t>年平均</w:t>
                  </w:r>
                </w:p>
              </w:tc>
              <w:tc>
                <w:tcPr>
                  <w:tcW w:w="2940" w:type="dxa"/>
                  <w:tcBorders>
                    <w:right w:val="nil"/>
                  </w:tcBorders>
                  <w:noWrap w:val="0"/>
                  <w:vAlign w:val="center"/>
                </w:tcPr>
                <w:p w14:paraId="5A57A0D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eastAsia="宋体"/>
                      <w:color w:val="auto"/>
                      <w:sz w:val="24"/>
                      <w:szCs w:val="24"/>
                      <w:vertAlign w:val="baseline"/>
                      <w:lang w:val="en-US" w:eastAsia="zh-CN"/>
                    </w:rPr>
                  </w:pPr>
                  <w:r>
                    <w:rPr>
                      <w:rFonts w:hint="eastAsia"/>
                      <w:snapToGrid w:val="0"/>
                      <w:color w:val="auto"/>
                      <w:kern w:val="0"/>
                      <w:sz w:val="21"/>
                      <w:szCs w:val="21"/>
                      <w:lang w:val="en-US" w:eastAsia="zh-CN"/>
                    </w:rPr>
                    <w:t>30</w:t>
                  </w:r>
                </w:p>
              </w:tc>
            </w:tr>
            <w:tr w14:paraId="7633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42" w:type="dxa"/>
                  <w:vMerge w:val="continue"/>
                  <w:tcBorders>
                    <w:left w:val="nil"/>
                  </w:tcBorders>
                  <w:noWrap w:val="0"/>
                  <w:vAlign w:val="center"/>
                </w:tcPr>
                <w:p w14:paraId="4DFB4A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olor w:val="auto"/>
                      <w:sz w:val="24"/>
                      <w:szCs w:val="24"/>
                      <w:vertAlign w:val="baseline"/>
                    </w:rPr>
                  </w:pPr>
                </w:p>
              </w:tc>
              <w:tc>
                <w:tcPr>
                  <w:tcW w:w="2955" w:type="dxa"/>
                  <w:noWrap w:val="0"/>
                  <w:vAlign w:val="center"/>
                </w:tcPr>
                <w:p w14:paraId="70C785C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eastAsia"/>
                      <w:snapToGrid w:val="0"/>
                      <w:color w:val="auto"/>
                      <w:kern w:val="0"/>
                      <w:sz w:val="21"/>
                      <w:szCs w:val="21"/>
                      <w:lang w:val="en-US" w:eastAsia="zh-CN"/>
                    </w:rPr>
                    <w:t>日</w:t>
                  </w:r>
                  <w:r>
                    <w:rPr>
                      <w:rFonts w:hint="default"/>
                      <w:snapToGrid w:val="0"/>
                      <w:color w:val="auto"/>
                      <w:kern w:val="0"/>
                      <w:sz w:val="21"/>
                      <w:szCs w:val="21"/>
                    </w:rPr>
                    <w:t>平均</w:t>
                  </w:r>
                </w:p>
              </w:tc>
              <w:tc>
                <w:tcPr>
                  <w:tcW w:w="2940" w:type="dxa"/>
                  <w:tcBorders>
                    <w:right w:val="nil"/>
                  </w:tcBorders>
                  <w:noWrap w:val="0"/>
                  <w:vAlign w:val="center"/>
                </w:tcPr>
                <w:p w14:paraId="70C21DC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eastAsia="宋体"/>
                      <w:color w:val="auto"/>
                      <w:sz w:val="24"/>
                      <w:szCs w:val="24"/>
                      <w:vertAlign w:val="baseline"/>
                      <w:lang w:val="en-US" w:eastAsia="zh-CN"/>
                    </w:rPr>
                  </w:pPr>
                  <w:r>
                    <w:rPr>
                      <w:rFonts w:hint="eastAsia"/>
                      <w:snapToGrid w:val="0"/>
                      <w:color w:val="auto"/>
                      <w:kern w:val="0"/>
                      <w:sz w:val="21"/>
                      <w:szCs w:val="21"/>
                      <w:lang w:val="en-US" w:eastAsia="zh-CN"/>
                    </w:rPr>
                    <w:t>60</w:t>
                  </w:r>
                </w:p>
              </w:tc>
            </w:tr>
            <w:tr w14:paraId="1BE4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142" w:type="dxa"/>
                  <w:vMerge w:val="restart"/>
                  <w:tcBorders>
                    <w:left w:val="nil"/>
                  </w:tcBorders>
                  <w:noWrap w:val="0"/>
                  <w:vAlign w:val="center"/>
                </w:tcPr>
                <w:p w14:paraId="165E81E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CO</w:t>
                  </w:r>
                </w:p>
              </w:tc>
              <w:tc>
                <w:tcPr>
                  <w:tcW w:w="2955" w:type="dxa"/>
                  <w:noWrap w:val="0"/>
                  <w:vAlign w:val="center"/>
                </w:tcPr>
                <w:p w14:paraId="063A2A9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eastAsia"/>
                      <w:snapToGrid w:val="0"/>
                      <w:color w:val="auto"/>
                      <w:kern w:val="0"/>
                      <w:sz w:val="21"/>
                      <w:szCs w:val="21"/>
                      <w:lang w:val="en-US" w:eastAsia="zh-CN"/>
                    </w:rPr>
                    <w:t>日</w:t>
                  </w:r>
                  <w:r>
                    <w:rPr>
                      <w:rFonts w:hint="default"/>
                      <w:snapToGrid w:val="0"/>
                      <w:color w:val="auto"/>
                      <w:kern w:val="0"/>
                      <w:sz w:val="21"/>
                      <w:szCs w:val="21"/>
                    </w:rPr>
                    <w:t>平均</w:t>
                  </w:r>
                </w:p>
              </w:tc>
              <w:tc>
                <w:tcPr>
                  <w:tcW w:w="2940" w:type="dxa"/>
                  <w:tcBorders>
                    <w:right w:val="nil"/>
                  </w:tcBorders>
                  <w:noWrap w:val="0"/>
                  <w:vAlign w:val="center"/>
                </w:tcPr>
                <w:p w14:paraId="30ABBD0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4</w:t>
                  </w:r>
                  <w:r>
                    <w:rPr>
                      <w:rStyle w:val="33"/>
                      <w:rFonts w:hint="eastAsia"/>
                      <w:color w:val="auto"/>
                      <w:lang w:val="en-US" w:eastAsia="zh-CN"/>
                    </w:rPr>
                    <w:t>000</w:t>
                  </w:r>
                </w:p>
              </w:tc>
            </w:tr>
            <w:tr w14:paraId="7252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2142" w:type="dxa"/>
                  <w:vMerge w:val="continue"/>
                  <w:tcBorders>
                    <w:left w:val="nil"/>
                  </w:tcBorders>
                  <w:noWrap w:val="0"/>
                  <w:vAlign w:val="center"/>
                </w:tcPr>
                <w:p w14:paraId="505CDE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olor w:val="auto"/>
                      <w:sz w:val="24"/>
                      <w:szCs w:val="24"/>
                      <w:vertAlign w:val="baseline"/>
                    </w:rPr>
                  </w:pPr>
                </w:p>
              </w:tc>
              <w:tc>
                <w:tcPr>
                  <w:tcW w:w="2955" w:type="dxa"/>
                  <w:noWrap w:val="0"/>
                  <w:vAlign w:val="center"/>
                </w:tcPr>
                <w:p w14:paraId="1AABC29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default"/>
                      <w:snapToGrid w:val="0"/>
                      <w:color w:val="auto"/>
                      <w:kern w:val="0"/>
                      <w:sz w:val="21"/>
                      <w:szCs w:val="21"/>
                    </w:rPr>
                    <w:t>1小时平均</w:t>
                  </w:r>
                </w:p>
              </w:tc>
              <w:tc>
                <w:tcPr>
                  <w:tcW w:w="2940" w:type="dxa"/>
                  <w:tcBorders>
                    <w:right w:val="nil"/>
                  </w:tcBorders>
                  <w:noWrap w:val="0"/>
                  <w:vAlign w:val="center"/>
                </w:tcPr>
                <w:p w14:paraId="574837D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10</w:t>
                  </w:r>
                  <w:r>
                    <w:rPr>
                      <w:rStyle w:val="33"/>
                      <w:rFonts w:hint="eastAsia"/>
                      <w:color w:val="auto"/>
                      <w:lang w:val="en-US" w:eastAsia="zh-CN"/>
                    </w:rPr>
                    <w:t>000</w:t>
                  </w:r>
                </w:p>
              </w:tc>
            </w:tr>
            <w:tr w14:paraId="0EEE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142" w:type="dxa"/>
                  <w:vMerge w:val="restart"/>
                  <w:tcBorders>
                    <w:left w:val="nil"/>
                  </w:tcBorders>
                  <w:noWrap w:val="0"/>
                  <w:vAlign w:val="center"/>
                </w:tcPr>
                <w:p w14:paraId="68A0D5A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O</w:t>
                  </w:r>
                  <w:r>
                    <w:rPr>
                      <w:rFonts w:hint="default"/>
                      <w:snapToGrid w:val="0"/>
                      <w:color w:val="auto"/>
                      <w:kern w:val="0"/>
                      <w:sz w:val="21"/>
                      <w:szCs w:val="21"/>
                      <w:vertAlign w:val="subscript"/>
                    </w:rPr>
                    <w:t>3</w:t>
                  </w:r>
                </w:p>
              </w:tc>
              <w:tc>
                <w:tcPr>
                  <w:tcW w:w="2955" w:type="dxa"/>
                  <w:noWrap w:val="0"/>
                  <w:vAlign w:val="center"/>
                </w:tcPr>
                <w:p w14:paraId="3E2B66D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default"/>
                      <w:snapToGrid w:val="0"/>
                      <w:color w:val="auto"/>
                      <w:kern w:val="0"/>
                      <w:sz w:val="21"/>
                      <w:szCs w:val="21"/>
                    </w:rPr>
                    <w:t>日最大8小时平均</w:t>
                  </w:r>
                </w:p>
              </w:tc>
              <w:tc>
                <w:tcPr>
                  <w:tcW w:w="2940" w:type="dxa"/>
                  <w:tcBorders>
                    <w:right w:val="nil"/>
                  </w:tcBorders>
                  <w:noWrap w:val="0"/>
                  <w:vAlign w:val="center"/>
                </w:tcPr>
                <w:p w14:paraId="1A89A81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160</w:t>
                  </w:r>
                </w:p>
              </w:tc>
            </w:tr>
            <w:tr w14:paraId="4D20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2142" w:type="dxa"/>
                  <w:vMerge w:val="continue"/>
                  <w:tcBorders>
                    <w:left w:val="nil"/>
                  </w:tcBorders>
                  <w:noWrap w:val="0"/>
                  <w:vAlign w:val="center"/>
                </w:tcPr>
                <w:p w14:paraId="77A32B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olor w:val="auto"/>
                      <w:sz w:val="24"/>
                      <w:szCs w:val="24"/>
                      <w:vertAlign w:val="baseline"/>
                    </w:rPr>
                  </w:pPr>
                </w:p>
              </w:tc>
              <w:tc>
                <w:tcPr>
                  <w:tcW w:w="2955" w:type="dxa"/>
                  <w:noWrap w:val="0"/>
                  <w:vAlign w:val="center"/>
                </w:tcPr>
                <w:p w14:paraId="320EA9E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snapToGrid w:val="0"/>
                      <w:color w:val="auto"/>
                      <w:kern w:val="0"/>
                      <w:sz w:val="21"/>
                      <w:szCs w:val="21"/>
                      <w:lang w:val="en-US" w:eastAsia="zh-CN" w:bidi="ar-SA"/>
                    </w:rPr>
                  </w:pPr>
                  <w:r>
                    <w:rPr>
                      <w:rFonts w:hint="default"/>
                      <w:snapToGrid w:val="0"/>
                      <w:color w:val="auto"/>
                      <w:kern w:val="0"/>
                      <w:sz w:val="21"/>
                      <w:szCs w:val="21"/>
                    </w:rPr>
                    <w:t>1小时平均</w:t>
                  </w:r>
                </w:p>
              </w:tc>
              <w:tc>
                <w:tcPr>
                  <w:tcW w:w="2940" w:type="dxa"/>
                  <w:tcBorders>
                    <w:right w:val="nil"/>
                  </w:tcBorders>
                  <w:noWrap w:val="0"/>
                  <w:vAlign w:val="center"/>
                </w:tcPr>
                <w:p w14:paraId="4CB1E92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default"/>
                      <w:snapToGrid w:val="0"/>
                      <w:color w:val="auto"/>
                      <w:kern w:val="0"/>
                      <w:sz w:val="21"/>
                      <w:szCs w:val="21"/>
                    </w:rPr>
                    <w:t>200</w:t>
                  </w:r>
                </w:p>
              </w:tc>
            </w:tr>
            <w:tr w14:paraId="1008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142" w:type="dxa"/>
                  <w:vMerge w:val="restart"/>
                  <w:tcBorders>
                    <w:left w:val="nil"/>
                  </w:tcBorders>
                  <w:noWrap w:val="0"/>
                  <w:vAlign w:val="center"/>
                </w:tcPr>
                <w:p w14:paraId="1ADB1A3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eastAsia"/>
                      <w:color w:val="auto"/>
                      <w:sz w:val="21"/>
                      <w:szCs w:val="21"/>
                      <w:lang w:val="en-US" w:eastAsia="zh-CN"/>
                    </w:rPr>
                    <w:t>TSP</w:t>
                  </w:r>
                </w:p>
              </w:tc>
              <w:tc>
                <w:tcPr>
                  <w:tcW w:w="2955" w:type="dxa"/>
                  <w:noWrap w:val="0"/>
                  <w:vAlign w:val="center"/>
                </w:tcPr>
                <w:p w14:paraId="130F141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eastAsia="宋体"/>
                      <w:snapToGrid w:val="0"/>
                      <w:color w:val="auto"/>
                      <w:kern w:val="0"/>
                      <w:sz w:val="21"/>
                      <w:szCs w:val="21"/>
                      <w:lang w:val="en-US" w:eastAsia="zh-CN" w:bidi="ar-SA"/>
                    </w:rPr>
                  </w:pPr>
                  <w:r>
                    <w:rPr>
                      <w:rFonts w:hint="eastAsia"/>
                      <w:snapToGrid w:val="0"/>
                      <w:color w:val="auto"/>
                      <w:kern w:val="0"/>
                      <w:sz w:val="21"/>
                      <w:szCs w:val="21"/>
                      <w:lang w:val="en-US" w:eastAsia="zh-CN"/>
                    </w:rPr>
                    <w:t>日</w:t>
                  </w:r>
                  <w:r>
                    <w:rPr>
                      <w:rFonts w:hint="default"/>
                      <w:snapToGrid w:val="0"/>
                      <w:color w:val="auto"/>
                      <w:kern w:val="0"/>
                      <w:sz w:val="21"/>
                      <w:szCs w:val="21"/>
                    </w:rPr>
                    <w:t>平均</w:t>
                  </w:r>
                </w:p>
              </w:tc>
              <w:tc>
                <w:tcPr>
                  <w:tcW w:w="2940" w:type="dxa"/>
                  <w:tcBorders>
                    <w:right w:val="nil"/>
                  </w:tcBorders>
                  <w:noWrap w:val="0"/>
                  <w:vAlign w:val="center"/>
                </w:tcPr>
                <w:p w14:paraId="30FC022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eastAsia"/>
                      <w:snapToGrid w:val="0"/>
                      <w:color w:val="auto"/>
                      <w:kern w:val="0"/>
                      <w:sz w:val="21"/>
                      <w:szCs w:val="21"/>
                      <w:lang w:val="en-US" w:eastAsia="zh-CN"/>
                    </w:rPr>
                    <w:t>300</w:t>
                  </w:r>
                </w:p>
              </w:tc>
            </w:tr>
            <w:tr w14:paraId="3846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2" w:type="dxa"/>
                  <w:vMerge w:val="continue"/>
                  <w:tcBorders>
                    <w:left w:val="nil"/>
                  </w:tcBorders>
                  <w:noWrap w:val="0"/>
                  <w:vAlign w:val="center"/>
                </w:tcPr>
                <w:p w14:paraId="5F7189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olor w:val="auto"/>
                      <w:sz w:val="24"/>
                      <w:szCs w:val="24"/>
                      <w:vertAlign w:val="baseline"/>
                    </w:rPr>
                  </w:pPr>
                </w:p>
              </w:tc>
              <w:tc>
                <w:tcPr>
                  <w:tcW w:w="2955" w:type="dxa"/>
                  <w:noWrap w:val="0"/>
                  <w:vAlign w:val="center"/>
                </w:tcPr>
                <w:p w14:paraId="257712FE">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snapToGrid w:val="0"/>
                      <w:color w:val="auto"/>
                      <w:kern w:val="0"/>
                      <w:sz w:val="21"/>
                      <w:szCs w:val="21"/>
                      <w:lang w:val="en-US" w:eastAsia="zh-CN" w:bidi="ar-SA"/>
                    </w:rPr>
                  </w:pPr>
                  <w:r>
                    <w:rPr>
                      <w:rFonts w:hint="eastAsia"/>
                      <w:snapToGrid w:val="0"/>
                      <w:color w:val="auto"/>
                      <w:kern w:val="0"/>
                      <w:sz w:val="21"/>
                      <w:szCs w:val="21"/>
                      <w:lang w:val="en-US" w:eastAsia="zh-CN"/>
                    </w:rPr>
                    <w:t>年平均</w:t>
                  </w:r>
                </w:p>
              </w:tc>
              <w:tc>
                <w:tcPr>
                  <w:tcW w:w="2940" w:type="dxa"/>
                  <w:tcBorders>
                    <w:right w:val="nil"/>
                  </w:tcBorders>
                  <w:noWrap w:val="0"/>
                  <w:vAlign w:val="center"/>
                </w:tcPr>
                <w:p w14:paraId="01491DE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sz w:val="24"/>
                      <w:szCs w:val="24"/>
                      <w:vertAlign w:val="baseline"/>
                    </w:rPr>
                  </w:pPr>
                  <w:r>
                    <w:rPr>
                      <w:rFonts w:hint="eastAsia"/>
                      <w:snapToGrid w:val="0"/>
                      <w:color w:val="auto"/>
                      <w:kern w:val="0"/>
                      <w:sz w:val="21"/>
                      <w:szCs w:val="21"/>
                      <w:lang w:val="en-US" w:eastAsia="zh-CN"/>
                    </w:rPr>
                    <w:t>200</w:t>
                  </w:r>
                </w:p>
              </w:tc>
            </w:tr>
          </w:tbl>
          <w:p w14:paraId="2616D96C">
            <w:pPr>
              <w:pStyle w:val="58"/>
              <w:keepNext w:val="0"/>
              <w:keepLines w:val="0"/>
              <w:pageBreakBefore w:val="0"/>
              <w:widowControl w:val="0"/>
              <w:suppressLineNumbers w:val="0"/>
              <w:kinsoku/>
              <w:wordWrap/>
              <w:overflowPunct/>
              <w:topLinePunct w:val="0"/>
              <w:autoSpaceDE w:val="0"/>
              <w:autoSpaceDN w:val="0"/>
              <w:bidi w:val="0"/>
              <w:adjustRightInd/>
              <w:snapToGrid/>
              <w:spacing w:before="157" w:beforeLines="5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rPr>
              <w:t>（2）</w:t>
            </w:r>
            <w:r>
              <w:rPr>
                <w:rFonts w:hint="eastAsia" w:ascii="Times New Roman" w:hAnsi="Times New Roman" w:cs="Times New Roman"/>
                <w:color w:val="auto"/>
                <w:sz w:val="24"/>
                <w:szCs w:val="24"/>
                <w:lang w:val="en-US" w:eastAsia="zh-CN"/>
              </w:rPr>
              <w:t>声环境质量标准</w:t>
            </w:r>
          </w:p>
          <w:p w14:paraId="08B7B99E">
            <w:pPr>
              <w:keepNext w:val="0"/>
              <w:keepLines w:val="0"/>
              <w:suppressLineNumbers w:val="0"/>
              <w:adjustRightInd w:val="0"/>
              <w:snapToGrid w:val="0"/>
              <w:spacing w:before="0" w:beforeAutospacing="0" w:after="0" w:afterAutospacing="0" w:line="360" w:lineRule="auto"/>
              <w:ind w:left="0" w:right="0" w:firstLine="480" w:firstLineChars="200"/>
              <w:rPr>
                <w:rFonts w:hint="eastAsia"/>
                <w:color w:val="auto"/>
                <w:sz w:val="24"/>
                <w:lang w:eastAsia="zh-CN"/>
              </w:rPr>
            </w:pPr>
            <w:r>
              <w:rPr>
                <w:rFonts w:hint="eastAsia"/>
                <w:color w:val="auto"/>
                <w:sz w:val="24"/>
                <w:lang w:val="en-US" w:eastAsia="zh-CN"/>
              </w:rPr>
              <w:t>环境噪声执行</w:t>
            </w:r>
            <w:r>
              <w:rPr>
                <w:rFonts w:hint="default"/>
                <w:color w:val="auto"/>
                <w:sz w:val="24"/>
              </w:rPr>
              <w:t>《声环境质量标准》（GB3096-2008）中</w:t>
            </w:r>
            <w:r>
              <w:rPr>
                <w:rFonts w:hint="eastAsia"/>
                <w:color w:val="auto"/>
                <w:sz w:val="24"/>
                <w:lang w:val="en-US" w:eastAsia="zh-CN"/>
              </w:rPr>
              <w:t>3</w:t>
            </w:r>
            <w:r>
              <w:rPr>
                <w:rFonts w:hint="default"/>
                <w:color w:val="auto"/>
                <w:sz w:val="24"/>
              </w:rPr>
              <w:t>类标准值</w:t>
            </w:r>
            <w:r>
              <w:rPr>
                <w:rFonts w:hint="eastAsia"/>
                <w:color w:val="auto"/>
                <w:sz w:val="24"/>
                <w:lang w:eastAsia="zh-CN"/>
              </w:rPr>
              <w:t>。</w:t>
            </w:r>
          </w:p>
          <w:p w14:paraId="7027F661">
            <w:pPr>
              <w:pStyle w:val="100"/>
              <w:keepNext w:val="0"/>
              <w:keepLines w:val="0"/>
              <w:suppressLineNumbers w:val="0"/>
              <w:spacing w:before="0" w:beforeAutospacing="0" w:after="0" w:afterAutospacing="0" w:line="240" w:lineRule="auto"/>
              <w:ind w:left="0" w:right="0" w:firstLine="422"/>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kern w:val="0"/>
                <w:sz w:val="21"/>
                <w:szCs w:val="21"/>
                <w:lang w:val="en-US" w:eastAsia="zh-CN"/>
              </w:rPr>
              <w:t>表3-</w:t>
            </w:r>
            <w:r>
              <w:rPr>
                <w:rFonts w:hint="eastAsia" w:ascii="Times New Roman" w:cs="Times New Roman"/>
                <w:b/>
                <w:bCs/>
                <w:color w:val="auto"/>
                <w:kern w:val="0"/>
                <w:sz w:val="21"/>
                <w:szCs w:val="21"/>
                <w:lang w:val="en-US" w:eastAsia="zh-CN"/>
              </w:rPr>
              <w:t>8</w:t>
            </w:r>
            <w:r>
              <w:rPr>
                <w:rFonts w:hint="default" w:ascii="Times New Roman" w:hAnsi="Times New Roman" w:cs="Times New Roman"/>
                <w:b/>
                <w:bCs/>
                <w:color w:val="auto"/>
                <w:kern w:val="0"/>
                <w:sz w:val="21"/>
                <w:szCs w:val="21"/>
                <w:lang w:val="en-US" w:eastAsia="zh-CN"/>
              </w:rPr>
              <w:t xml:space="preserve"> </w:t>
            </w:r>
            <w:r>
              <w:rPr>
                <w:rFonts w:hint="default" w:ascii="Times New Roman" w:hAnsi="Times New Roman" w:cs="Times New Roman"/>
                <w:b/>
                <w:bCs/>
                <w:color w:val="auto"/>
                <w:kern w:val="2"/>
                <w:sz w:val="21"/>
                <w:szCs w:val="21"/>
              </w:rPr>
              <w:t xml:space="preserve"> </w:t>
            </w:r>
            <w:r>
              <w:rPr>
                <w:rFonts w:hint="default" w:ascii="Times New Roman" w:hAnsi="Times New Roman" w:cs="Times New Roman"/>
                <w:b/>
                <w:bCs/>
                <w:color w:val="auto"/>
                <w:kern w:val="2"/>
                <w:sz w:val="21"/>
                <w:szCs w:val="21"/>
                <w:lang w:val="en-US" w:eastAsia="zh-CN"/>
              </w:rPr>
              <w:t>声</w:t>
            </w:r>
            <w:r>
              <w:rPr>
                <w:rFonts w:hint="default" w:ascii="Times New Roman" w:hAnsi="Times New Roman" w:cs="Times New Roman"/>
                <w:b/>
                <w:bCs/>
                <w:color w:val="auto"/>
                <w:kern w:val="2"/>
                <w:sz w:val="21"/>
                <w:szCs w:val="21"/>
              </w:rPr>
              <w:t>环境质量标准</w:t>
            </w:r>
          </w:p>
          <w:tbl>
            <w:tblPr>
              <w:tblStyle w:val="2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79"/>
              <w:gridCol w:w="2679"/>
              <w:gridCol w:w="2679"/>
            </w:tblGrid>
            <w:tr w14:paraId="6FFD78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679" w:type="dxa"/>
                  <w:tcBorders>
                    <w:tl2br w:val="nil"/>
                    <w:tr2bl w:val="nil"/>
                  </w:tcBorders>
                  <w:noWrap w:val="0"/>
                  <w:vAlign w:val="center"/>
                </w:tcPr>
                <w:p w14:paraId="54A0C40A">
                  <w:pPr>
                    <w:keepNext w:val="0"/>
                    <w:keepLines w:val="0"/>
                    <w:suppressLineNumbers w:val="0"/>
                    <w:adjustRightInd w:val="0"/>
                    <w:snapToGrid w:val="0"/>
                    <w:spacing w:before="0" w:beforeAutospacing="0" w:after="0" w:afterAutospacing="0" w:line="240" w:lineRule="auto"/>
                    <w:ind w:left="0" w:right="0" w:firstLine="420" w:firstLineChars="0"/>
                    <w:jc w:val="center"/>
                    <w:rPr>
                      <w:rFonts w:hint="eastAsia"/>
                      <w:color w:val="auto"/>
                      <w:sz w:val="24"/>
                      <w:vertAlign w:val="baseline"/>
                      <w:lang w:eastAsia="zh-CN"/>
                    </w:rPr>
                  </w:pPr>
                  <w:r>
                    <w:rPr>
                      <w:rFonts w:hint="default"/>
                      <w:color w:val="auto"/>
                      <w:sz w:val="21"/>
                      <w:szCs w:val="21"/>
                    </w:rPr>
                    <w:t>类别</w:t>
                  </w:r>
                </w:p>
              </w:tc>
              <w:tc>
                <w:tcPr>
                  <w:tcW w:w="2679" w:type="dxa"/>
                  <w:tcBorders>
                    <w:tl2br w:val="nil"/>
                    <w:tr2bl w:val="nil"/>
                  </w:tcBorders>
                  <w:noWrap w:val="0"/>
                  <w:vAlign w:val="center"/>
                </w:tcPr>
                <w:p w14:paraId="36A6910D">
                  <w:pPr>
                    <w:keepNext w:val="0"/>
                    <w:keepLines w:val="0"/>
                    <w:suppressLineNumbers w:val="0"/>
                    <w:adjustRightInd w:val="0"/>
                    <w:snapToGrid w:val="0"/>
                    <w:spacing w:before="0" w:beforeAutospacing="0" w:after="0" w:afterAutospacing="0" w:line="240" w:lineRule="auto"/>
                    <w:ind w:left="0" w:right="0" w:firstLine="420" w:firstLineChars="0"/>
                    <w:jc w:val="center"/>
                    <w:rPr>
                      <w:rFonts w:hint="eastAsia"/>
                      <w:color w:val="auto"/>
                      <w:sz w:val="24"/>
                      <w:vertAlign w:val="baseline"/>
                      <w:lang w:eastAsia="zh-CN"/>
                    </w:rPr>
                  </w:pPr>
                  <w:r>
                    <w:rPr>
                      <w:rFonts w:hint="default"/>
                      <w:color w:val="auto"/>
                      <w:sz w:val="21"/>
                      <w:szCs w:val="21"/>
                    </w:rPr>
                    <w:t>昼间</w:t>
                  </w:r>
                </w:p>
              </w:tc>
              <w:tc>
                <w:tcPr>
                  <w:tcW w:w="2679" w:type="dxa"/>
                  <w:tcBorders>
                    <w:tl2br w:val="nil"/>
                    <w:tr2bl w:val="nil"/>
                  </w:tcBorders>
                  <w:noWrap w:val="0"/>
                  <w:vAlign w:val="center"/>
                </w:tcPr>
                <w:p w14:paraId="424990BC">
                  <w:pPr>
                    <w:keepNext w:val="0"/>
                    <w:keepLines w:val="0"/>
                    <w:suppressLineNumbers w:val="0"/>
                    <w:adjustRightInd w:val="0"/>
                    <w:snapToGrid w:val="0"/>
                    <w:spacing w:before="0" w:beforeAutospacing="0" w:after="0" w:afterAutospacing="0" w:line="240" w:lineRule="auto"/>
                    <w:ind w:left="0" w:right="0" w:firstLine="420" w:firstLineChars="0"/>
                    <w:jc w:val="center"/>
                    <w:rPr>
                      <w:rFonts w:hint="eastAsia"/>
                      <w:color w:val="auto"/>
                      <w:sz w:val="24"/>
                      <w:vertAlign w:val="baseline"/>
                      <w:lang w:eastAsia="zh-CN"/>
                    </w:rPr>
                  </w:pPr>
                  <w:r>
                    <w:rPr>
                      <w:rFonts w:hint="default"/>
                      <w:color w:val="auto"/>
                      <w:sz w:val="21"/>
                      <w:szCs w:val="21"/>
                    </w:rPr>
                    <w:t>夜间</w:t>
                  </w:r>
                </w:p>
              </w:tc>
            </w:tr>
            <w:tr w14:paraId="4A9A89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79" w:type="dxa"/>
                  <w:tcBorders>
                    <w:tl2br w:val="nil"/>
                    <w:tr2bl w:val="nil"/>
                  </w:tcBorders>
                  <w:noWrap w:val="0"/>
                  <w:vAlign w:val="center"/>
                </w:tcPr>
                <w:p w14:paraId="43C32598">
                  <w:pPr>
                    <w:keepNext w:val="0"/>
                    <w:keepLines w:val="0"/>
                    <w:suppressLineNumbers w:val="0"/>
                    <w:autoSpaceDE w:val="0"/>
                    <w:autoSpaceDN w:val="0"/>
                    <w:adjustRightInd w:val="0"/>
                    <w:snapToGrid w:val="0"/>
                    <w:spacing w:before="0" w:beforeAutospacing="0" w:after="0" w:afterAutospacing="0" w:line="240" w:lineRule="auto"/>
                    <w:ind w:left="0" w:right="0" w:firstLine="420" w:firstLineChars="0"/>
                    <w:jc w:val="center"/>
                    <w:textAlignment w:val="baseline"/>
                    <w:rPr>
                      <w:rFonts w:hint="eastAsia"/>
                      <w:color w:val="auto"/>
                      <w:sz w:val="24"/>
                      <w:vertAlign w:val="baseline"/>
                      <w:lang w:eastAsia="zh-CN"/>
                    </w:rPr>
                  </w:pPr>
                  <w:r>
                    <w:rPr>
                      <w:rFonts w:hint="eastAsia"/>
                      <w:color w:val="auto"/>
                      <w:sz w:val="21"/>
                      <w:szCs w:val="21"/>
                      <w:lang w:val="en-US" w:eastAsia="zh-CN"/>
                    </w:rPr>
                    <w:t>3</w:t>
                  </w:r>
                  <w:r>
                    <w:rPr>
                      <w:rFonts w:hint="default"/>
                      <w:color w:val="auto"/>
                      <w:sz w:val="21"/>
                      <w:szCs w:val="21"/>
                    </w:rPr>
                    <w:t>类功能区</w:t>
                  </w:r>
                </w:p>
              </w:tc>
              <w:tc>
                <w:tcPr>
                  <w:tcW w:w="2679" w:type="dxa"/>
                  <w:tcBorders>
                    <w:tl2br w:val="nil"/>
                    <w:tr2bl w:val="nil"/>
                  </w:tcBorders>
                  <w:noWrap w:val="0"/>
                  <w:vAlign w:val="center"/>
                </w:tcPr>
                <w:p w14:paraId="789CAD9E">
                  <w:pPr>
                    <w:keepNext w:val="0"/>
                    <w:keepLines w:val="0"/>
                    <w:suppressLineNumbers w:val="0"/>
                    <w:autoSpaceDE w:val="0"/>
                    <w:autoSpaceDN w:val="0"/>
                    <w:adjustRightInd w:val="0"/>
                    <w:snapToGrid w:val="0"/>
                    <w:spacing w:before="0" w:beforeAutospacing="0" w:after="0" w:afterAutospacing="0" w:line="240" w:lineRule="auto"/>
                    <w:ind w:left="0" w:right="0" w:firstLine="420" w:firstLineChars="0"/>
                    <w:jc w:val="center"/>
                    <w:textAlignment w:val="baseline"/>
                    <w:rPr>
                      <w:rFonts w:hint="eastAsia"/>
                      <w:color w:val="auto"/>
                      <w:sz w:val="24"/>
                      <w:vertAlign w:val="baseline"/>
                      <w:lang w:eastAsia="zh-CN"/>
                    </w:rPr>
                  </w:pPr>
                  <w:r>
                    <w:rPr>
                      <w:rFonts w:hint="default"/>
                      <w:color w:val="auto"/>
                      <w:kern w:val="0"/>
                      <w:sz w:val="21"/>
                      <w:szCs w:val="21"/>
                    </w:rPr>
                    <w:t>6</w:t>
                  </w:r>
                  <w:r>
                    <w:rPr>
                      <w:rFonts w:hint="eastAsia"/>
                      <w:color w:val="auto"/>
                      <w:kern w:val="0"/>
                      <w:sz w:val="21"/>
                      <w:szCs w:val="21"/>
                      <w:lang w:val="en-US" w:eastAsia="zh-CN"/>
                    </w:rPr>
                    <w:t>5</w:t>
                  </w:r>
                  <w:r>
                    <w:rPr>
                      <w:rFonts w:hint="default"/>
                      <w:color w:val="auto"/>
                      <w:kern w:val="0"/>
                      <w:sz w:val="21"/>
                      <w:szCs w:val="21"/>
                    </w:rPr>
                    <w:t>dB(A)</w:t>
                  </w:r>
                </w:p>
              </w:tc>
              <w:tc>
                <w:tcPr>
                  <w:tcW w:w="2679" w:type="dxa"/>
                  <w:tcBorders>
                    <w:tl2br w:val="nil"/>
                    <w:tr2bl w:val="nil"/>
                  </w:tcBorders>
                  <w:noWrap w:val="0"/>
                  <w:vAlign w:val="center"/>
                </w:tcPr>
                <w:p w14:paraId="4789487F">
                  <w:pPr>
                    <w:keepNext w:val="0"/>
                    <w:keepLines w:val="0"/>
                    <w:widowControl/>
                    <w:suppressLineNumbers w:val="0"/>
                    <w:autoSpaceDE w:val="0"/>
                    <w:autoSpaceDN w:val="0"/>
                    <w:adjustRightInd w:val="0"/>
                    <w:snapToGrid w:val="0"/>
                    <w:spacing w:before="0" w:beforeAutospacing="0" w:after="0" w:afterAutospacing="0" w:line="240" w:lineRule="auto"/>
                    <w:ind w:left="0" w:right="0" w:firstLine="420" w:firstLineChars="0"/>
                    <w:jc w:val="center"/>
                    <w:textAlignment w:val="baseline"/>
                    <w:rPr>
                      <w:rFonts w:hint="eastAsia"/>
                      <w:color w:val="auto"/>
                      <w:sz w:val="24"/>
                      <w:vertAlign w:val="baseline"/>
                      <w:lang w:eastAsia="zh-CN"/>
                    </w:rPr>
                  </w:pPr>
                  <w:r>
                    <w:rPr>
                      <w:rFonts w:hint="default"/>
                      <w:color w:val="auto"/>
                      <w:kern w:val="0"/>
                      <w:sz w:val="21"/>
                      <w:szCs w:val="21"/>
                    </w:rPr>
                    <w:t>5</w:t>
                  </w:r>
                  <w:r>
                    <w:rPr>
                      <w:rFonts w:hint="eastAsia"/>
                      <w:color w:val="auto"/>
                      <w:kern w:val="0"/>
                      <w:sz w:val="21"/>
                      <w:szCs w:val="21"/>
                      <w:lang w:val="en-US" w:eastAsia="zh-CN"/>
                    </w:rPr>
                    <w:t>5</w:t>
                  </w:r>
                  <w:r>
                    <w:rPr>
                      <w:rFonts w:hint="default"/>
                      <w:color w:val="auto"/>
                      <w:kern w:val="0"/>
                      <w:sz w:val="21"/>
                      <w:szCs w:val="21"/>
                    </w:rPr>
                    <w:t>dB(A)</w:t>
                  </w:r>
                </w:p>
              </w:tc>
            </w:tr>
          </w:tbl>
          <w:p w14:paraId="21C1D874">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line="360" w:lineRule="auto"/>
              <w:ind w:left="0" w:right="0" w:firstLine="482" w:firstLineChars="200"/>
              <w:textAlignment w:val="auto"/>
              <w:rPr>
                <w:rFonts w:hint="eastAsia" w:ascii="Times New Roman" w:hAnsi="Times New Roman" w:cs="Times New Roman"/>
                <w:b/>
                <w:bCs/>
                <w:color w:val="auto"/>
                <w:sz w:val="24"/>
                <w:szCs w:val="24"/>
              </w:rPr>
            </w:pPr>
            <w:r>
              <w:rPr>
                <w:rFonts w:hint="eastAsia" w:cs="Times New Roman"/>
                <w:b/>
                <w:bCs/>
                <w:color w:val="auto"/>
                <w:sz w:val="24"/>
                <w:szCs w:val="24"/>
                <w:lang w:val="en-US" w:eastAsia="zh-CN"/>
              </w:rPr>
              <w:t>2、</w:t>
            </w:r>
            <w:r>
              <w:rPr>
                <w:rFonts w:hint="eastAsia" w:ascii="Times New Roman" w:hAnsi="Times New Roman" w:cs="Times New Roman"/>
                <w:b/>
                <w:bCs/>
                <w:color w:val="auto"/>
                <w:sz w:val="24"/>
                <w:szCs w:val="24"/>
              </w:rPr>
              <w:t>污染物排放标准</w:t>
            </w:r>
          </w:p>
          <w:p w14:paraId="704350E8">
            <w:pPr>
              <w:keepNext w:val="0"/>
              <w:keepLines w:val="0"/>
              <w:widowControl/>
              <w:suppressLineNumbers w:val="0"/>
              <w:autoSpaceDE w:val="0"/>
              <w:autoSpaceDN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rPr>
              <w:t>（1）</w:t>
            </w:r>
            <w:r>
              <w:rPr>
                <w:rFonts w:hint="eastAsia" w:cs="Times New Roman"/>
                <w:color w:val="auto"/>
                <w:kern w:val="0"/>
                <w:sz w:val="24"/>
                <w:szCs w:val="24"/>
                <w:lang w:val="en-US" w:eastAsia="zh-CN"/>
              </w:rPr>
              <w:t>废气</w:t>
            </w:r>
          </w:p>
          <w:p w14:paraId="5566524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b/>
                <w:bCs/>
                <w:color w:val="auto"/>
                <w:kern w:val="0"/>
                <w:sz w:val="24"/>
                <w:szCs w:val="24"/>
                <w:lang w:val="en-US" w:eastAsia="zh-CN"/>
              </w:rPr>
            </w:pPr>
            <w:r>
              <w:rPr>
                <w:rFonts w:hint="eastAsia" w:cs="Times New Roman"/>
                <w:color w:val="auto"/>
                <w:sz w:val="24"/>
                <w:szCs w:val="24"/>
                <w:lang w:val="en-US" w:eastAsia="zh-CN"/>
              </w:rPr>
              <w:t>施工期厂界</w:t>
            </w:r>
            <w:r>
              <w:rPr>
                <w:rFonts w:hint="eastAsia" w:ascii="Times New Roman" w:hAnsi="Times New Roman" w:cs="Times New Roman"/>
                <w:color w:val="auto"/>
                <w:sz w:val="24"/>
                <w:szCs w:val="24"/>
                <w:lang w:val="en-US" w:eastAsia="zh-CN"/>
              </w:rPr>
              <w:t>无组织颗粒物排放</w:t>
            </w:r>
            <w:r>
              <w:rPr>
                <w:rFonts w:hint="default" w:ascii="Times New Roman" w:hAnsi="Times New Roman" w:cs="Times New Roman"/>
                <w:color w:val="auto"/>
                <w:sz w:val="24"/>
                <w:szCs w:val="24"/>
                <w:lang w:val="en-US" w:eastAsia="zh-CN"/>
              </w:rPr>
              <w:t>执行</w:t>
            </w:r>
            <w:r>
              <w:rPr>
                <w:rFonts w:hint="default" w:ascii="Times New Roman" w:hAnsi="Times New Roman" w:eastAsia="宋体"/>
                <w:caps w:val="0"/>
                <w:color w:val="auto"/>
                <w:sz w:val="24"/>
                <w:szCs w:val="24"/>
                <w:highlight w:val="none"/>
              </w:rPr>
              <w:t>《大气污染物</w:t>
            </w:r>
            <w:r>
              <w:rPr>
                <w:rFonts w:hint="eastAsia" w:ascii="Times New Roman" w:hAnsi="Times New Roman" w:eastAsia="宋体"/>
                <w:caps w:val="0"/>
                <w:color w:val="auto"/>
                <w:sz w:val="24"/>
                <w:szCs w:val="24"/>
                <w:highlight w:val="none"/>
              </w:rPr>
              <w:t>综合</w:t>
            </w:r>
            <w:r>
              <w:rPr>
                <w:rFonts w:hint="default" w:ascii="Times New Roman" w:hAnsi="Times New Roman" w:eastAsia="宋体"/>
                <w:caps w:val="0"/>
                <w:color w:val="auto"/>
                <w:sz w:val="24"/>
                <w:szCs w:val="24"/>
                <w:highlight w:val="none"/>
              </w:rPr>
              <w:t>排放标准》</w:t>
            </w:r>
            <w:r>
              <w:rPr>
                <w:rFonts w:hint="eastAsia" w:ascii="Times New Roman" w:hAnsi="Times New Roman" w:eastAsia="宋体"/>
                <w:caps w:val="0"/>
                <w:color w:val="auto"/>
                <w:sz w:val="24"/>
                <w:szCs w:val="24"/>
                <w:highlight w:val="none"/>
              </w:rPr>
              <w:t>（GB16297-1996）表2中新污染源无组织排放监控浓度</w:t>
            </w:r>
            <w:r>
              <w:rPr>
                <w:rFonts w:hint="default" w:ascii="Times New Roman" w:hAnsi="Times New Roman" w:eastAsia="宋体"/>
                <w:caps w:val="0"/>
                <w:color w:val="auto"/>
                <w:sz w:val="24"/>
                <w:szCs w:val="24"/>
                <w:highlight w:val="none"/>
              </w:rPr>
              <w:t>限值要求</w:t>
            </w:r>
            <w:r>
              <w:rPr>
                <w:rFonts w:hint="default" w:ascii="Times New Roman" w:hAnsi="Times New Roman" w:eastAsia="宋体" w:cs="Times New Roman"/>
                <w:color w:val="auto"/>
                <w:kern w:val="2"/>
                <w:sz w:val="24"/>
                <w:szCs w:val="24"/>
                <w:lang w:eastAsia="zh-CN"/>
              </w:rPr>
              <w:t>。</w:t>
            </w:r>
          </w:p>
          <w:p w14:paraId="6DA8760B">
            <w:pPr>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
                <w:caps w:val="0"/>
                <w:color w:val="auto"/>
                <w:highlight w:val="none"/>
                <w:lang w:val="en-US" w:eastAsia="zh-CN"/>
              </w:rPr>
            </w:pPr>
            <w:r>
              <w:rPr>
                <w:rFonts w:hint="eastAsia" w:ascii="Times New Roman" w:hAnsi="Times New Roman" w:eastAsia="宋体"/>
                <w:b/>
                <w:caps w:val="0"/>
                <w:color w:val="auto"/>
                <w:highlight w:val="none"/>
              </w:rPr>
              <w:t>表3-</w:t>
            </w:r>
            <w:r>
              <w:rPr>
                <w:rFonts w:hint="eastAsia"/>
                <w:b/>
                <w:caps w:val="0"/>
                <w:color w:val="auto"/>
                <w:highlight w:val="none"/>
                <w:lang w:val="en-US" w:eastAsia="zh-CN"/>
              </w:rPr>
              <w:t>9</w:t>
            </w:r>
            <w:r>
              <w:rPr>
                <w:rFonts w:hint="eastAsia" w:ascii="Times New Roman" w:hAnsi="Times New Roman" w:eastAsia="宋体"/>
                <w:b/>
                <w:caps w:val="0"/>
                <w:color w:val="auto"/>
                <w:highlight w:val="none"/>
              </w:rPr>
              <w:t xml:space="preserve">    </w:t>
            </w:r>
            <w:r>
              <w:rPr>
                <w:rFonts w:hint="eastAsia" w:ascii="Times New Roman" w:hAnsi="Times New Roman" w:eastAsia="宋体"/>
                <w:b/>
                <w:caps w:val="0"/>
                <w:color w:val="auto"/>
                <w:highlight w:val="none"/>
                <w:lang w:val="en-US" w:eastAsia="zh-CN"/>
              </w:rPr>
              <w:t>无组织排放限值</w:t>
            </w:r>
          </w:p>
          <w:tbl>
            <w:tblPr>
              <w:tblStyle w:val="26"/>
              <w:tblW w:w="49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12"/>
              <w:gridCol w:w="2896"/>
              <w:gridCol w:w="3484"/>
            </w:tblGrid>
            <w:tr w14:paraId="0543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 w:hRule="atLeast"/>
                <w:jc w:val="center"/>
              </w:trPr>
              <w:tc>
                <w:tcPr>
                  <w:tcW w:w="906" w:type="pct"/>
                  <w:noWrap w:val="0"/>
                  <w:vAlign w:val="center"/>
                </w:tcPr>
                <w:p w14:paraId="0DE0BC99">
                  <w:pPr>
                    <w:pStyle w:val="107"/>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Cs/>
                      <w:caps w:val="0"/>
                      <w:color w:val="auto"/>
                      <w:highlight w:val="none"/>
                    </w:rPr>
                  </w:pPr>
                  <w:r>
                    <w:rPr>
                      <w:rFonts w:hint="default" w:ascii="Times New Roman" w:hAnsi="Times New Roman" w:eastAsia="宋体"/>
                      <w:caps w:val="0"/>
                      <w:color w:val="auto"/>
                      <w:highlight w:val="none"/>
                    </w:rPr>
                    <w:t>污染物</w:t>
                  </w:r>
                </w:p>
              </w:tc>
              <w:tc>
                <w:tcPr>
                  <w:tcW w:w="1858" w:type="pct"/>
                  <w:noWrap w:val="0"/>
                  <w:vAlign w:val="center"/>
                </w:tcPr>
                <w:p w14:paraId="50ABAF62">
                  <w:pPr>
                    <w:pStyle w:val="107"/>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caps w:val="0"/>
                      <w:color w:val="auto"/>
                      <w:highlight w:val="none"/>
                    </w:rPr>
                  </w:pPr>
                  <w:r>
                    <w:rPr>
                      <w:rFonts w:hint="default" w:ascii="Times New Roman" w:hAnsi="Times New Roman" w:eastAsia="宋体"/>
                      <w:caps w:val="0"/>
                      <w:color w:val="auto"/>
                      <w:highlight w:val="none"/>
                    </w:rPr>
                    <w:t>监控点</w:t>
                  </w:r>
                </w:p>
              </w:tc>
              <w:tc>
                <w:tcPr>
                  <w:tcW w:w="2235" w:type="pct"/>
                  <w:tcBorders>
                    <w:right w:val="nil"/>
                  </w:tcBorders>
                  <w:noWrap w:val="0"/>
                  <w:vAlign w:val="center"/>
                </w:tcPr>
                <w:p w14:paraId="47FE7F13">
                  <w:pPr>
                    <w:pStyle w:val="107"/>
                    <w:keepNext w:val="0"/>
                    <w:keepLines w:val="0"/>
                    <w:pageBreakBefore w:val="0"/>
                    <w:suppressLineNumbers w:val="0"/>
                    <w:kinsoku/>
                    <w:wordWrap/>
                    <w:bidi w:val="0"/>
                    <w:adjustRightInd/>
                    <w:snapToGrid/>
                    <w:spacing w:before="0" w:beforeAutospacing="0" w:after="0" w:afterAutospacing="0"/>
                    <w:ind w:left="0" w:right="0"/>
                    <w:jc w:val="center"/>
                    <w:rPr>
                      <w:rFonts w:hint="eastAsia" w:ascii="Times New Roman" w:hAnsi="Times New Roman" w:eastAsia="宋体"/>
                      <w:caps w:val="0"/>
                      <w:color w:val="auto"/>
                      <w:highlight w:val="none"/>
                      <w:lang w:eastAsia="zh-CN"/>
                    </w:rPr>
                  </w:pPr>
                  <w:r>
                    <w:rPr>
                      <w:rFonts w:hint="eastAsia" w:ascii="Times New Roman" w:hAnsi="Times New Roman"/>
                      <w:caps w:val="0"/>
                      <w:color w:val="auto"/>
                      <w:highlight w:val="none"/>
                      <w:lang w:val="en-US" w:eastAsia="zh-CN"/>
                    </w:rPr>
                    <w:t>无组织排放限值</w:t>
                  </w:r>
                  <w:r>
                    <w:rPr>
                      <w:rFonts w:hint="eastAsia" w:ascii="Times New Roman" w:hAnsi="Times New Roman" w:eastAsia="宋体"/>
                      <w:caps w:val="0"/>
                      <w:color w:val="auto"/>
                      <w:highlight w:val="none"/>
                      <w:lang w:eastAsia="zh-CN"/>
                    </w:rPr>
                    <w:t>（</w:t>
                  </w:r>
                  <w:r>
                    <w:rPr>
                      <w:rFonts w:hint="default" w:ascii="Times New Roman" w:hAnsi="Times New Roman" w:eastAsia="宋体"/>
                      <w:caps w:val="0"/>
                      <w:color w:val="auto"/>
                      <w:highlight w:val="none"/>
                    </w:rPr>
                    <w:t>mg/m</w:t>
                  </w:r>
                  <w:r>
                    <w:rPr>
                      <w:rFonts w:hint="default" w:ascii="Times New Roman" w:hAnsi="Times New Roman" w:eastAsia="宋体"/>
                      <w:caps w:val="0"/>
                      <w:color w:val="auto"/>
                      <w:highlight w:val="none"/>
                      <w:vertAlign w:val="superscript"/>
                    </w:rPr>
                    <w:t>3</w:t>
                  </w:r>
                  <w:r>
                    <w:rPr>
                      <w:rFonts w:hint="eastAsia" w:ascii="Times New Roman" w:hAnsi="Times New Roman" w:eastAsia="宋体"/>
                      <w:caps w:val="0"/>
                      <w:color w:val="auto"/>
                      <w:highlight w:val="none"/>
                      <w:lang w:eastAsia="zh-CN"/>
                    </w:rPr>
                    <w:t>）</w:t>
                  </w:r>
                </w:p>
              </w:tc>
            </w:tr>
            <w:tr w14:paraId="22A4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 w:hRule="atLeast"/>
                <w:jc w:val="center"/>
              </w:trPr>
              <w:tc>
                <w:tcPr>
                  <w:tcW w:w="906" w:type="pct"/>
                  <w:tcBorders>
                    <w:left w:val="nil"/>
                  </w:tcBorders>
                  <w:noWrap w:val="0"/>
                  <w:vAlign w:val="center"/>
                </w:tcPr>
                <w:p w14:paraId="18200928">
                  <w:pPr>
                    <w:pStyle w:val="107"/>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Cs/>
                      <w:caps w:val="0"/>
                      <w:color w:val="auto"/>
                      <w:highlight w:val="none"/>
                    </w:rPr>
                  </w:pPr>
                  <w:r>
                    <w:rPr>
                      <w:rFonts w:hint="default" w:ascii="Times New Roman" w:hAnsi="Times New Roman" w:eastAsia="宋体"/>
                      <w:bCs/>
                      <w:caps w:val="0"/>
                      <w:color w:val="auto"/>
                      <w:highlight w:val="none"/>
                    </w:rPr>
                    <w:t>颗粒物</w:t>
                  </w:r>
                </w:p>
              </w:tc>
              <w:tc>
                <w:tcPr>
                  <w:tcW w:w="1858" w:type="pct"/>
                  <w:noWrap w:val="0"/>
                  <w:vAlign w:val="center"/>
                </w:tcPr>
                <w:p w14:paraId="2F57107A">
                  <w:pPr>
                    <w:pStyle w:val="107"/>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Cs/>
                      <w:caps w:val="0"/>
                      <w:color w:val="auto"/>
                      <w:highlight w:val="none"/>
                    </w:rPr>
                  </w:pPr>
                  <w:r>
                    <w:rPr>
                      <w:rFonts w:hint="default" w:ascii="Times New Roman" w:hAnsi="Times New Roman" w:eastAsia="宋体"/>
                      <w:bCs/>
                      <w:caps w:val="0"/>
                      <w:color w:val="auto"/>
                      <w:highlight w:val="none"/>
                    </w:rPr>
                    <w:t>周界外浓度最高点</w:t>
                  </w:r>
                </w:p>
              </w:tc>
              <w:tc>
                <w:tcPr>
                  <w:tcW w:w="2235" w:type="pct"/>
                  <w:tcBorders>
                    <w:right w:val="nil"/>
                  </w:tcBorders>
                  <w:noWrap w:val="0"/>
                  <w:vAlign w:val="center"/>
                </w:tcPr>
                <w:p w14:paraId="1C7F26BA">
                  <w:pPr>
                    <w:pStyle w:val="107"/>
                    <w:keepNext w:val="0"/>
                    <w:keepLines w:val="0"/>
                    <w:pageBreakBefore w:val="0"/>
                    <w:suppressLineNumbers w:val="0"/>
                    <w:kinsoku/>
                    <w:wordWrap/>
                    <w:bidi w:val="0"/>
                    <w:adjustRightInd/>
                    <w:snapToGrid/>
                    <w:spacing w:before="0" w:beforeAutospacing="0" w:after="0" w:afterAutospacing="0"/>
                    <w:ind w:left="0" w:right="0"/>
                    <w:jc w:val="center"/>
                    <w:rPr>
                      <w:rFonts w:hint="default" w:ascii="Times New Roman" w:hAnsi="Times New Roman" w:eastAsia="宋体"/>
                      <w:bCs/>
                      <w:caps w:val="0"/>
                      <w:color w:val="auto"/>
                      <w:highlight w:val="none"/>
                    </w:rPr>
                  </w:pPr>
                  <w:r>
                    <w:rPr>
                      <w:rFonts w:hint="eastAsia" w:ascii="Times New Roman" w:hAnsi="Times New Roman" w:eastAsia="宋体"/>
                      <w:bCs/>
                      <w:caps w:val="0"/>
                      <w:color w:val="auto"/>
                      <w:highlight w:val="none"/>
                    </w:rPr>
                    <w:t>1.0</w:t>
                  </w:r>
                </w:p>
              </w:tc>
            </w:tr>
          </w:tbl>
          <w:p w14:paraId="3D8560E8">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textAlignment w:val="baseline"/>
              <w:rPr>
                <w:rFonts w:hint="default" w:ascii="Times New Roman" w:hAnsi="Times New Roman" w:eastAsia="宋体"/>
                <w:bCs/>
                <w:caps w:val="0"/>
                <w:color w:val="auto"/>
                <w:sz w:val="24"/>
                <w:szCs w:val="24"/>
                <w:highlight w:val="none"/>
                <w:lang w:val="en-US" w:eastAsia="zh-CN"/>
              </w:rPr>
            </w:pPr>
            <w:r>
              <w:rPr>
                <w:rFonts w:hint="eastAsia" w:ascii="Times New Roman" w:hAnsi="Times New Roman" w:eastAsia="宋体"/>
                <w:bCs/>
                <w:caps w:val="0"/>
                <w:color w:val="auto"/>
                <w:sz w:val="24"/>
                <w:szCs w:val="24"/>
                <w:highlight w:val="none"/>
                <w:lang w:val="en-US" w:eastAsia="zh-CN"/>
              </w:rPr>
              <w:t>（2）废水</w:t>
            </w:r>
          </w:p>
          <w:p w14:paraId="712D30E9">
            <w:pPr>
              <w:keepNext w:val="0"/>
              <w:keepLines w:val="0"/>
              <w:pageBreakBefore w:val="0"/>
              <w:suppressLineNumbers w:val="0"/>
              <w:kinsoku/>
              <w:wordWrap/>
              <w:bidi w:val="0"/>
              <w:adjustRightInd/>
              <w:snapToGrid/>
              <w:spacing w:before="0" w:beforeAutospacing="0" w:after="0" w:afterAutospacing="0" w:line="360" w:lineRule="auto"/>
              <w:ind w:left="0" w:right="0" w:firstLine="480" w:firstLineChars="200"/>
              <w:textAlignment w:val="baseline"/>
              <w:rPr>
                <w:rFonts w:hint="default" w:ascii="Times New Roman" w:hAnsi="Times New Roman" w:eastAsia="宋体"/>
                <w:caps w:val="0"/>
                <w:color w:val="auto"/>
                <w:kern w:val="0"/>
                <w:sz w:val="24"/>
                <w:szCs w:val="24"/>
                <w:highlight w:val="none"/>
              </w:rPr>
            </w:pPr>
            <w:r>
              <w:rPr>
                <w:rFonts w:hint="eastAsia" w:cs="Times New Roman"/>
                <w:color w:val="auto"/>
                <w:sz w:val="24"/>
                <w:szCs w:val="24"/>
                <w:highlight w:val="none"/>
                <w:lang w:val="en-US" w:eastAsia="zh-CN"/>
              </w:rPr>
              <w:t>施工期</w:t>
            </w:r>
            <w:r>
              <w:rPr>
                <w:rFonts w:hint="eastAsia" w:ascii="Times New Roman" w:hAnsi="Times New Roman" w:eastAsia="宋体"/>
                <w:bCs/>
                <w:caps w:val="0"/>
                <w:color w:val="auto"/>
                <w:sz w:val="24"/>
                <w:szCs w:val="24"/>
                <w:highlight w:val="none"/>
                <w:lang w:val="en-US" w:eastAsia="zh-CN"/>
              </w:rPr>
              <w:t>项目排水主要为生活污水，</w:t>
            </w:r>
            <w:r>
              <w:rPr>
                <w:rFonts w:hint="eastAsia" w:cs="Times New Roman"/>
                <w:color w:val="auto"/>
                <w:kern w:val="0"/>
                <w:sz w:val="24"/>
                <w:szCs w:val="24"/>
                <w:highlight w:val="none"/>
                <w:lang w:val="en-US" w:eastAsia="zh-CN"/>
              </w:rPr>
              <w:t>依托康龙煤矿</w:t>
            </w:r>
            <w:r>
              <w:rPr>
                <w:rFonts w:hint="eastAsia" w:cs="Times New Roman"/>
                <w:color w:val="auto"/>
                <w:spacing w:val="-1"/>
                <w:kern w:val="2"/>
                <w:sz w:val="24"/>
                <w:szCs w:val="24"/>
                <w:highlight w:val="none"/>
                <w:lang w:val="en-US" w:eastAsia="zh-CN" w:bidi="ar-SA"/>
              </w:rPr>
              <w:t>行政福利生活场地</w:t>
            </w:r>
            <w:r>
              <w:rPr>
                <w:rFonts w:hint="eastAsia" w:cs="Times New Roman"/>
                <w:color w:val="auto"/>
                <w:kern w:val="0"/>
                <w:sz w:val="24"/>
                <w:szCs w:val="24"/>
                <w:highlight w:val="none"/>
                <w:lang w:val="en-US" w:eastAsia="zh-CN"/>
              </w:rPr>
              <w:t>已建地埋式污水处理设备处理后用于绿化</w:t>
            </w:r>
            <w:r>
              <w:rPr>
                <w:rFonts w:hint="eastAsia" w:ascii="Times New Roman" w:hAnsi="Times New Roman" w:eastAsia="宋体"/>
                <w:caps w:val="0"/>
                <w:snapToGrid w:val="0"/>
                <w:color w:val="auto"/>
                <w:kern w:val="0"/>
                <w:sz w:val="24"/>
                <w:szCs w:val="24"/>
                <w:highlight w:val="none"/>
              </w:rPr>
              <w:t>。</w:t>
            </w:r>
            <w:r>
              <w:rPr>
                <w:rFonts w:hint="default" w:ascii="Times New Roman" w:hAnsi="Times New Roman" w:eastAsia="宋体"/>
                <w:caps w:val="0"/>
                <w:color w:val="auto"/>
                <w:kern w:val="0"/>
                <w:sz w:val="24"/>
                <w:szCs w:val="24"/>
                <w:highlight w:val="none"/>
              </w:rPr>
              <w:t>项目</w:t>
            </w:r>
            <w:r>
              <w:rPr>
                <w:rFonts w:hint="eastAsia" w:cs="Times New Roman"/>
                <w:color w:val="auto"/>
                <w:sz w:val="24"/>
                <w:szCs w:val="24"/>
                <w:highlight w:val="none"/>
                <w:lang w:val="en-US" w:eastAsia="zh-CN"/>
              </w:rPr>
              <w:t>施工期</w:t>
            </w:r>
            <w:r>
              <w:rPr>
                <w:rFonts w:hint="default" w:ascii="Times New Roman" w:hAnsi="Times New Roman" w:eastAsia="宋体"/>
                <w:caps w:val="0"/>
                <w:color w:val="auto"/>
                <w:kern w:val="0"/>
                <w:sz w:val="24"/>
                <w:szCs w:val="24"/>
                <w:highlight w:val="none"/>
              </w:rPr>
              <w:t>废水排放执行《污水</w:t>
            </w:r>
            <w:r>
              <w:rPr>
                <w:rFonts w:hint="eastAsia" w:ascii="Times New Roman" w:hAnsi="Times New Roman" w:eastAsia="宋体"/>
                <w:caps w:val="0"/>
                <w:color w:val="auto"/>
                <w:kern w:val="0"/>
                <w:sz w:val="24"/>
                <w:szCs w:val="24"/>
                <w:highlight w:val="none"/>
                <w:lang w:val="en-US" w:eastAsia="zh-CN"/>
              </w:rPr>
              <w:t>综合排放</w:t>
            </w:r>
            <w:r>
              <w:rPr>
                <w:rFonts w:hint="eastAsia" w:ascii="Times New Roman" w:hAnsi="Times New Roman" w:eastAsia="宋体"/>
                <w:caps w:val="0"/>
                <w:color w:val="auto"/>
                <w:kern w:val="0"/>
                <w:sz w:val="24"/>
                <w:szCs w:val="24"/>
                <w:highlight w:val="none"/>
              </w:rPr>
              <w:t>标准</w:t>
            </w:r>
            <w:r>
              <w:rPr>
                <w:rFonts w:hint="default" w:ascii="Times New Roman" w:hAnsi="Times New Roman" w:eastAsia="宋体"/>
                <w:caps w:val="0"/>
                <w:color w:val="auto"/>
                <w:kern w:val="0"/>
                <w:sz w:val="24"/>
                <w:szCs w:val="24"/>
                <w:highlight w:val="none"/>
              </w:rPr>
              <w:t>》</w:t>
            </w:r>
            <w:r>
              <w:rPr>
                <w:rFonts w:hint="eastAsia" w:ascii="Times New Roman" w:hAnsi="Times New Roman" w:eastAsia="宋体"/>
                <w:caps w:val="0"/>
                <w:color w:val="auto"/>
                <w:kern w:val="0"/>
                <w:sz w:val="24"/>
                <w:szCs w:val="24"/>
                <w:highlight w:val="none"/>
              </w:rPr>
              <w:t>（</w:t>
            </w:r>
            <w:r>
              <w:rPr>
                <w:rFonts w:hint="default" w:ascii="Times New Roman" w:hAnsi="Times New Roman" w:eastAsia="宋体"/>
                <w:caps w:val="0"/>
                <w:color w:val="auto"/>
                <w:kern w:val="0"/>
                <w:sz w:val="24"/>
                <w:szCs w:val="24"/>
                <w:highlight w:val="none"/>
              </w:rPr>
              <w:t>GB</w:t>
            </w:r>
            <w:r>
              <w:rPr>
                <w:rFonts w:hint="eastAsia" w:ascii="Times New Roman" w:hAnsi="Times New Roman" w:eastAsia="宋体"/>
                <w:caps w:val="0"/>
                <w:color w:val="auto"/>
                <w:kern w:val="0"/>
                <w:sz w:val="24"/>
                <w:szCs w:val="24"/>
                <w:highlight w:val="none"/>
                <w:lang w:val="en-US" w:eastAsia="zh-CN"/>
              </w:rPr>
              <w:t>8978-1996</w:t>
            </w:r>
            <w:r>
              <w:rPr>
                <w:rFonts w:hint="eastAsia" w:ascii="Times New Roman" w:hAnsi="Times New Roman" w:eastAsia="宋体"/>
                <w:caps w:val="0"/>
                <w:color w:val="auto"/>
                <w:kern w:val="0"/>
                <w:sz w:val="24"/>
                <w:szCs w:val="24"/>
                <w:highlight w:val="none"/>
              </w:rPr>
              <w:t>）</w:t>
            </w:r>
            <w:r>
              <w:rPr>
                <w:rFonts w:hint="default" w:ascii="Times New Roman" w:hAnsi="Times New Roman" w:eastAsia="宋体"/>
                <w:caps w:val="0"/>
                <w:color w:val="auto"/>
                <w:kern w:val="0"/>
                <w:sz w:val="24"/>
                <w:szCs w:val="24"/>
                <w:highlight w:val="none"/>
              </w:rPr>
              <w:t>表</w:t>
            </w:r>
            <w:r>
              <w:rPr>
                <w:rFonts w:hint="eastAsia" w:ascii="Times New Roman" w:hAnsi="Times New Roman" w:eastAsia="宋体"/>
                <w:caps w:val="0"/>
                <w:color w:val="auto"/>
                <w:kern w:val="0"/>
                <w:sz w:val="24"/>
                <w:szCs w:val="24"/>
                <w:highlight w:val="none"/>
                <w:lang w:val="en-US" w:eastAsia="zh-CN"/>
              </w:rPr>
              <w:t>4</w:t>
            </w:r>
            <w:r>
              <w:rPr>
                <w:rFonts w:hint="default" w:ascii="Times New Roman" w:hAnsi="Times New Roman" w:eastAsia="宋体"/>
                <w:caps w:val="0"/>
                <w:color w:val="auto"/>
                <w:kern w:val="0"/>
                <w:sz w:val="24"/>
                <w:szCs w:val="24"/>
                <w:highlight w:val="none"/>
              </w:rPr>
              <w:t>中</w:t>
            </w:r>
            <w:r>
              <w:rPr>
                <w:rFonts w:hint="eastAsia"/>
                <w:caps w:val="0"/>
                <w:color w:val="auto"/>
                <w:kern w:val="0"/>
                <w:sz w:val="24"/>
                <w:szCs w:val="24"/>
                <w:highlight w:val="none"/>
                <w:lang w:val="en-US" w:eastAsia="zh-CN"/>
              </w:rPr>
              <w:t>一</w:t>
            </w:r>
            <w:r>
              <w:rPr>
                <w:rFonts w:hint="eastAsia" w:ascii="Times New Roman" w:hAnsi="Times New Roman" w:eastAsia="宋体"/>
                <w:caps w:val="0"/>
                <w:color w:val="auto"/>
                <w:kern w:val="0"/>
                <w:sz w:val="24"/>
                <w:szCs w:val="24"/>
                <w:highlight w:val="none"/>
              </w:rPr>
              <w:t>级</w:t>
            </w:r>
            <w:r>
              <w:rPr>
                <w:rFonts w:hint="eastAsia" w:ascii="Times New Roman" w:hAnsi="Times New Roman" w:eastAsia="宋体"/>
                <w:caps w:val="0"/>
                <w:color w:val="auto"/>
                <w:kern w:val="0"/>
                <w:sz w:val="24"/>
                <w:szCs w:val="24"/>
                <w:highlight w:val="none"/>
                <w:lang w:val="en-US" w:eastAsia="zh-CN"/>
              </w:rPr>
              <w:t>标准</w:t>
            </w:r>
            <w:r>
              <w:rPr>
                <w:rFonts w:hint="eastAsia" w:ascii="Times New Roman" w:hAnsi="Times New Roman" w:eastAsia="宋体"/>
                <w:caps w:val="0"/>
                <w:color w:val="auto"/>
                <w:kern w:val="0"/>
                <w:sz w:val="24"/>
                <w:szCs w:val="24"/>
                <w:highlight w:val="none"/>
              </w:rPr>
              <w:t>规定限值</w:t>
            </w:r>
            <w:r>
              <w:rPr>
                <w:rFonts w:hint="eastAsia"/>
                <w:caps w:val="0"/>
                <w:color w:val="auto"/>
                <w:kern w:val="0"/>
                <w:sz w:val="24"/>
                <w:szCs w:val="24"/>
                <w:highlight w:val="none"/>
                <w:lang w:val="en-US" w:eastAsia="zh-CN"/>
              </w:rPr>
              <w:t>和</w:t>
            </w:r>
            <w:r>
              <w:rPr>
                <w:rFonts w:hint="default" w:hAnsi="宋体"/>
                <w:sz w:val="24"/>
                <w:szCs w:val="24"/>
                <w:highlight w:val="none"/>
              </w:rPr>
              <w:t>《城市污水再生利用</w:t>
            </w:r>
            <w:r>
              <w:rPr>
                <w:rFonts w:hint="eastAsia" w:hAnsi="宋体"/>
                <w:sz w:val="24"/>
                <w:szCs w:val="24"/>
                <w:highlight w:val="none"/>
                <w:lang w:val="en-US" w:eastAsia="zh-CN"/>
              </w:rPr>
              <w:t xml:space="preserve"> </w:t>
            </w:r>
            <w:r>
              <w:rPr>
                <w:rFonts w:hint="default" w:hAnsi="宋体"/>
                <w:sz w:val="24"/>
                <w:szCs w:val="24"/>
                <w:highlight w:val="none"/>
              </w:rPr>
              <w:t>城市杂用水水质》（</w:t>
            </w:r>
            <w:r>
              <w:rPr>
                <w:rFonts w:hint="default"/>
                <w:sz w:val="24"/>
                <w:szCs w:val="24"/>
                <w:highlight w:val="none"/>
              </w:rPr>
              <w:t>GB/T18920-20</w:t>
            </w:r>
            <w:r>
              <w:rPr>
                <w:rFonts w:hint="eastAsia"/>
                <w:sz w:val="24"/>
                <w:szCs w:val="24"/>
                <w:highlight w:val="none"/>
                <w:lang w:val="en-US" w:eastAsia="zh-CN"/>
              </w:rPr>
              <w:t>20</w:t>
            </w:r>
            <w:r>
              <w:rPr>
                <w:rFonts w:hint="default" w:hAnsi="宋体"/>
                <w:sz w:val="24"/>
                <w:szCs w:val="24"/>
                <w:highlight w:val="none"/>
              </w:rPr>
              <w:t>）</w:t>
            </w:r>
            <w:r>
              <w:rPr>
                <w:rFonts w:hint="eastAsia" w:hAnsi="宋体"/>
                <w:sz w:val="24"/>
                <w:szCs w:val="24"/>
                <w:highlight w:val="none"/>
                <w:lang w:val="en-US" w:eastAsia="zh-CN"/>
              </w:rPr>
              <w:t>中的城市绿化标准</w:t>
            </w:r>
            <w:r>
              <w:rPr>
                <w:rFonts w:hint="eastAsia" w:ascii="Times New Roman" w:hAnsi="Times New Roman" w:eastAsia="宋体"/>
                <w:caps w:val="0"/>
                <w:color w:val="auto"/>
                <w:kern w:val="0"/>
                <w:sz w:val="24"/>
                <w:szCs w:val="24"/>
                <w:highlight w:val="none"/>
              </w:rPr>
              <w:t>，</w:t>
            </w:r>
            <w:r>
              <w:rPr>
                <w:rFonts w:hint="default" w:ascii="Times New Roman" w:hAnsi="Times New Roman" w:eastAsia="宋体"/>
                <w:caps w:val="0"/>
                <w:color w:val="auto"/>
                <w:kern w:val="0"/>
                <w:sz w:val="24"/>
                <w:szCs w:val="24"/>
                <w:highlight w:val="none"/>
              </w:rPr>
              <w:t>具体指标详见表</w:t>
            </w:r>
            <w:r>
              <w:rPr>
                <w:rFonts w:hint="eastAsia" w:ascii="Times New Roman" w:hAnsi="Times New Roman" w:eastAsia="宋体"/>
                <w:caps w:val="0"/>
                <w:color w:val="auto"/>
                <w:kern w:val="0"/>
                <w:sz w:val="24"/>
                <w:szCs w:val="24"/>
                <w:highlight w:val="none"/>
              </w:rPr>
              <w:t>3-</w:t>
            </w:r>
            <w:r>
              <w:rPr>
                <w:rFonts w:hint="eastAsia"/>
                <w:caps w:val="0"/>
                <w:color w:val="auto"/>
                <w:kern w:val="0"/>
                <w:sz w:val="24"/>
                <w:szCs w:val="24"/>
                <w:highlight w:val="none"/>
                <w:lang w:val="en-US" w:eastAsia="zh-CN"/>
              </w:rPr>
              <w:t>10和表3-11</w:t>
            </w:r>
            <w:r>
              <w:rPr>
                <w:rFonts w:hint="default" w:ascii="Times New Roman" w:hAnsi="Times New Roman" w:eastAsia="宋体"/>
                <w:caps w:val="0"/>
                <w:color w:val="auto"/>
                <w:kern w:val="0"/>
                <w:sz w:val="24"/>
                <w:szCs w:val="24"/>
                <w:highlight w:val="none"/>
              </w:rPr>
              <w:t>。</w:t>
            </w:r>
          </w:p>
          <w:p w14:paraId="5A382A71">
            <w:pPr>
              <w:keepNext w:val="0"/>
              <w:keepLines w:val="0"/>
              <w:pageBreakBefore w:val="0"/>
              <w:suppressLineNumbers w:val="0"/>
              <w:kinsoku/>
              <w:wordWrap/>
              <w:autoSpaceDE w:val="0"/>
              <w:autoSpaceDN w:val="0"/>
              <w:bidi w:val="0"/>
              <w:adjustRightInd/>
              <w:snapToGrid/>
              <w:spacing w:before="0" w:beforeAutospacing="0" w:after="0" w:afterAutospacing="0"/>
              <w:ind w:left="0" w:right="0"/>
              <w:jc w:val="center"/>
              <w:textAlignment w:val="baseline"/>
              <w:rPr>
                <w:rFonts w:hint="default" w:ascii="Times New Roman" w:hAnsi="Times New Roman" w:eastAsia="宋体"/>
                <w:b/>
                <w:bCs/>
                <w:caps w:val="0"/>
                <w:color w:val="auto"/>
                <w:szCs w:val="21"/>
                <w:highlight w:val="none"/>
              </w:rPr>
            </w:pPr>
            <w:r>
              <w:rPr>
                <w:rFonts w:hint="default" w:ascii="Times New Roman" w:hAnsi="Times New Roman" w:eastAsia="宋体"/>
                <w:b/>
                <w:bCs/>
                <w:caps w:val="0"/>
                <w:color w:val="auto"/>
                <w:szCs w:val="21"/>
                <w:highlight w:val="none"/>
              </w:rPr>
              <w:t>表</w:t>
            </w:r>
            <w:r>
              <w:rPr>
                <w:rFonts w:hint="eastAsia" w:ascii="Times New Roman" w:hAnsi="Times New Roman" w:eastAsia="宋体"/>
                <w:b/>
                <w:bCs/>
                <w:caps w:val="0"/>
                <w:color w:val="auto"/>
                <w:szCs w:val="21"/>
                <w:highlight w:val="none"/>
              </w:rPr>
              <w:t>3-</w:t>
            </w:r>
            <w:r>
              <w:rPr>
                <w:rFonts w:hint="eastAsia"/>
                <w:b/>
                <w:bCs/>
                <w:caps w:val="0"/>
                <w:color w:val="auto"/>
                <w:szCs w:val="21"/>
                <w:highlight w:val="none"/>
                <w:lang w:val="en-US" w:eastAsia="zh-CN"/>
              </w:rPr>
              <w:t>10</w:t>
            </w:r>
            <w:r>
              <w:rPr>
                <w:rFonts w:hint="default" w:ascii="Times New Roman" w:hAnsi="Times New Roman" w:eastAsia="宋体"/>
                <w:b/>
                <w:bCs/>
                <w:caps w:val="0"/>
                <w:color w:val="auto"/>
                <w:szCs w:val="21"/>
                <w:highlight w:val="none"/>
              </w:rPr>
              <w:t xml:space="preserve">   </w:t>
            </w:r>
            <w:r>
              <w:rPr>
                <w:rFonts w:hint="eastAsia" w:ascii="Times New Roman" w:hAnsi="Times New Roman" w:eastAsia="宋体" w:cs="Times New Roman"/>
                <w:b/>
                <w:bCs/>
                <w:caps w:val="0"/>
                <w:color w:val="auto"/>
                <w:szCs w:val="21"/>
                <w:highlight w:val="none"/>
              </w:rPr>
              <w:t xml:space="preserve"> 污水</w:t>
            </w:r>
            <w:r>
              <w:rPr>
                <w:rFonts w:hint="eastAsia" w:ascii="Times New Roman" w:hAnsi="Times New Roman" w:eastAsia="宋体" w:cs="Times New Roman"/>
                <w:b/>
                <w:bCs/>
                <w:caps w:val="0"/>
                <w:color w:val="auto"/>
                <w:szCs w:val="21"/>
                <w:highlight w:val="none"/>
                <w:lang w:val="en-US" w:eastAsia="zh-CN"/>
              </w:rPr>
              <w:t>综合排放</w:t>
            </w:r>
            <w:r>
              <w:rPr>
                <w:rFonts w:hint="eastAsia" w:ascii="Times New Roman" w:hAnsi="Times New Roman" w:eastAsia="宋体" w:cs="Times New Roman"/>
                <w:b/>
                <w:bCs/>
                <w:caps w:val="0"/>
                <w:color w:val="auto"/>
                <w:szCs w:val="21"/>
                <w:highlight w:val="none"/>
              </w:rPr>
              <w:t>标准</w:t>
            </w:r>
            <w:r>
              <w:rPr>
                <w:rFonts w:hint="eastAsia" w:cs="Times New Roman"/>
                <w:b/>
                <w:bCs/>
                <w:caps w:val="0"/>
                <w:color w:val="auto"/>
                <w:szCs w:val="21"/>
                <w:highlight w:val="none"/>
                <w:lang w:val="en-US" w:eastAsia="zh-CN"/>
              </w:rPr>
              <w:t>一</w:t>
            </w:r>
            <w:r>
              <w:rPr>
                <w:rFonts w:hint="eastAsia" w:ascii="Times New Roman" w:hAnsi="Times New Roman" w:eastAsia="宋体" w:cs="Times New Roman"/>
                <w:b/>
                <w:bCs/>
                <w:caps w:val="0"/>
                <w:color w:val="auto"/>
                <w:szCs w:val="21"/>
                <w:highlight w:val="none"/>
                <w:lang w:val="en-US" w:eastAsia="zh-CN"/>
              </w:rPr>
              <w:t>级标准</w:t>
            </w:r>
            <w:r>
              <w:rPr>
                <w:rFonts w:hint="eastAsia" w:ascii="Times New Roman" w:hAnsi="Times New Roman" w:eastAsia="宋体" w:cs="Times New Roman"/>
                <w:b/>
                <w:bCs/>
                <w:caps w:val="0"/>
                <w:color w:val="auto"/>
                <w:szCs w:val="21"/>
                <w:highlight w:val="none"/>
              </w:rPr>
              <w:t>规定限值</w:t>
            </w:r>
            <w:r>
              <w:rPr>
                <w:rFonts w:hint="default" w:ascii="Times New Roman" w:hAnsi="Times New Roman" w:eastAsia="宋体"/>
                <w:b/>
                <w:bCs/>
                <w:caps w:val="0"/>
                <w:color w:val="auto"/>
                <w:szCs w:val="21"/>
                <w:highlight w:val="none"/>
              </w:rPr>
              <w:t xml:space="preserve">      （单位：</w:t>
            </w:r>
            <w:r>
              <w:rPr>
                <w:rFonts w:hint="eastAsia" w:ascii="Times New Roman" w:hAnsi="Times New Roman" w:eastAsia="宋体"/>
                <w:b/>
                <w:bCs/>
                <w:caps w:val="0"/>
                <w:color w:val="auto"/>
                <w:szCs w:val="21"/>
                <w:highlight w:val="none"/>
                <w:lang w:val="en-US" w:eastAsia="zh-CN"/>
              </w:rPr>
              <w:t>毫克</w:t>
            </w:r>
            <w:r>
              <w:rPr>
                <w:rFonts w:hint="default" w:ascii="Times New Roman" w:hAnsi="Times New Roman" w:eastAsia="宋体"/>
                <w:b/>
                <w:bCs/>
                <w:caps w:val="0"/>
                <w:color w:val="auto"/>
                <w:szCs w:val="21"/>
                <w:highlight w:val="none"/>
              </w:rPr>
              <w:t>/</w:t>
            </w:r>
            <w:r>
              <w:rPr>
                <w:rFonts w:hint="eastAsia" w:ascii="Times New Roman" w:hAnsi="Times New Roman" w:eastAsia="宋体"/>
                <w:b/>
                <w:bCs/>
                <w:caps w:val="0"/>
                <w:color w:val="auto"/>
                <w:szCs w:val="21"/>
                <w:highlight w:val="none"/>
                <w:lang w:val="en-US" w:eastAsia="zh-CN"/>
              </w:rPr>
              <w:t>升</w:t>
            </w:r>
            <w:r>
              <w:rPr>
                <w:rFonts w:hint="default" w:ascii="Times New Roman" w:hAnsi="Times New Roman" w:eastAsia="宋体"/>
                <w:b/>
                <w:bCs/>
                <w:caps w:val="0"/>
                <w:color w:val="auto"/>
                <w:szCs w:val="21"/>
                <w:highlight w:val="none"/>
              </w:rPr>
              <w:t>）</w:t>
            </w:r>
          </w:p>
          <w:tbl>
            <w:tblPr>
              <w:tblStyle w:val="27"/>
              <w:tblW w:w="0" w:type="auto"/>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136"/>
              <w:gridCol w:w="1136"/>
              <w:gridCol w:w="1136"/>
              <w:gridCol w:w="1136"/>
              <w:gridCol w:w="1136"/>
              <w:gridCol w:w="1136"/>
            </w:tblGrid>
            <w:tr w14:paraId="5F32B1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5" w:type="dxa"/>
                  <w:tcBorders>
                    <w:tl2br w:val="nil"/>
                    <w:tr2bl w:val="nil"/>
                  </w:tcBorders>
                  <w:vAlign w:val="center"/>
                </w:tcPr>
                <w:p w14:paraId="6E56F639">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eastAsia" w:ascii="Times New Roman" w:hAnsi="Times New Roman" w:eastAsia="宋体"/>
                      <w:caps w:val="0"/>
                      <w:color w:val="auto"/>
                      <w:szCs w:val="21"/>
                      <w:highlight w:val="none"/>
                      <w:lang w:val="en-US" w:eastAsia="zh-CN"/>
                    </w:rPr>
                    <w:t>p</w:t>
                  </w:r>
                  <w:r>
                    <w:rPr>
                      <w:rFonts w:hint="default" w:ascii="Times New Roman" w:hAnsi="Times New Roman" w:eastAsia="宋体"/>
                      <w:caps w:val="0"/>
                      <w:color w:val="auto"/>
                      <w:szCs w:val="21"/>
                      <w:highlight w:val="none"/>
                    </w:rPr>
                    <w:cr/>
                  </w:r>
                  <w:r>
                    <w:rPr>
                      <w:rFonts w:hint="default" w:ascii="Times New Roman" w:hAnsi="Times New Roman" w:eastAsia="宋体"/>
                      <w:caps w:val="0"/>
                      <w:color w:val="auto"/>
                      <w:szCs w:val="21"/>
                      <w:highlight w:val="none"/>
                    </w:rPr>
                    <w:t>H</w:t>
                  </w:r>
                </w:p>
              </w:tc>
              <w:tc>
                <w:tcPr>
                  <w:tcW w:w="1136" w:type="dxa"/>
                  <w:tcBorders>
                    <w:tl2br w:val="nil"/>
                    <w:tr2bl w:val="nil"/>
                  </w:tcBorders>
                  <w:vAlign w:val="center"/>
                </w:tcPr>
                <w:p w14:paraId="632B98BE">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default" w:ascii="Times New Roman" w:hAnsi="Times New Roman" w:eastAsia="宋体"/>
                      <w:caps w:val="0"/>
                      <w:color w:val="auto"/>
                      <w:szCs w:val="21"/>
                      <w:highlight w:val="none"/>
                    </w:rPr>
                    <w:t>COD</w:t>
                  </w:r>
                </w:p>
              </w:tc>
              <w:tc>
                <w:tcPr>
                  <w:tcW w:w="1136" w:type="dxa"/>
                  <w:tcBorders>
                    <w:tl2br w:val="nil"/>
                    <w:tr2bl w:val="nil"/>
                  </w:tcBorders>
                  <w:vAlign w:val="center"/>
                </w:tcPr>
                <w:p w14:paraId="0E37BBD9">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default" w:ascii="Times New Roman" w:hAnsi="Times New Roman" w:eastAsia="宋体"/>
                      <w:caps w:val="0"/>
                      <w:color w:val="auto"/>
                      <w:szCs w:val="21"/>
                      <w:highlight w:val="none"/>
                    </w:rPr>
                    <w:t>BOD</w:t>
                  </w:r>
                  <w:r>
                    <w:rPr>
                      <w:rFonts w:hint="default" w:ascii="Times New Roman" w:hAnsi="Times New Roman" w:eastAsia="宋体"/>
                      <w:caps w:val="0"/>
                      <w:color w:val="auto"/>
                      <w:szCs w:val="21"/>
                      <w:highlight w:val="none"/>
                      <w:vertAlign w:val="subscript"/>
                    </w:rPr>
                    <w:t>5</w:t>
                  </w:r>
                </w:p>
              </w:tc>
              <w:tc>
                <w:tcPr>
                  <w:tcW w:w="1136" w:type="dxa"/>
                  <w:tcBorders>
                    <w:tl2br w:val="nil"/>
                    <w:tr2bl w:val="nil"/>
                  </w:tcBorders>
                  <w:vAlign w:val="center"/>
                </w:tcPr>
                <w:p w14:paraId="3D7B731A">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default" w:ascii="Times New Roman" w:hAnsi="Times New Roman" w:eastAsia="宋体"/>
                      <w:caps w:val="0"/>
                      <w:color w:val="auto"/>
                      <w:szCs w:val="21"/>
                      <w:highlight w:val="none"/>
                    </w:rPr>
                    <w:t>SS</w:t>
                  </w:r>
                </w:p>
              </w:tc>
              <w:tc>
                <w:tcPr>
                  <w:tcW w:w="1136" w:type="dxa"/>
                  <w:tcBorders>
                    <w:tl2br w:val="nil"/>
                    <w:tr2bl w:val="nil"/>
                  </w:tcBorders>
                  <w:vAlign w:val="center"/>
                </w:tcPr>
                <w:p w14:paraId="551DBEDB">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default" w:ascii="Times New Roman" w:hAnsi="Times New Roman" w:eastAsia="宋体"/>
                      <w:caps w:val="0"/>
                      <w:color w:val="auto"/>
                      <w:szCs w:val="21"/>
                      <w:highlight w:val="none"/>
                    </w:rPr>
                    <w:t>氨氮</w:t>
                  </w:r>
                </w:p>
              </w:tc>
              <w:tc>
                <w:tcPr>
                  <w:tcW w:w="1136" w:type="dxa"/>
                  <w:tcBorders>
                    <w:tl2br w:val="nil"/>
                    <w:tr2bl w:val="nil"/>
                  </w:tcBorders>
                  <w:vAlign w:val="center"/>
                </w:tcPr>
                <w:p w14:paraId="726ADBF4">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eastAsia" w:ascii="Times New Roman" w:hAnsi="Times New Roman" w:eastAsia="宋体"/>
                      <w:caps w:val="0"/>
                      <w:color w:val="auto"/>
                      <w:szCs w:val="21"/>
                      <w:highlight w:val="none"/>
                    </w:rPr>
                    <w:t>总氮</w:t>
                  </w:r>
                </w:p>
              </w:tc>
              <w:tc>
                <w:tcPr>
                  <w:tcW w:w="1136" w:type="dxa"/>
                  <w:tcBorders>
                    <w:tl2br w:val="nil"/>
                    <w:tr2bl w:val="nil"/>
                  </w:tcBorders>
                  <w:vAlign w:val="center"/>
                </w:tcPr>
                <w:p w14:paraId="7E8D0D11">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eastAsia" w:ascii="Times New Roman" w:hAnsi="Times New Roman" w:eastAsia="宋体"/>
                      <w:caps w:val="0"/>
                      <w:color w:val="auto"/>
                      <w:szCs w:val="21"/>
                      <w:highlight w:val="none"/>
                    </w:rPr>
                    <w:t>总磷</w:t>
                  </w:r>
                </w:p>
              </w:tc>
            </w:tr>
            <w:tr w14:paraId="53C296E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5" w:type="dxa"/>
                  <w:tcBorders>
                    <w:tl2br w:val="nil"/>
                    <w:tr2bl w:val="nil"/>
                  </w:tcBorders>
                  <w:vAlign w:val="center"/>
                </w:tcPr>
                <w:p w14:paraId="73C049FD">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default" w:ascii="Times New Roman" w:hAnsi="Times New Roman" w:eastAsia="宋体"/>
                      <w:caps w:val="0"/>
                      <w:color w:val="auto"/>
                      <w:szCs w:val="21"/>
                      <w:highlight w:val="none"/>
                    </w:rPr>
                    <w:t>6.</w:t>
                  </w:r>
                  <w:r>
                    <w:rPr>
                      <w:rFonts w:hint="eastAsia" w:ascii="Times New Roman" w:hAnsi="Times New Roman" w:eastAsia="宋体"/>
                      <w:caps w:val="0"/>
                      <w:color w:val="auto"/>
                      <w:szCs w:val="21"/>
                      <w:highlight w:val="none"/>
                      <w:lang w:val="en-US" w:eastAsia="zh-CN"/>
                    </w:rPr>
                    <w:t>0</w:t>
                  </w:r>
                  <w:r>
                    <w:rPr>
                      <w:rFonts w:hint="default" w:ascii="Times New Roman" w:hAnsi="Times New Roman" w:eastAsia="宋体"/>
                      <w:caps w:val="0"/>
                      <w:color w:val="auto"/>
                      <w:szCs w:val="21"/>
                      <w:highlight w:val="none"/>
                    </w:rPr>
                    <w:t>~9.</w:t>
                  </w:r>
                  <w:r>
                    <w:rPr>
                      <w:rFonts w:hint="eastAsia" w:ascii="Times New Roman" w:hAnsi="Times New Roman" w:eastAsia="宋体"/>
                      <w:caps w:val="0"/>
                      <w:color w:val="auto"/>
                      <w:szCs w:val="21"/>
                      <w:highlight w:val="none"/>
                      <w:lang w:val="en-US" w:eastAsia="zh-CN"/>
                    </w:rPr>
                    <w:t>0</w:t>
                  </w:r>
                </w:p>
              </w:tc>
              <w:tc>
                <w:tcPr>
                  <w:tcW w:w="1136" w:type="dxa"/>
                  <w:tcBorders>
                    <w:tl2br w:val="nil"/>
                    <w:tr2bl w:val="nil"/>
                  </w:tcBorders>
                  <w:vAlign w:val="center"/>
                </w:tcPr>
                <w:p w14:paraId="0E81C77C">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default" w:ascii="Times New Roman" w:hAnsi="Times New Roman" w:eastAsia="宋体"/>
                      <w:caps w:val="0"/>
                      <w:color w:val="auto"/>
                      <w:szCs w:val="21"/>
                      <w:highlight w:val="none"/>
                    </w:rPr>
                    <w:t>≤</w:t>
                  </w:r>
                  <w:r>
                    <w:rPr>
                      <w:rFonts w:hint="eastAsia"/>
                      <w:caps w:val="0"/>
                      <w:color w:val="auto"/>
                      <w:szCs w:val="21"/>
                      <w:highlight w:val="none"/>
                      <w:lang w:val="en-US" w:eastAsia="zh-CN"/>
                    </w:rPr>
                    <w:t>100</w:t>
                  </w:r>
                </w:p>
              </w:tc>
              <w:tc>
                <w:tcPr>
                  <w:tcW w:w="1136" w:type="dxa"/>
                  <w:tcBorders>
                    <w:tl2br w:val="nil"/>
                    <w:tr2bl w:val="nil"/>
                  </w:tcBorders>
                  <w:vAlign w:val="center"/>
                </w:tcPr>
                <w:p w14:paraId="154204EE">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default" w:ascii="Times New Roman" w:hAnsi="Times New Roman" w:eastAsia="宋体"/>
                      <w:caps w:val="0"/>
                      <w:color w:val="auto"/>
                      <w:szCs w:val="21"/>
                      <w:highlight w:val="none"/>
                    </w:rPr>
                    <w:t>≤</w:t>
                  </w:r>
                  <w:r>
                    <w:rPr>
                      <w:rFonts w:hint="eastAsia"/>
                      <w:caps w:val="0"/>
                      <w:color w:val="auto"/>
                      <w:szCs w:val="21"/>
                      <w:highlight w:val="none"/>
                      <w:lang w:val="en-US" w:eastAsia="zh-CN"/>
                    </w:rPr>
                    <w:t>20</w:t>
                  </w:r>
                </w:p>
              </w:tc>
              <w:tc>
                <w:tcPr>
                  <w:tcW w:w="1136" w:type="dxa"/>
                  <w:tcBorders>
                    <w:tl2br w:val="nil"/>
                    <w:tr2bl w:val="nil"/>
                  </w:tcBorders>
                  <w:vAlign w:val="center"/>
                </w:tcPr>
                <w:p w14:paraId="1158A0E1">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default" w:ascii="Times New Roman" w:hAnsi="Times New Roman" w:eastAsia="宋体"/>
                      <w:caps w:val="0"/>
                      <w:color w:val="auto"/>
                      <w:szCs w:val="21"/>
                      <w:highlight w:val="none"/>
                    </w:rPr>
                    <w:t>≤</w:t>
                  </w:r>
                  <w:r>
                    <w:rPr>
                      <w:rFonts w:hint="eastAsia"/>
                      <w:caps w:val="0"/>
                      <w:color w:val="auto"/>
                      <w:szCs w:val="21"/>
                      <w:highlight w:val="none"/>
                      <w:lang w:val="en-US" w:eastAsia="zh-CN"/>
                    </w:rPr>
                    <w:t>70</w:t>
                  </w:r>
                </w:p>
              </w:tc>
              <w:tc>
                <w:tcPr>
                  <w:tcW w:w="1136" w:type="dxa"/>
                  <w:tcBorders>
                    <w:tl2br w:val="nil"/>
                    <w:tr2bl w:val="nil"/>
                  </w:tcBorders>
                  <w:vAlign w:val="center"/>
                </w:tcPr>
                <w:p w14:paraId="36383F75">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eastAsia"/>
                      <w:caps w:val="0"/>
                      <w:color w:val="auto"/>
                      <w:szCs w:val="21"/>
                      <w:highlight w:val="none"/>
                      <w:lang w:val="en-US" w:eastAsia="zh-CN"/>
                    </w:rPr>
                    <w:t>15</w:t>
                  </w:r>
                </w:p>
              </w:tc>
              <w:tc>
                <w:tcPr>
                  <w:tcW w:w="1136" w:type="dxa"/>
                  <w:tcBorders>
                    <w:tl2br w:val="nil"/>
                    <w:tr2bl w:val="nil"/>
                  </w:tcBorders>
                  <w:vAlign w:val="center"/>
                </w:tcPr>
                <w:p w14:paraId="7BAB9343">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eastAsia" w:ascii="Times New Roman" w:hAnsi="Times New Roman" w:eastAsia="宋体"/>
                      <w:caps w:val="0"/>
                      <w:color w:val="auto"/>
                      <w:szCs w:val="21"/>
                      <w:highlight w:val="none"/>
                      <w:lang w:val="en-US" w:eastAsia="zh-CN"/>
                    </w:rPr>
                    <w:t>--</w:t>
                  </w:r>
                </w:p>
              </w:tc>
              <w:tc>
                <w:tcPr>
                  <w:tcW w:w="1136" w:type="dxa"/>
                  <w:tcBorders>
                    <w:tl2br w:val="nil"/>
                    <w:tr2bl w:val="nil"/>
                  </w:tcBorders>
                  <w:vAlign w:val="center"/>
                </w:tcPr>
                <w:p w14:paraId="551982D7">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21"/>
                      <w:szCs w:val="21"/>
                      <w:vertAlign w:val="baseline"/>
                    </w:rPr>
                  </w:pPr>
                  <w:r>
                    <w:rPr>
                      <w:rFonts w:hint="eastAsia" w:ascii="Times New Roman" w:hAnsi="Times New Roman" w:eastAsia="宋体"/>
                      <w:caps w:val="0"/>
                      <w:color w:val="auto"/>
                      <w:szCs w:val="21"/>
                      <w:highlight w:val="none"/>
                      <w:lang w:val="en-US" w:eastAsia="zh-CN"/>
                    </w:rPr>
                    <w:t>--</w:t>
                  </w:r>
                </w:p>
              </w:tc>
            </w:tr>
          </w:tbl>
          <w:p w14:paraId="74B6995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left="0" w:right="0"/>
              <w:textAlignment w:val="auto"/>
              <w:rPr>
                <w:rFonts w:hint="default" w:ascii="Times New Roman" w:hAnsi="Times New Roman" w:eastAsia="宋体"/>
                <w:b/>
                <w:bCs/>
                <w:caps w:val="0"/>
                <w:color w:val="auto"/>
                <w:szCs w:val="21"/>
                <w:highlight w:val="none"/>
              </w:rPr>
            </w:pPr>
          </w:p>
          <w:p w14:paraId="49B6B42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b/>
                <w:bCs/>
                <w:caps w:val="0"/>
                <w:color w:val="auto"/>
                <w:szCs w:val="21"/>
                <w:highlight w:val="none"/>
              </w:rPr>
              <w:t>表</w:t>
            </w:r>
            <w:r>
              <w:rPr>
                <w:rFonts w:hint="eastAsia" w:ascii="Times New Roman" w:hAnsi="Times New Roman" w:eastAsia="宋体"/>
                <w:b/>
                <w:bCs/>
                <w:caps w:val="0"/>
                <w:color w:val="auto"/>
                <w:szCs w:val="21"/>
                <w:highlight w:val="none"/>
              </w:rPr>
              <w:t>3-</w:t>
            </w:r>
            <w:r>
              <w:rPr>
                <w:rFonts w:hint="eastAsia"/>
                <w:b/>
                <w:bCs/>
                <w:caps w:val="0"/>
                <w:color w:val="auto"/>
                <w:szCs w:val="21"/>
                <w:highlight w:val="none"/>
                <w:lang w:val="en-US" w:eastAsia="zh-CN"/>
              </w:rPr>
              <w:t>11</w:t>
            </w:r>
            <w:r>
              <w:rPr>
                <w:rFonts w:hint="default" w:ascii="Times New Roman" w:hAnsi="Times New Roman" w:eastAsia="宋体"/>
                <w:b/>
                <w:bCs/>
                <w:caps w:val="0"/>
                <w:color w:val="auto"/>
                <w:szCs w:val="21"/>
                <w:highlight w:val="none"/>
              </w:rPr>
              <w:t xml:space="preserve">   </w:t>
            </w:r>
            <w:r>
              <w:rPr>
                <w:rFonts w:hint="eastAsia" w:ascii="Times New Roman" w:hAnsi="Times New Roman" w:eastAsia="宋体" w:cs="Times New Roman"/>
                <w:b/>
                <w:bCs/>
                <w:caps w:val="0"/>
                <w:color w:val="auto"/>
                <w:szCs w:val="21"/>
                <w:highlight w:val="none"/>
              </w:rPr>
              <w:t xml:space="preserve"> </w:t>
            </w:r>
            <w:r>
              <w:rPr>
                <w:rFonts w:hint="eastAsia" w:cs="Times New Roman"/>
                <w:b/>
                <w:bCs/>
                <w:caps w:val="0"/>
                <w:color w:val="auto"/>
                <w:szCs w:val="21"/>
                <w:highlight w:val="none"/>
                <w:lang w:val="en-US" w:eastAsia="zh-CN"/>
              </w:rPr>
              <w:t>城市杂用水水质基本控制项目及限值</w:t>
            </w:r>
          </w:p>
          <w:tbl>
            <w:tblPr>
              <w:tblStyle w:val="27"/>
              <w:tblW w:w="7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950"/>
              <w:gridCol w:w="3735"/>
            </w:tblGrid>
            <w:tr w14:paraId="24FA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10CF6598">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eastAsia"/>
                      <w:caps w:val="0"/>
                      <w:color w:val="auto"/>
                      <w:szCs w:val="21"/>
                      <w:highlight w:val="none"/>
                      <w:lang w:val="en-US" w:eastAsia="zh-CN"/>
                    </w:rPr>
                    <w:t>项目</w:t>
                  </w:r>
                </w:p>
              </w:tc>
              <w:tc>
                <w:tcPr>
                  <w:tcW w:w="1950" w:type="dxa"/>
                  <w:vAlign w:val="center"/>
                </w:tcPr>
                <w:p w14:paraId="51A69488">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eastAsia"/>
                      <w:caps w:val="0"/>
                      <w:color w:val="auto"/>
                      <w:szCs w:val="21"/>
                      <w:highlight w:val="none"/>
                      <w:lang w:val="en-US" w:eastAsia="zh-CN"/>
                    </w:rPr>
                    <w:t>单位</w:t>
                  </w:r>
                </w:p>
              </w:tc>
              <w:tc>
                <w:tcPr>
                  <w:tcW w:w="3735" w:type="dxa"/>
                  <w:vAlign w:val="center"/>
                </w:tcPr>
                <w:p w14:paraId="0004AAB4">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城市绿化、道路清扫、消防、建筑施工</w:t>
                  </w:r>
                </w:p>
              </w:tc>
            </w:tr>
            <w:tr w14:paraId="6616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2B1DC21D">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pH</w:t>
                  </w:r>
                </w:p>
              </w:tc>
              <w:tc>
                <w:tcPr>
                  <w:tcW w:w="1950" w:type="dxa"/>
                  <w:vAlign w:val="center"/>
                </w:tcPr>
                <w:p w14:paraId="18373A05">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eastAsia"/>
                      <w:caps w:val="0"/>
                      <w:color w:val="auto"/>
                      <w:szCs w:val="21"/>
                      <w:highlight w:val="none"/>
                      <w:lang w:val="en-US" w:eastAsia="zh-CN"/>
                    </w:rPr>
                    <w:t>--</w:t>
                  </w:r>
                </w:p>
              </w:tc>
              <w:tc>
                <w:tcPr>
                  <w:tcW w:w="3735" w:type="dxa"/>
                  <w:vAlign w:val="center"/>
                </w:tcPr>
                <w:p w14:paraId="28D7DA8D">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6.0～9.0</w:t>
                  </w:r>
                </w:p>
              </w:tc>
            </w:tr>
            <w:tr w14:paraId="6569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6A84B0E5">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色度</w:t>
                  </w:r>
                </w:p>
              </w:tc>
              <w:tc>
                <w:tcPr>
                  <w:tcW w:w="1950" w:type="dxa"/>
                  <w:vAlign w:val="center"/>
                </w:tcPr>
                <w:p w14:paraId="11F20E16">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铂钴色度单位</w:t>
                  </w:r>
                </w:p>
              </w:tc>
              <w:tc>
                <w:tcPr>
                  <w:tcW w:w="3735" w:type="dxa"/>
                  <w:vAlign w:val="center"/>
                </w:tcPr>
                <w:p w14:paraId="092B6D1E">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≤30 </w:t>
                  </w:r>
                </w:p>
              </w:tc>
            </w:tr>
            <w:tr w14:paraId="4A0E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1918E5F5">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嗅</w:t>
                  </w:r>
                </w:p>
              </w:tc>
              <w:tc>
                <w:tcPr>
                  <w:tcW w:w="1950" w:type="dxa"/>
                  <w:vAlign w:val="center"/>
                </w:tcPr>
                <w:p w14:paraId="4645A1BD">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eastAsia"/>
                      <w:caps w:val="0"/>
                      <w:color w:val="auto"/>
                      <w:szCs w:val="21"/>
                      <w:highlight w:val="none"/>
                      <w:lang w:val="en-US" w:eastAsia="zh-CN"/>
                    </w:rPr>
                    <w:t>--</w:t>
                  </w:r>
                </w:p>
              </w:tc>
              <w:tc>
                <w:tcPr>
                  <w:tcW w:w="3735" w:type="dxa"/>
                  <w:vAlign w:val="center"/>
                </w:tcPr>
                <w:p w14:paraId="6389394E">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无不快感</w:t>
                  </w:r>
                </w:p>
              </w:tc>
            </w:tr>
            <w:tr w14:paraId="2701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3C1170EB">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浊度                            </w:t>
                  </w:r>
                </w:p>
              </w:tc>
              <w:tc>
                <w:tcPr>
                  <w:tcW w:w="1950" w:type="dxa"/>
                  <w:vAlign w:val="center"/>
                </w:tcPr>
                <w:p w14:paraId="0D440E3E">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 xml:space="preserve">NTU  </w:t>
                  </w:r>
                </w:p>
              </w:tc>
              <w:tc>
                <w:tcPr>
                  <w:tcW w:w="3735" w:type="dxa"/>
                  <w:vAlign w:val="center"/>
                </w:tcPr>
                <w:p w14:paraId="5495D5FA">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≤10 </w:t>
                  </w:r>
                </w:p>
              </w:tc>
            </w:tr>
            <w:tr w14:paraId="54D1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77760CF8">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五日生化需氧量        </w:t>
                  </w:r>
                </w:p>
              </w:tc>
              <w:tc>
                <w:tcPr>
                  <w:tcW w:w="1950" w:type="dxa"/>
                  <w:vAlign w:val="center"/>
                </w:tcPr>
                <w:p w14:paraId="456FE148">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mg/L</w:t>
                  </w:r>
                </w:p>
              </w:tc>
              <w:tc>
                <w:tcPr>
                  <w:tcW w:w="3735" w:type="dxa"/>
                  <w:vAlign w:val="center"/>
                </w:tcPr>
                <w:p w14:paraId="3D119FFA">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≤10 </w:t>
                  </w:r>
                </w:p>
              </w:tc>
            </w:tr>
            <w:tr w14:paraId="2762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7F2C7F76">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氨氮                            </w:t>
                  </w:r>
                </w:p>
              </w:tc>
              <w:tc>
                <w:tcPr>
                  <w:tcW w:w="1950" w:type="dxa"/>
                  <w:vAlign w:val="center"/>
                </w:tcPr>
                <w:p w14:paraId="445AB46F">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mg/L</w:t>
                  </w:r>
                </w:p>
              </w:tc>
              <w:tc>
                <w:tcPr>
                  <w:tcW w:w="3735" w:type="dxa"/>
                  <w:vAlign w:val="center"/>
                </w:tcPr>
                <w:p w14:paraId="24E3250A">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≤8 </w:t>
                  </w:r>
                </w:p>
              </w:tc>
            </w:tr>
            <w:tr w14:paraId="0108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33E8F1FA">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阴离子表面活性剂               </w:t>
                  </w:r>
                </w:p>
              </w:tc>
              <w:tc>
                <w:tcPr>
                  <w:tcW w:w="1950" w:type="dxa"/>
                  <w:vAlign w:val="center"/>
                </w:tcPr>
                <w:p w14:paraId="233C1C00">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mg/L</w:t>
                  </w:r>
                </w:p>
              </w:tc>
              <w:tc>
                <w:tcPr>
                  <w:tcW w:w="3735" w:type="dxa"/>
                  <w:vAlign w:val="center"/>
                </w:tcPr>
                <w:p w14:paraId="4BBCC71D">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≤0.5 </w:t>
                  </w:r>
                </w:p>
              </w:tc>
            </w:tr>
            <w:tr w14:paraId="0EEF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4DFE6F7D">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铁                            </w:t>
                  </w:r>
                </w:p>
              </w:tc>
              <w:tc>
                <w:tcPr>
                  <w:tcW w:w="1950" w:type="dxa"/>
                  <w:vAlign w:val="center"/>
                </w:tcPr>
                <w:p w14:paraId="58EB7408">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mg/L</w:t>
                  </w:r>
                </w:p>
              </w:tc>
              <w:tc>
                <w:tcPr>
                  <w:tcW w:w="3735" w:type="dxa"/>
                  <w:vAlign w:val="center"/>
                </w:tcPr>
                <w:p w14:paraId="69940C61">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rPr>
                  </w:pPr>
                  <w:r>
                    <w:rPr>
                      <w:rFonts w:hint="eastAsia"/>
                      <w:caps w:val="0"/>
                      <w:color w:val="auto"/>
                      <w:szCs w:val="21"/>
                      <w:highlight w:val="none"/>
                      <w:lang w:val="en-US" w:eastAsia="zh-CN"/>
                    </w:rPr>
                    <w:t>--</w:t>
                  </w:r>
                </w:p>
              </w:tc>
            </w:tr>
            <w:tr w14:paraId="5A22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6BB4AA62">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锰                             </w:t>
                  </w:r>
                </w:p>
              </w:tc>
              <w:tc>
                <w:tcPr>
                  <w:tcW w:w="1950" w:type="dxa"/>
                  <w:vAlign w:val="center"/>
                </w:tcPr>
                <w:p w14:paraId="0923F9DE">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mg/L</w:t>
                  </w:r>
                </w:p>
              </w:tc>
              <w:tc>
                <w:tcPr>
                  <w:tcW w:w="3735" w:type="dxa"/>
                  <w:vAlign w:val="center"/>
                </w:tcPr>
                <w:p w14:paraId="18582498">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rPr>
                  </w:pPr>
                  <w:r>
                    <w:rPr>
                      <w:rFonts w:hint="eastAsia"/>
                      <w:caps w:val="0"/>
                      <w:color w:val="auto"/>
                      <w:szCs w:val="21"/>
                      <w:highlight w:val="none"/>
                      <w:lang w:val="en-US" w:eastAsia="zh-CN"/>
                    </w:rPr>
                    <w:t>--</w:t>
                  </w:r>
                </w:p>
              </w:tc>
            </w:tr>
            <w:tr w14:paraId="779A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73D67EB8">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溶解性总固体                  </w:t>
                  </w:r>
                </w:p>
              </w:tc>
              <w:tc>
                <w:tcPr>
                  <w:tcW w:w="1950" w:type="dxa"/>
                  <w:vAlign w:val="center"/>
                </w:tcPr>
                <w:p w14:paraId="438DA96B">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mg/L</w:t>
                  </w:r>
                </w:p>
              </w:tc>
              <w:tc>
                <w:tcPr>
                  <w:tcW w:w="3735" w:type="dxa"/>
                  <w:vAlign w:val="center"/>
                </w:tcPr>
                <w:p w14:paraId="227190FA">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rPr>
                  </w:pPr>
                  <w:r>
                    <w:rPr>
                      <w:rFonts w:hint="default" w:ascii="Times New Roman" w:hAnsi="Times New Roman" w:eastAsia="宋体"/>
                      <w:caps w:val="0"/>
                      <w:color w:val="auto"/>
                      <w:szCs w:val="21"/>
                      <w:highlight w:val="none"/>
                      <w:lang w:val="en-US" w:eastAsia="zh-CN"/>
                    </w:rPr>
                    <w:t>≤1000</w:t>
                  </w:r>
                  <w:r>
                    <w:rPr>
                      <w:rFonts w:hint="eastAsia"/>
                      <w:caps w:val="0"/>
                      <w:color w:val="auto"/>
                      <w:szCs w:val="21"/>
                      <w:highlight w:val="none"/>
                      <w:lang w:val="en-US" w:eastAsia="zh-CN"/>
                    </w:rPr>
                    <w:t>（</w:t>
                  </w:r>
                  <w:r>
                    <w:rPr>
                      <w:rFonts w:hint="default" w:ascii="Times New Roman" w:hAnsi="Times New Roman" w:eastAsia="宋体"/>
                      <w:caps w:val="0"/>
                      <w:color w:val="auto"/>
                      <w:szCs w:val="21"/>
                      <w:highlight w:val="none"/>
                      <w:lang w:val="en-US" w:eastAsia="zh-CN"/>
                    </w:rPr>
                    <w:t>2000</w:t>
                  </w:r>
                  <w:r>
                    <w:rPr>
                      <w:rFonts w:hint="eastAsia"/>
                      <w:caps w:val="0"/>
                      <w:color w:val="auto"/>
                      <w:szCs w:val="21"/>
                      <w:highlight w:val="none"/>
                      <w:lang w:val="en-US" w:eastAsia="zh-CN"/>
                    </w:rPr>
                    <w:t>）</w:t>
                  </w:r>
                  <w:r>
                    <w:rPr>
                      <w:rFonts w:hint="eastAsia"/>
                      <w:caps w:val="0"/>
                      <w:color w:val="auto"/>
                      <w:szCs w:val="21"/>
                      <w:highlight w:val="none"/>
                      <w:vertAlign w:val="superscript"/>
                      <w:lang w:val="en-US" w:eastAsia="zh-CN"/>
                    </w:rPr>
                    <w:t>a</w:t>
                  </w:r>
                </w:p>
              </w:tc>
            </w:tr>
            <w:tr w14:paraId="5CCA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top"/>
                </w:tcPr>
                <w:p w14:paraId="04EFD050">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eastAsia"/>
                      <w:caps w:val="0"/>
                      <w:color w:val="auto"/>
                      <w:szCs w:val="21"/>
                      <w:highlight w:val="none"/>
                      <w:lang w:val="en-US" w:eastAsia="zh-CN"/>
                    </w:rPr>
                    <w:t>溶解氧</w:t>
                  </w:r>
                </w:p>
              </w:tc>
              <w:tc>
                <w:tcPr>
                  <w:tcW w:w="1950" w:type="dxa"/>
                  <w:vAlign w:val="center"/>
                </w:tcPr>
                <w:p w14:paraId="06664742">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mg/L</w:t>
                  </w:r>
                </w:p>
              </w:tc>
              <w:tc>
                <w:tcPr>
                  <w:tcW w:w="3735" w:type="dxa"/>
                  <w:vAlign w:val="center"/>
                </w:tcPr>
                <w:p w14:paraId="08E5DEB2">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w:t>
                  </w:r>
                  <w:r>
                    <w:rPr>
                      <w:rFonts w:hint="eastAsia"/>
                      <w:caps w:val="0"/>
                      <w:color w:val="auto"/>
                      <w:szCs w:val="21"/>
                      <w:highlight w:val="none"/>
                      <w:lang w:val="en-US" w:eastAsia="zh-CN"/>
                    </w:rPr>
                    <w:t>2.0</w:t>
                  </w:r>
                </w:p>
              </w:tc>
            </w:tr>
            <w:tr w14:paraId="3DE1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top"/>
                </w:tcPr>
                <w:p w14:paraId="421CDC40">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 xml:space="preserve">总氯                        </w:t>
                  </w:r>
                </w:p>
              </w:tc>
              <w:tc>
                <w:tcPr>
                  <w:tcW w:w="1950" w:type="dxa"/>
                  <w:vAlign w:val="center"/>
                </w:tcPr>
                <w:p w14:paraId="0DA3A8E3">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mg/L</w:t>
                  </w:r>
                </w:p>
              </w:tc>
              <w:tc>
                <w:tcPr>
                  <w:tcW w:w="3735" w:type="dxa"/>
                  <w:vAlign w:val="center"/>
                </w:tcPr>
                <w:p w14:paraId="2224F53F">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≥1.0</w:t>
                  </w:r>
                  <w:r>
                    <w:rPr>
                      <w:rFonts w:hint="eastAsia"/>
                      <w:caps w:val="0"/>
                      <w:color w:val="auto"/>
                      <w:szCs w:val="21"/>
                      <w:highlight w:val="none"/>
                      <w:lang w:val="en-US" w:eastAsia="zh-CN"/>
                    </w:rPr>
                    <w:t>（</w:t>
                  </w:r>
                  <w:r>
                    <w:rPr>
                      <w:rFonts w:hint="default" w:ascii="Times New Roman" w:hAnsi="Times New Roman" w:eastAsia="宋体"/>
                      <w:caps w:val="0"/>
                      <w:color w:val="auto"/>
                      <w:szCs w:val="21"/>
                      <w:highlight w:val="none"/>
                      <w:lang w:val="en-US" w:eastAsia="zh-CN"/>
                    </w:rPr>
                    <w:t>出厂</w:t>
                  </w:r>
                  <w:r>
                    <w:rPr>
                      <w:rFonts w:hint="eastAsia"/>
                      <w:caps w:val="0"/>
                      <w:color w:val="auto"/>
                      <w:szCs w:val="21"/>
                      <w:highlight w:val="none"/>
                      <w:lang w:val="en-US" w:eastAsia="zh-CN"/>
                    </w:rPr>
                    <w:t>），</w:t>
                  </w:r>
                  <w:r>
                    <w:rPr>
                      <w:rFonts w:hint="default" w:ascii="Times New Roman" w:hAnsi="Times New Roman" w:eastAsia="宋体"/>
                      <w:caps w:val="0"/>
                      <w:color w:val="auto"/>
                      <w:szCs w:val="21"/>
                      <w:highlight w:val="none"/>
                      <w:lang w:val="en-US" w:eastAsia="zh-CN"/>
                    </w:rPr>
                    <w:t>0.2</w:t>
                  </w:r>
                  <w:r>
                    <w:rPr>
                      <w:rFonts w:hint="eastAsia"/>
                      <w:caps w:val="0"/>
                      <w:color w:val="auto"/>
                      <w:szCs w:val="21"/>
                      <w:highlight w:val="none"/>
                      <w:vertAlign w:val="superscript"/>
                      <w:lang w:val="en-US" w:eastAsia="zh-CN"/>
                    </w:rPr>
                    <w:t>b</w:t>
                  </w:r>
                  <w:r>
                    <w:rPr>
                      <w:rFonts w:hint="eastAsia"/>
                      <w:caps w:val="0"/>
                      <w:color w:val="auto"/>
                      <w:szCs w:val="21"/>
                      <w:highlight w:val="none"/>
                      <w:lang w:val="en-US" w:eastAsia="zh-CN"/>
                    </w:rPr>
                    <w:t>（</w:t>
                  </w:r>
                  <w:r>
                    <w:rPr>
                      <w:rFonts w:hint="default" w:ascii="Times New Roman" w:hAnsi="Times New Roman" w:eastAsia="宋体"/>
                      <w:caps w:val="0"/>
                      <w:color w:val="auto"/>
                      <w:szCs w:val="21"/>
                      <w:highlight w:val="none"/>
                      <w:lang w:val="en-US" w:eastAsia="zh-CN"/>
                    </w:rPr>
                    <w:t>管网末端</w:t>
                  </w:r>
                  <w:r>
                    <w:rPr>
                      <w:rFonts w:hint="eastAsia"/>
                      <w:caps w:val="0"/>
                      <w:color w:val="auto"/>
                      <w:szCs w:val="21"/>
                      <w:highlight w:val="none"/>
                      <w:lang w:val="en-US" w:eastAsia="zh-CN"/>
                    </w:rPr>
                    <w:t>）</w:t>
                  </w:r>
                </w:p>
              </w:tc>
            </w:tr>
            <w:tr w14:paraId="263A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0AAE5899">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eastAsia" w:ascii="Times New Roman" w:hAnsi="Times New Roman" w:eastAsia="宋体"/>
                      <w:caps w:val="0"/>
                      <w:color w:val="auto"/>
                      <w:szCs w:val="21"/>
                      <w:highlight w:val="none"/>
                    </w:rPr>
                  </w:pPr>
                  <w:r>
                    <w:rPr>
                      <w:rFonts w:hint="default" w:ascii="Times New Roman" w:hAnsi="Times New Roman" w:eastAsia="宋体"/>
                      <w:caps w:val="0"/>
                      <w:color w:val="auto"/>
                      <w:szCs w:val="21"/>
                      <w:highlight w:val="none"/>
                      <w:lang w:val="en-US" w:eastAsia="zh-CN"/>
                    </w:rPr>
                    <w:t>大肠埃希氏菌</w:t>
                  </w:r>
                </w:p>
              </w:tc>
              <w:tc>
                <w:tcPr>
                  <w:tcW w:w="1950" w:type="dxa"/>
                  <w:vAlign w:val="center"/>
                </w:tcPr>
                <w:p w14:paraId="3DC22C5C">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eastAsia="zh-CN"/>
                    </w:rPr>
                  </w:pPr>
                  <w:r>
                    <w:rPr>
                      <w:rFonts w:hint="default" w:ascii="Times New Roman" w:hAnsi="Times New Roman" w:eastAsia="宋体"/>
                      <w:caps w:val="0"/>
                      <w:color w:val="auto"/>
                      <w:szCs w:val="21"/>
                      <w:highlight w:val="none"/>
                      <w:lang w:val="en-US" w:eastAsia="zh-CN"/>
                    </w:rPr>
                    <w:t>MPN/100 mL或CFU/100 mL</w:t>
                  </w:r>
                </w:p>
              </w:tc>
              <w:tc>
                <w:tcPr>
                  <w:tcW w:w="3735" w:type="dxa"/>
                  <w:vAlign w:val="center"/>
                </w:tcPr>
                <w:p w14:paraId="6DD1531E">
                  <w:pPr>
                    <w:keepNext w:val="0"/>
                    <w:keepLines w:val="0"/>
                    <w:pageBreakBefore w:val="0"/>
                    <w:suppressLineNumbers w:val="0"/>
                    <w:kinsoku/>
                    <w:wordWrap/>
                    <w:bidi w:val="0"/>
                    <w:adjustRightInd/>
                    <w:snapToGrid/>
                    <w:spacing w:before="0" w:beforeAutospacing="0" w:after="0" w:afterAutospacing="0"/>
                    <w:ind w:left="0" w:leftChars="0" w:right="0" w:rightChars="0"/>
                    <w:jc w:val="center"/>
                    <w:rPr>
                      <w:rFonts w:hint="default" w:ascii="Times New Roman" w:hAnsi="Times New Roman" w:eastAsia="宋体"/>
                      <w:caps w:val="0"/>
                      <w:color w:val="auto"/>
                      <w:szCs w:val="21"/>
                      <w:highlight w:val="none"/>
                      <w:lang w:val="en-US"/>
                    </w:rPr>
                  </w:pPr>
                  <w:r>
                    <w:rPr>
                      <w:rFonts w:hint="default" w:ascii="Times New Roman" w:hAnsi="Times New Roman" w:eastAsia="宋体"/>
                      <w:caps w:val="0"/>
                      <w:color w:val="auto"/>
                      <w:szCs w:val="21"/>
                      <w:highlight w:val="none"/>
                      <w:lang w:val="en-US" w:eastAsia="zh-CN"/>
                    </w:rPr>
                    <w:t>无</w:t>
                  </w:r>
                  <w:r>
                    <w:rPr>
                      <w:rFonts w:hint="eastAsia"/>
                      <w:caps w:val="0"/>
                      <w:color w:val="auto"/>
                      <w:szCs w:val="21"/>
                      <w:highlight w:val="none"/>
                      <w:vertAlign w:val="superscript"/>
                      <w:lang w:val="en-US" w:eastAsia="zh-CN"/>
                    </w:rPr>
                    <w:t>c</w:t>
                  </w:r>
                </w:p>
              </w:tc>
            </w:tr>
            <w:tr w14:paraId="170D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3" w:type="dxa"/>
                  <w:gridSpan w:val="3"/>
                  <w:vAlign w:val="center"/>
                </w:tcPr>
                <w:p w14:paraId="4116C250">
                  <w:pPr>
                    <w:keepNext w:val="0"/>
                    <w:keepLines w:val="0"/>
                    <w:pageBreakBefore w:val="0"/>
                    <w:suppressLineNumbers w:val="0"/>
                    <w:kinsoku/>
                    <w:wordWrap/>
                    <w:bidi w:val="0"/>
                    <w:adjustRightInd/>
                    <w:snapToGrid/>
                    <w:spacing w:before="0" w:beforeAutospacing="0" w:after="0" w:afterAutospacing="0"/>
                    <w:ind w:left="0" w:leftChars="0" w:right="0" w:rightChars="0"/>
                    <w:jc w:val="left"/>
                    <w:rPr>
                      <w:rFonts w:hint="eastAsia"/>
                      <w:caps w:val="0"/>
                      <w:color w:val="auto"/>
                      <w:szCs w:val="21"/>
                      <w:highlight w:val="none"/>
                      <w:lang w:val="en-US" w:eastAsia="zh-CN"/>
                    </w:rPr>
                  </w:pPr>
                  <w:r>
                    <w:rPr>
                      <w:rFonts w:hint="eastAsia"/>
                      <w:caps w:val="0"/>
                      <w:color w:val="auto"/>
                      <w:szCs w:val="21"/>
                      <w:highlight w:val="none"/>
                      <w:lang w:val="en-US" w:eastAsia="zh-CN"/>
                    </w:rPr>
                    <w:t>注：“--”表示对此无要求；</w:t>
                  </w:r>
                </w:p>
                <w:p w14:paraId="778CF11B">
                  <w:pPr>
                    <w:keepNext w:val="0"/>
                    <w:keepLines w:val="0"/>
                    <w:pageBreakBefore w:val="0"/>
                    <w:suppressLineNumbers w:val="0"/>
                    <w:kinsoku/>
                    <w:wordWrap/>
                    <w:bidi w:val="0"/>
                    <w:adjustRightInd/>
                    <w:snapToGrid/>
                    <w:spacing w:before="0" w:beforeAutospacing="0" w:after="0" w:afterAutospacing="0"/>
                    <w:ind w:left="0" w:leftChars="0" w:right="0" w:rightChars="0"/>
                    <w:jc w:val="left"/>
                    <w:rPr>
                      <w:rFonts w:hint="eastAsia"/>
                      <w:caps w:val="0"/>
                      <w:color w:val="auto"/>
                      <w:szCs w:val="21"/>
                      <w:highlight w:val="none"/>
                      <w:lang w:val="en-US" w:eastAsia="zh-CN"/>
                    </w:rPr>
                  </w:pPr>
                  <w:r>
                    <w:rPr>
                      <w:rFonts w:hint="eastAsia"/>
                      <w:color w:val="auto"/>
                      <w:szCs w:val="21"/>
                      <w:highlight w:val="none"/>
                      <w:vertAlign w:val="superscript"/>
                      <w:lang w:val="en-US" w:eastAsia="zh-CN"/>
                    </w:rPr>
                    <w:t>a</w:t>
                  </w:r>
                  <w:r>
                    <w:rPr>
                      <w:rFonts w:hint="eastAsia"/>
                      <w:caps w:val="0"/>
                      <w:color w:val="auto"/>
                      <w:szCs w:val="21"/>
                      <w:highlight w:val="none"/>
                      <w:lang w:val="en-US" w:eastAsia="zh-CN"/>
                    </w:rPr>
                    <w:t xml:space="preserve"> 括号内指标值为沿海及本地水源总溶解性固体含量较高的区域的指标；</w:t>
                  </w:r>
                </w:p>
                <w:p w14:paraId="5302D285">
                  <w:pPr>
                    <w:keepNext w:val="0"/>
                    <w:keepLines w:val="0"/>
                    <w:pageBreakBefore w:val="0"/>
                    <w:suppressLineNumbers w:val="0"/>
                    <w:kinsoku/>
                    <w:wordWrap/>
                    <w:bidi w:val="0"/>
                    <w:adjustRightInd/>
                    <w:snapToGrid/>
                    <w:spacing w:before="0" w:beforeAutospacing="0" w:after="0" w:afterAutospacing="0"/>
                    <w:ind w:left="0" w:leftChars="0" w:right="0" w:rightChars="0"/>
                    <w:jc w:val="left"/>
                    <w:rPr>
                      <w:rFonts w:hint="eastAsia"/>
                      <w:caps w:val="0"/>
                      <w:color w:val="auto"/>
                      <w:szCs w:val="21"/>
                      <w:highlight w:val="none"/>
                      <w:lang w:val="en-US" w:eastAsia="zh-CN"/>
                    </w:rPr>
                  </w:pPr>
                  <w:r>
                    <w:rPr>
                      <w:rFonts w:hint="eastAsia"/>
                      <w:color w:val="auto"/>
                      <w:szCs w:val="21"/>
                      <w:highlight w:val="none"/>
                      <w:vertAlign w:val="superscript"/>
                      <w:lang w:val="en-US" w:eastAsia="zh-CN"/>
                    </w:rPr>
                    <w:t>b</w:t>
                  </w:r>
                  <w:r>
                    <w:rPr>
                      <w:rFonts w:hint="eastAsia"/>
                      <w:caps w:val="0"/>
                      <w:color w:val="auto"/>
                      <w:szCs w:val="21"/>
                      <w:highlight w:val="none"/>
                      <w:lang w:val="en-US" w:eastAsia="zh-CN"/>
                    </w:rPr>
                    <w:t xml:space="preserve"> 用于城市绿化时，不应超过2.5mg/L；</w:t>
                  </w:r>
                </w:p>
                <w:p w14:paraId="58973CE9">
                  <w:pPr>
                    <w:keepNext w:val="0"/>
                    <w:keepLines w:val="0"/>
                    <w:pageBreakBefore w:val="0"/>
                    <w:suppressLineNumbers w:val="0"/>
                    <w:kinsoku/>
                    <w:wordWrap/>
                    <w:bidi w:val="0"/>
                    <w:adjustRightInd/>
                    <w:snapToGrid/>
                    <w:spacing w:before="0" w:beforeAutospacing="0" w:after="0" w:afterAutospacing="0"/>
                    <w:ind w:left="0" w:leftChars="0" w:right="0" w:rightChars="0"/>
                    <w:jc w:val="left"/>
                    <w:rPr>
                      <w:rFonts w:hint="default"/>
                      <w:caps w:val="0"/>
                      <w:color w:val="auto"/>
                      <w:szCs w:val="21"/>
                      <w:highlight w:val="none"/>
                      <w:lang w:val="en-US" w:eastAsia="zh-CN"/>
                    </w:rPr>
                  </w:pPr>
                  <w:r>
                    <w:rPr>
                      <w:rFonts w:hint="eastAsia"/>
                      <w:color w:val="auto"/>
                      <w:szCs w:val="21"/>
                      <w:highlight w:val="none"/>
                      <w:vertAlign w:val="superscript"/>
                      <w:lang w:val="en-US" w:eastAsia="zh-CN"/>
                    </w:rPr>
                    <w:t>c</w:t>
                  </w:r>
                  <w:r>
                    <w:rPr>
                      <w:rFonts w:hint="eastAsia"/>
                      <w:caps w:val="0"/>
                      <w:color w:val="auto"/>
                      <w:szCs w:val="21"/>
                      <w:highlight w:val="none"/>
                      <w:lang w:val="en-US" w:eastAsia="zh-CN"/>
                    </w:rPr>
                    <w:t xml:space="preserve"> 大肠</w:t>
                  </w:r>
                  <w:r>
                    <w:rPr>
                      <w:rFonts w:hint="default" w:ascii="Times New Roman" w:hAnsi="Times New Roman" w:eastAsia="宋体"/>
                      <w:caps w:val="0"/>
                      <w:color w:val="auto"/>
                      <w:szCs w:val="21"/>
                      <w:highlight w:val="none"/>
                      <w:lang w:val="en-US" w:eastAsia="zh-CN"/>
                    </w:rPr>
                    <w:t>埃希氏菌</w:t>
                  </w:r>
                  <w:r>
                    <w:rPr>
                      <w:rFonts w:hint="eastAsia"/>
                      <w:caps w:val="0"/>
                      <w:color w:val="auto"/>
                      <w:szCs w:val="21"/>
                      <w:highlight w:val="none"/>
                      <w:lang w:val="en-US" w:eastAsia="zh-CN"/>
                    </w:rPr>
                    <w:t>不应检出。</w:t>
                  </w:r>
                </w:p>
              </w:tc>
            </w:tr>
          </w:tbl>
          <w:p w14:paraId="391C34BD">
            <w:pPr>
              <w:keepNext w:val="0"/>
              <w:keepLines w:val="0"/>
              <w:widowControl/>
              <w:suppressLineNumbers w:val="0"/>
              <w:autoSpaceDE w:val="0"/>
              <w:autoSpaceDN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rPr>
              <w:t>（</w:t>
            </w:r>
            <w:r>
              <w:rPr>
                <w:rFonts w:hint="eastAsia" w:cs="Times New Roman"/>
                <w:color w:val="auto"/>
                <w:kern w:val="0"/>
                <w:sz w:val="24"/>
                <w:szCs w:val="24"/>
                <w:lang w:val="en-US" w:eastAsia="zh-CN"/>
              </w:rPr>
              <w:t>3</w:t>
            </w:r>
            <w:r>
              <w:rPr>
                <w:rFonts w:hint="eastAsia" w:ascii="Times New Roman" w:hAnsi="Times New Roman" w:cs="Times New Roman"/>
                <w:color w:val="auto"/>
                <w:kern w:val="0"/>
                <w:sz w:val="24"/>
                <w:szCs w:val="24"/>
              </w:rPr>
              <w:t>）噪声</w:t>
            </w:r>
          </w:p>
          <w:p w14:paraId="0D32493B">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auto"/>
                <w:sz w:val="24"/>
                <w:szCs w:val="24"/>
                <w:lang w:eastAsia="zh-CN"/>
              </w:rPr>
            </w:pPr>
            <w:r>
              <w:rPr>
                <w:rFonts w:hint="eastAsia" w:cs="Times New Roman"/>
                <w:color w:val="auto"/>
                <w:sz w:val="24"/>
                <w:szCs w:val="24"/>
                <w:lang w:val="en-US" w:eastAsia="zh-CN"/>
              </w:rPr>
              <w:t>施工期</w:t>
            </w:r>
            <w:r>
              <w:rPr>
                <w:rFonts w:hint="default" w:ascii="Times New Roman" w:hAnsi="Times New Roman" w:cs="Times New Roman"/>
                <w:color w:val="auto"/>
                <w:sz w:val="24"/>
                <w:szCs w:val="24"/>
              </w:rPr>
              <w:t>噪声执行</w:t>
            </w:r>
            <w:r>
              <w:rPr>
                <w:rFonts w:hint="default" w:ascii="Times New Roman" w:hAnsi="Times New Roman" w:eastAsia="宋体" w:cs="Times New Roman"/>
                <w:caps w:val="0"/>
                <w:color w:val="auto"/>
                <w:sz w:val="24"/>
                <w:highlight w:val="none"/>
              </w:rPr>
              <w:t>《</w:t>
            </w:r>
            <w:r>
              <w:rPr>
                <w:rFonts w:hint="default" w:ascii="Times New Roman" w:hAnsi="Times New Roman" w:eastAsia="宋体"/>
                <w:caps w:val="0"/>
                <w:color w:val="auto"/>
                <w:sz w:val="24"/>
                <w:highlight w:val="none"/>
              </w:rPr>
              <w:t>建筑施工噪声排放标准》（GB</w:t>
            </w:r>
            <w:r>
              <w:rPr>
                <w:rFonts w:hint="eastAsia" w:ascii="Times New Roman" w:hAnsi="Times New Roman" w:eastAsia="宋体"/>
                <w:caps w:val="0"/>
                <w:color w:val="auto"/>
                <w:sz w:val="24"/>
                <w:highlight w:val="none"/>
                <w:lang w:val="en-US" w:eastAsia="zh-CN"/>
              </w:rPr>
              <w:t xml:space="preserve"> </w:t>
            </w:r>
            <w:r>
              <w:rPr>
                <w:rFonts w:hint="default" w:ascii="Times New Roman" w:hAnsi="Times New Roman" w:eastAsia="宋体"/>
                <w:caps w:val="0"/>
                <w:color w:val="auto"/>
                <w:sz w:val="24"/>
                <w:highlight w:val="none"/>
              </w:rPr>
              <w:t>12523-20</w:t>
            </w:r>
            <w:r>
              <w:rPr>
                <w:rFonts w:hint="eastAsia" w:eastAsia="宋体"/>
                <w:sz w:val="24"/>
                <w:lang w:val="en-US" w:eastAsia="zh-CN"/>
              </w:rPr>
              <w:t>25</w:t>
            </w:r>
            <w:r>
              <w:rPr>
                <w:rFonts w:hint="default" w:ascii="Times New Roman" w:hAnsi="Times New Roman" w:eastAsia="宋体"/>
                <w:caps w:val="0"/>
                <w:color w:val="auto"/>
                <w:sz w:val="24"/>
                <w:highlight w:val="none"/>
              </w:rPr>
              <w:t>）</w:t>
            </w:r>
            <w:r>
              <w:rPr>
                <w:rFonts w:hint="eastAsia" w:cs="Times New Roman"/>
                <w:color w:val="auto"/>
                <w:sz w:val="24"/>
                <w:szCs w:val="24"/>
                <w:lang w:val="en-US" w:eastAsia="zh-CN"/>
              </w:rPr>
              <w:t>相关要求</w:t>
            </w:r>
            <w:r>
              <w:rPr>
                <w:rFonts w:hint="default" w:ascii="Times New Roman" w:hAnsi="Times New Roman" w:cs="Times New Roman"/>
                <w:color w:val="auto"/>
                <w:sz w:val="24"/>
                <w:szCs w:val="24"/>
              </w:rPr>
              <w:t>。</w:t>
            </w:r>
          </w:p>
          <w:p w14:paraId="67D7C5FE">
            <w:pPr>
              <w:pStyle w:val="76"/>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3-</w:t>
            </w:r>
            <w:r>
              <w:rPr>
                <w:rFonts w:hint="eastAsia" w:ascii="Times New Roman" w:cs="Times New Roman"/>
                <w:b/>
                <w:bCs/>
                <w:color w:val="auto"/>
                <w:sz w:val="21"/>
                <w:szCs w:val="21"/>
                <w:lang w:val="en-US" w:eastAsia="zh-CN"/>
              </w:rPr>
              <w:t>12</w:t>
            </w:r>
            <w:r>
              <w:rPr>
                <w:rFonts w:hint="default" w:ascii="Times New Roman" w:hAnsi="Times New Roman" w:cs="Times New Roman"/>
                <w:b/>
                <w:bCs/>
                <w:color w:val="auto"/>
                <w:sz w:val="21"/>
                <w:szCs w:val="21"/>
              </w:rPr>
              <w:t xml:space="preserve">   环境噪声排放标准</w:t>
            </w:r>
          </w:p>
          <w:tbl>
            <w:tblPr>
              <w:tblStyle w:val="27"/>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2009"/>
              <w:gridCol w:w="2009"/>
              <w:gridCol w:w="2010"/>
            </w:tblGrid>
            <w:tr w14:paraId="3C1F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9" w:type="dxa"/>
                  <w:vMerge w:val="restart"/>
                  <w:noWrap w:val="0"/>
                  <w:vAlign w:val="center"/>
                </w:tcPr>
                <w:p w14:paraId="794746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排放阶段</w:t>
                  </w:r>
                </w:p>
              </w:tc>
              <w:tc>
                <w:tcPr>
                  <w:tcW w:w="4018" w:type="dxa"/>
                  <w:gridSpan w:val="2"/>
                  <w:noWrap w:val="0"/>
                  <w:vAlign w:val="center"/>
                </w:tcPr>
                <w:p w14:paraId="09B2D5AC">
                  <w:pPr>
                    <w:pStyle w:val="4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sz w:val="21"/>
                      <w:szCs w:val="21"/>
                      <w:vertAlign w:val="baseline"/>
                      <w:lang w:eastAsia="zh-CN"/>
                    </w:rPr>
                  </w:pPr>
                  <w:r>
                    <w:rPr>
                      <w:rFonts w:hint="default" w:ascii="Times New Roman" w:hAnsi="Times New Roman" w:cs="Times New Roman"/>
                      <w:b w:val="0"/>
                      <w:bCs w:val="0"/>
                      <w:color w:val="auto"/>
                      <w:sz w:val="21"/>
                      <w:szCs w:val="21"/>
                    </w:rPr>
                    <w:t>标准值</w:t>
                  </w:r>
                  <w:r>
                    <w:rPr>
                      <w:rFonts w:hint="default" w:ascii="Times New Roman" w:hAnsi="Times New Roman" w:cs="Times New Roman"/>
                      <w:b w:val="0"/>
                      <w:bCs w:val="0"/>
                      <w:color w:val="auto"/>
                      <w:sz w:val="21"/>
                      <w:szCs w:val="21"/>
                      <w:lang w:eastAsia="zh-CN"/>
                    </w:rPr>
                    <w:t>（</w:t>
                  </w:r>
                  <w:r>
                    <w:rPr>
                      <w:rFonts w:hint="default" w:ascii="Times New Roman" w:hAnsi="Times New Roman" w:cs="Times New Roman"/>
                      <w:b w:val="0"/>
                      <w:bCs w:val="0"/>
                      <w:color w:val="auto"/>
                    </w:rPr>
                    <w:t>dB（A）</w:t>
                  </w:r>
                  <w:r>
                    <w:rPr>
                      <w:rFonts w:hint="default" w:ascii="Times New Roman" w:hAnsi="Times New Roman" w:cs="Times New Roman"/>
                      <w:b w:val="0"/>
                      <w:bCs w:val="0"/>
                      <w:color w:val="auto"/>
                      <w:sz w:val="21"/>
                      <w:szCs w:val="21"/>
                      <w:lang w:eastAsia="zh-CN"/>
                    </w:rPr>
                    <w:t>）</w:t>
                  </w:r>
                </w:p>
              </w:tc>
              <w:tc>
                <w:tcPr>
                  <w:tcW w:w="2010" w:type="dxa"/>
                  <w:vMerge w:val="restart"/>
                  <w:tcBorders>
                    <w:right w:val="nil"/>
                  </w:tcBorders>
                  <w:noWrap w:val="0"/>
                  <w:vAlign w:val="center"/>
                </w:tcPr>
                <w:p w14:paraId="34B314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baseline"/>
                      <w:lang w:eastAsia="zh-CN"/>
                    </w:rPr>
                  </w:pPr>
                  <w:r>
                    <w:rPr>
                      <w:rFonts w:hint="default" w:ascii="Times New Roman" w:hAnsi="Times New Roman" w:cs="Times New Roman"/>
                      <w:b w:val="0"/>
                      <w:bCs w:val="0"/>
                      <w:color w:val="auto"/>
                      <w:sz w:val="21"/>
                      <w:szCs w:val="21"/>
                    </w:rPr>
                    <w:t>标准来源</w:t>
                  </w:r>
                </w:p>
              </w:tc>
            </w:tr>
            <w:tr w14:paraId="3C91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09" w:type="dxa"/>
                  <w:vMerge w:val="continue"/>
                  <w:tcBorders>
                    <w:left w:val="nil"/>
                  </w:tcBorders>
                  <w:noWrap w:val="0"/>
                  <w:vAlign w:val="center"/>
                </w:tcPr>
                <w:p w14:paraId="4F2844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eastAsia="zh-CN"/>
                    </w:rPr>
                  </w:pPr>
                </w:p>
              </w:tc>
              <w:tc>
                <w:tcPr>
                  <w:tcW w:w="2009" w:type="dxa"/>
                  <w:noWrap w:val="0"/>
                  <w:vAlign w:val="center"/>
                </w:tcPr>
                <w:p w14:paraId="42FB1A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eastAsia="zh-CN"/>
                    </w:rPr>
                  </w:pPr>
                  <w:r>
                    <w:rPr>
                      <w:rFonts w:hint="default" w:ascii="Times New Roman" w:hAnsi="Times New Roman" w:cs="Times New Roman"/>
                      <w:b w:val="0"/>
                      <w:bCs w:val="0"/>
                      <w:color w:val="auto"/>
                      <w:sz w:val="21"/>
                      <w:szCs w:val="21"/>
                    </w:rPr>
                    <w:t>昼间</w:t>
                  </w:r>
                </w:p>
              </w:tc>
              <w:tc>
                <w:tcPr>
                  <w:tcW w:w="2009" w:type="dxa"/>
                  <w:noWrap w:val="0"/>
                  <w:vAlign w:val="center"/>
                </w:tcPr>
                <w:p w14:paraId="64E9CD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eastAsia="zh-CN"/>
                    </w:rPr>
                  </w:pPr>
                  <w:r>
                    <w:rPr>
                      <w:rFonts w:hint="default" w:ascii="Times New Roman" w:hAnsi="Times New Roman" w:cs="Times New Roman"/>
                      <w:b w:val="0"/>
                      <w:bCs w:val="0"/>
                      <w:color w:val="auto"/>
                      <w:sz w:val="21"/>
                      <w:szCs w:val="21"/>
                    </w:rPr>
                    <w:t>夜间</w:t>
                  </w:r>
                </w:p>
              </w:tc>
              <w:tc>
                <w:tcPr>
                  <w:tcW w:w="2010" w:type="dxa"/>
                  <w:vMerge w:val="continue"/>
                  <w:tcBorders>
                    <w:right w:val="nil"/>
                  </w:tcBorders>
                  <w:noWrap w:val="0"/>
                  <w:vAlign w:val="center"/>
                </w:tcPr>
                <w:p w14:paraId="1BA49F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baseline"/>
                      <w:lang w:eastAsia="zh-CN"/>
                    </w:rPr>
                  </w:pPr>
                </w:p>
              </w:tc>
            </w:tr>
            <w:tr w14:paraId="053D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2009" w:type="dxa"/>
                  <w:tcBorders>
                    <w:left w:val="nil"/>
                  </w:tcBorders>
                  <w:noWrap w:val="0"/>
                  <w:vAlign w:val="center"/>
                </w:tcPr>
                <w:p w14:paraId="199509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baseline"/>
                      <w:lang w:eastAsia="zh-CN"/>
                    </w:rPr>
                  </w:pPr>
                  <w:r>
                    <w:rPr>
                      <w:rFonts w:hint="default" w:ascii="Times New Roman" w:hAnsi="Times New Roman" w:cs="Times New Roman"/>
                      <w:color w:val="auto"/>
                      <w:sz w:val="21"/>
                      <w:szCs w:val="21"/>
                    </w:rPr>
                    <w:t>施工期</w:t>
                  </w:r>
                </w:p>
              </w:tc>
              <w:tc>
                <w:tcPr>
                  <w:tcW w:w="2009" w:type="dxa"/>
                  <w:noWrap w:val="0"/>
                  <w:vAlign w:val="center"/>
                </w:tcPr>
                <w:p w14:paraId="367648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baseline"/>
                      <w:lang w:eastAsia="zh-CN"/>
                    </w:rPr>
                  </w:pPr>
                  <w:r>
                    <w:rPr>
                      <w:rFonts w:hint="default" w:ascii="Times New Roman" w:hAnsi="Times New Roman" w:cs="Times New Roman"/>
                      <w:color w:val="auto"/>
                      <w:sz w:val="21"/>
                      <w:szCs w:val="21"/>
                    </w:rPr>
                    <w:t>70</w:t>
                  </w:r>
                </w:p>
              </w:tc>
              <w:tc>
                <w:tcPr>
                  <w:tcW w:w="2009" w:type="dxa"/>
                  <w:noWrap w:val="0"/>
                  <w:vAlign w:val="center"/>
                </w:tcPr>
                <w:p w14:paraId="048926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baseline"/>
                      <w:lang w:eastAsia="zh-CN"/>
                    </w:rPr>
                  </w:pPr>
                  <w:r>
                    <w:rPr>
                      <w:rFonts w:hint="default" w:ascii="Times New Roman" w:hAnsi="Times New Roman" w:cs="Times New Roman"/>
                      <w:color w:val="auto"/>
                      <w:sz w:val="21"/>
                      <w:szCs w:val="21"/>
                    </w:rPr>
                    <w:t>55</w:t>
                  </w:r>
                </w:p>
              </w:tc>
              <w:tc>
                <w:tcPr>
                  <w:tcW w:w="2010" w:type="dxa"/>
                  <w:tcBorders>
                    <w:right w:val="nil"/>
                  </w:tcBorders>
                  <w:noWrap w:val="0"/>
                  <w:vAlign w:val="center"/>
                </w:tcPr>
                <w:p w14:paraId="003499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rPr>
                    <w:t>GB12523-201</w:t>
                  </w:r>
                  <w:r>
                    <w:rPr>
                      <w:rFonts w:hint="eastAsia" w:cs="Times New Roman"/>
                      <w:color w:val="auto"/>
                      <w:sz w:val="21"/>
                      <w:szCs w:val="21"/>
                      <w:lang w:val="en-US" w:eastAsia="zh-CN"/>
                    </w:rPr>
                    <w:t>25</w:t>
                  </w:r>
                </w:p>
              </w:tc>
            </w:tr>
          </w:tbl>
          <w:p w14:paraId="310E825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r>
              <w:rPr>
                <w:rFonts w:hint="eastAsia" w:cs="Times New Roman"/>
                <w:color w:val="auto"/>
                <w:sz w:val="24"/>
                <w:szCs w:val="24"/>
                <w:lang w:val="en-US" w:eastAsia="zh-CN"/>
              </w:rPr>
              <w:t>4</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rPr>
              <w:t>固体废物</w:t>
            </w:r>
          </w:p>
          <w:p w14:paraId="2FD45A14">
            <w:pPr>
              <w:pStyle w:val="22"/>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cs="Times New Roman"/>
                <w:color w:val="auto"/>
                <w:spacing w:val="-4"/>
                <w:sz w:val="24"/>
                <w:szCs w:val="24"/>
                <w:highlight w:val="none"/>
                <w:lang w:val="en-US" w:eastAsia="zh-CN"/>
              </w:rPr>
            </w:pPr>
            <w:r>
              <w:rPr>
                <w:rFonts w:hint="default" w:ascii="Times New Roman" w:hAnsi="Times New Roman" w:eastAsia="宋体"/>
                <w:caps w:val="0"/>
                <w:color w:val="auto"/>
                <w:sz w:val="24"/>
                <w:highlight w:val="none"/>
              </w:rPr>
              <w:t>一般固体废物</w:t>
            </w:r>
            <w:r>
              <w:rPr>
                <w:rFonts w:hint="eastAsia" w:cs="Times New Roman"/>
                <w:color w:val="auto"/>
                <w:spacing w:val="-4"/>
                <w:sz w:val="24"/>
                <w:szCs w:val="24"/>
                <w:highlight w:val="none"/>
                <w:lang w:val="en-US" w:eastAsia="zh-CN"/>
              </w:rPr>
              <w:t>贮存过程应满足相应防渗漏、防雨淋、防扬尘等环境保护要求。</w:t>
            </w:r>
          </w:p>
          <w:p w14:paraId="51C6613A">
            <w:pPr>
              <w:pStyle w:val="22"/>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64" w:firstLineChars="200"/>
              <w:jc w:val="left"/>
              <w:textAlignment w:val="auto"/>
              <w:rPr>
                <w:rFonts w:hint="eastAsia" w:cs="Times New Roman"/>
                <w:color w:val="auto"/>
                <w:spacing w:val="-4"/>
                <w:sz w:val="24"/>
                <w:szCs w:val="24"/>
                <w:highlight w:val="none"/>
                <w:lang w:val="en-US" w:eastAsia="zh-CN"/>
              </w:rPr>
            </w:pPr>
          </w:p>
          <w:p w14:paraId="0F1BAFAF">
            <w:pPr>
              <w:pStyle w:val="22"/>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64" w:firstLineChars="200"/>
              <w:jc w:val="left"/>
              <w:textAlignment w:val="auto"/>
              <w:rPr>
                <w:rFonts w:hint="eastAsia" w:cs="Times New Roman"/>
                <w:color w:val="auto"/>
                <w:spacing w:val="-4"/>
                <w:sz w:val="24"/>
                <w:szCs w:val="24"/>
                <w:highlight w:val="none"/>
                <w:lang w:val="en-US" w:eastAsia="zh-CN"/>
              </w:rPr>
            </w:pPr>
          </w:p>
          <w:p w14:paraId="1473A075">
            <w:pPr>
              <w:pStyle w:val="22"/>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64" w:firstLineChars="200"/>
              <w:jc w:val="left"/>
              <w:textAlignment w:val="auto"/>
              <w:rPr>
                <w:rFonts w:hint="eastAsia" w:cs="Times New Roman"/>
                <w:color w:val="auto"/>
                <w:spacing w:val="-4"/>
                <w:sz w:val="24"/>
                <w:szCs w:val="24"/>
                <w:highlight w:val="none"/>
                <w:lang w:val="en-US" w:eastAsia="zh-CN"/>
              </w:rPr>
            </w:pPr>
          </w:p>
          <w:p w14:paraId="17C040F9">
            <w:pPr>
              <w:pStyle w:val="22"/>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64" w:firstLineChars="200"/>
              <w:jc w:val="left"/>
              <w:textAlignment w:val="auto"/>
              <w:rPr>
                <w:rFonts w:hint="eastAsia" w:cs="Times New Roman"/>
                <w:color w:val="auto"/>
                <w:spacing w:val="-4"/>
                <w:sz w:val="24"/>
                <w:szCs w:val="24"/>
                <w:highlight w:val="none"/>
                <w:lang w:val="en-US" w:eastAsia="zh-CN"/>
              </w:rPr>
            </w:pPr>
          </w:p>
          <w:p w14:paraId="51D4F7B4">
            <w:pPr>
              <w:pStyle w:val="22"/>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64" w:firstLineChars="200"/>
              <w:jc w:val="left"/>
              <w:textAlignment w:val="auto"/>
              <w:rPr>
                <w:rFonts w:hint="eastAsia" w:cs="Times New Roman"/>
                <w:color w:val="auto"/>
                <w:spacing w:val="-4"/>
                <w:sz w:val="24"/>
                <w:szCs w:val="24"/>
                <w:highlight w:val="none"/>
                <w:lang w:val="en-US" w:eastAsia="zh-CN"/>
              </w:rPr>
            </w:pPr>
          </w:p>
          <w:p w14:paraId="7ABA402D">
            <w:pPr>
              <w:pStyle w:val="22"/>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64" w:firstLineChars="200"/>
              <w:jc w:val="left"/>
              <w:textAlignment w:val="auto"/>
              <w:rPr>
                <w:rFonts w:hint="eastAsia" w:cs="Times New Roman"/>
                <w:color w:val="auto"/>
                <w:spacing w:val="-4"/>
                <w:sz w:val="24"/>
                <w:szCs w:val="24"/>
                <w:highlight w:val="none"/>
                <w:lang w:val="en-US" w:eastAsia="zh-CN"/>
              </w:rPr>
            </w:pPr>
          </w:p>
          <w:p w14:paraId="08120108">
            <w:pPr>
              <w:pStyle w:val="22"/>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64" w:firstLineChars="200"/>
              <w:jc w:val="left"/>
              <w:textAlignment w:val="auto"/>
              <w:rPr>
                <w:rFonts w:hint="eastAsia" w:cs="Times New Roman"/>
                <w:color w:val="auto"/>
                <w:spacing w:val="-4"/>
                <w:sz w:val="24"/>
                <w:szCs w:val="24"/>
                <w:highlight w:val="none"/>
                <w:lang w:val="en-US" w:eastAsia="zh-CN"/>
              </w:rPr>
            </w:pPr>
          </w:p>
          <w:p w14:paraId="36E37944">
            <w:pPr>
              <w:pStyle w:val="22"/>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64" w:firstLineChars="200"/>
              <w:jc w:val="left"/>
              <w:textAlignment w:val="auto"/>
              <w:rPr>
                <w:rFonts w:hint="eastAsia" w:cs="Times New Roman"/>
                <w:color w:val="auto"/>
                <w:spacing w:val="-4"/>
                <w:sz w:val="24"/>
                <w:szCs w:val="24"/>
                <w:highlight w:val="none"/>
                <w:lang w:val="en-US" w:eastAsia="zh-CN"/>
              </w:rPr>
            </w:pPr>
          </w:p>
        </w:tc>
      </w:tr>
      <w:tr w14:paraId="4590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vAlign w:val="center"/>
          </w:tcPr>
          <w:p w14:paraId="4FEA33D6">
            <w:pPr>
              <w:keepNext w:val="0"/>
              <w:keepLines w:val="0"/>
              <w:suppressLineNumbers w:val="0"/>
              <w:adjustRightInd w:val="0"/>
              <w:snapToGrid w:val="0"/>
              <w:spacing w:before="0" w:beforeAutospacing="0" w:after="0" w:afterAutospacing="0"/>
              <w:ind w:left="0" w:leftChars="0" w:right="0" w:rightChars="0"/>
              <w:jc w:val="center"/>
              <w:rPr>
                <w:rFonts w:hint="eastAsia" w:ascii="黑体" w:hAnsi="黑体" w:eastAsia="黑体"/>
                <w:snapToGrid w:val="0"/>
                <w:color w:val="auto"/>
                <w:sz w:val="30"/>
                <w:szCs w:val="30"/>
                <w:vertAlign w:val="baseline"/>
              </w:rPr>
            </w:pPr>
            <w:r>
              <w:rPr>
                <w:rFonts w:hint="eastAsia" w:ascii="Times New Roman" w:hAnsi="Times New Roman" w:cs="宋体"/>
                <w:b/>
                <w:bCs/>
                <w:color w:val="auto"/>
                <w:kern w:val="0"/>
                <w:sz w:val="24"/>
                <w:szCs w:val="24"/>
              </w:rPr>
              <w:t>其他</w:t>
            </w:r>
          </w:p>
        </w:tc>
        <w:tc>
          <w:tcPr>
            <w:tcW w:w="8167" w:type="dxa"/>
            <w:vAlign w:val="center"/>
          </w:tcPr>
          <w:p w14:paraId="7B330780">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0"/>
                <w:sz w:val="24"/>
                <w:szCs w:val="24"/>
                <w:lang w:val="en-US" w:eastAsia="zh-CN" w:bidi="ar"/>
              </w:rPr>
            </w:pPr>
          </w:p>
          <w:p w14:paraId="3EA1CA54">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0"/>
                <w:sz w:val="24"/>
                <w:szCs w:val="24"/>
                <w:lang w:val="en-US" w:eastAsia="zh-CN" w:bidi="ar"/>
              </w:rPr>
            </w:pPr>
          </w:p>
          <w:p w14:paraId="591B7524">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0"/>
                <w:sz w:val="24"/>
                <w:szCs w:val="24"/>
                <w:lang w:val="en-US" w:eastAsia="zh-CN" w:bidi="ar"/>
              </w:rPr>
            </w:pPr>
          </w:p>
          <w:p w14:paraId="35CD7C77">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本项目属于矿山生态环境恢复治理项目，运营期无</w:t>
            </w:r>
            <w:r>
              <w:rPr>
                <w:rFonts w:hint="eastAsia"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三废</w:t>
            </w:r>
            <w:r>
              <w:rPr>
                <w:rFonts w:hint="eastAsia"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排放，因此本项目不涉及总量控制问题，故无需申请总量指标。</w:t>
            </w:r>
          </w:p>
          <w:p w14:paraId="46900595">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0"/>
                <w:sz w:val="24"/>
                <w:szCs w:val="24"/>
                <w:lang w:val="en-US" w:eastAsia="zh-CN" w:bidi="ar"/>
              </w:rPr>
            </w:pPr>
          </w:p>
          <w:p w14:paraId="12D56FAB">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0"/>
                <w:sz w:val="24"/>
                <w:szCs w:val="24"/>
                <w:lang w:val="en-US" w:eastAsia="zh-CN" w:bidi="ar"/>
              </w:rPr>
            </w:pPr>
          </w:p>
          <w:p w14:paraId="405DC321">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0"/>
                <w:sz w:val="24"/>
                <w:szCs w:val="24"/>
                <w:lang w:val="en-US" w:eastAsia="zh-CN" w:bidi="ar"/>
              </w:rPr>
            </w:pPr>
          </w:p>
          <w:p w14:paraId="5FB55151">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0"/>
                <w:sz w:val="24"/>
                <w:szCs w:val="24"/>
                <w:lang w:val="en-US" w:eastAsia="zh-CN" w:bidi="ar"/>
              </w:rPr>
            </w:pPr>
          </w:p>
          <w:p w14:paraId="0A4E4AA0">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0"/>
                <w:sz w:val="24"/>
                <w:szCs w:val="24"/>
                <w:lang w:val="en-US" w:eastAsia="zh-CN" w:bidi="ar"/>
              </w:rPr>
            </w:pPr>
          </w:p>
        </w:tc>
      </w:tr>
    </w:tbl>
    <w:p w14:paraId="45DF3B60">
      <w:pPr>
        <w:rPr>
          <w:rFonts w:hint="eastAsia" w:ascii="黑体" w:hAnsi="黑体" w:eastAsia="黑体"/>
          <w:snapToGrid w:val="0"/>
          <w:color w:val="auto"/>
          <w:sz w:val="30"/>
          <w:szCs w:val="30"/>
        </w:rPr>
      </w:pPr>
      <w:bookmarkStart w:id="6" w:name="_Toc18808"/>
      <w:r>
        <w:rPr>
          <w:rFonts w:hint="eastAsia" w:ascii="黑体" w:hAnsi="黑体" w:eastAsia="黑体"/>
          <w:snapToGrid w:val="0"/>
          <w:color w:val="auto"/>
          <w:sz w:val="30"/>
          <w:szCs w:val="30"/>
        </w:rPr>
        <w:br w:type="page"/>
      </w:r>
    </w:p>
    <w:p w14:paraId="32ACF9C2">
      <w:pPr>
        <w:pStyle w:val="23"/>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四、生态环境影响分析</w:t>
      </w:r>
      <w:bookmarkEnd w:id="6"/>
    </w:p>
    <w:tbl>
      <w:tblPr>
        <w:tblStyle w:val="26"/>
        <w:tblW w:w="521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3"/>
        <w:gridCol w:w="8390"/>
      </w:tblGrid>
      <w:tr w14:paraId="0EBCF8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74" w:hRule="atLeast"/>
          <w:jc w:val="center"/>
        </w:trPr>
        <w:tc>
          <w:tcPr>
            <w:tcW w:w="524" w:type="pct"/>
            <w:noWrap w:val="0"/>
            <w:tcMar>
              <w:left w:w="28" w:type="dxa"/>
              <w:right w:w="28" w:type="dxa"/>
            </w:tcMar>
            <w:vAlign w:val="center"/>
          </w:tcPr>
          <w:p w14:paraId="7C147DA0">
            <w:pPr>
              <w:pStyle w:val="23"/>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val="0"/>
                <w:color w:val="auto"/>
                <w:kern w:val="2"/>
                <w:sz w:val="21"/>
                <w:szCs w:val="21"/>
              </w:rPr>
            </w:pPr>
            <w:bookmarkStart w:id="7" w:name="_Hlk49796138"/>
            <w:r>
              <w:rPr>
                <w:rFonts w:hint="eastAsia" w:ascii="Times New Roman" w:hAnsi="Times New Roman" w:cs="宋体"/>
                <w:b/>
                <w:bCs w:val="0"/>
                <w:color w:val="auto"/>
                <w:spacing w:val="10"/>
                <w:kern w:val="2"/>
                <w:sz w:val="24"/>
                <w:szCs w:val="24"/>
              </w:rPr>
              <w:t>施工期生态环境影响分析</w:t>
            </w:r>
            <w:bookmarkEnd w:id="7"/>
          </w:p>
        </w:tc>
        <w:tc>
          <w:tcPr>
            <w:tcW w:w="4475" w:type="pct"/>
            <w:noWrap w:val="0"/>
            <w:vAlign w:val="top"/>
          </w:tcPr>
          <w:p w14:paraId="05E6D732">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0" w:firstLineChars="200"/>
              <w:jc w:val="left"/>
              <w:textAlignment w:val="auto"/>
              <w:rPr>
                <w:rFonts w:hint="default"/>
              </w:rPr>
            </w:pPr>
            <w:r>
              <w:rPr>
                <w:rFonts w:hint="eastAsia" w:ascii="宋体" w:hAnsi="宋体" w:eastAsia="宋体" w:cs="宋体"/>
                <w:color w:val="000000"/>
                <w:kern w:val="0"/>
                <w:sz w:val="24"/>
                <w:szCs w:val="24"/>
                <w:lang w:val="en-US" w:eastAsia="zh-CN" w:bidi="ar"/>
              </w:rPr>
              <w:t>煤田煤层自燃会严重污染环境，燃烧的煤炭不仅会排放出二氧化碳等大量温室气体，还会向空气中释放有害化学物质，如一氧化碳、硫化物、氮氧化物及烟尘等。这些物质不仅会危害人类健康，还会造成呼吸系统疾病等，排出的硫化物和氮氧化物等还会形成酸雨，进而破坏生态环境，污染水源和土壤。故煤田灭火工程本身就是一项环保工程，其主要目的是保护资源和环境。但是在施工过程中会产生一定的环境污染，因此项目主要进行施工期的环境影响分析，火区灭火工艺包括剥离、注水、钻探、注浆、覆盖等。</w:t>
            </w:r>
          </w:p>
          <w:p w14:paraId="0C485273">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rPr>
            </w:pPr>
            <w:r>
              <w:rPr>
                <w:rFonts w:hint="eastAsia" w:cs="Times New Roman"/>
                <w:b/>
                <w:bCs/>
                <w:color w:val="auto"/>
                <w:sz w:val="24"/>
                <w:lang w:val="en-US" w:eastAsia="zh-CN"/>
              </w:rPr>
              <w:t>1、施工期</w:t>
            </w:r>
            <w:r>
              <w:rPr>
                <w:rFonts w:hint="eastAsia" w:ascii="Times New Roman" w:hAnsi="Times New Roman" w:cs="Times New Roman"/>
                <w:b/>
                <w:bCs/>
                <w:color w:val="auto"/>
                <w:sz w:val="24"/>
              </w:rPr>
              <w:t>生态环境影响分析</w:t>
            </w:r>
          </w:p>
          <w:p w14:paraId="31A103BF">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Times New Roman"/>
                <w:b/>
                <w:bCs/>
                <w:color w:val="auto"/>
                <w:kern w:val="2"/>
                <w:sz w:val="24"/>
                <w:szCs w:val="24"/>
                <w:lang w:val="en-US" w:eastAsia="zh-CN" w:bidi="ar-SA"/>
              </w:rPr>
            </w:pPr>
            <w:bookmarkStart w:id="8" w:name="_Toc259130535"/>
            <w:bookmarkEnd w:id="8"/>
            <w:bookmarkStart w:id="9" w:name="_Toc259104260"/>
            <w:bookmarkEnd w:id="9"/>
            <w:bookmarkStart w:id="10" w:name="_Toc277495857"/>
            <w:bookmarkEnd w:id="10"/>
            <w:bookmarkStart w:id="11" w:name="_Toc466979102"/>
            <w:bookmarkEnd w:id="11"/>
            <w:bookmarkStart w:id="12" w:name="_Toc300245096"/>
            <w:bookmarkEnd w:id="12"/>
            <w:bookmarkStart w:id="13" w:name="_Toc259104940"/>
            <w:bookmarkEnd w:id="13"/>
            <w:bookmarkStart w:id="14" w:name="_Toc259129168"/>
            <w:bookmarkEnd w:id="14"/>
            <w:bookmarkStart w:id="15" w:name="_Toc467086561"/>
            <w:r>
              <w:rPr>
                <w:rFonts w:hint="eastAsia" w:ascii="Times New Roman" w:hAnsi="Times New Roman" w:cs="Times New Roman"/>
                <w:b/>
                <w:bCs/>
                <w:color w:val="auto"/>
                <w:kern w:val="2"/>
                <w:sz w:val="24"/>
                <w:szCs w:val="24"/>
                <w:lang w:val="en-US" w:eastAsia="zh-CN" w:bidi="ar-SA"/>
              </w:rPr>
              <w:t>1.1土地利用</w:t>
            </w:r>
            <w:r>
              <w:rPr>
                <w:rFonts w:hint="eastAsia" w:ascii="Times New Roman" w:hAnsi="Times New Roman" w:eastAsia="宋体" w:cs="Times New Roman"/>
                <w:b/>
                <w:bCs/>
                <w:color w:val="auto"/>
                <w:kern w:val="2"/>
                <w:sz w:val="24"/>
                <w:szCs w:val="24"/>
                <w:lang w:val="en-US" w:eastAsia="zh-CN" w:bidi="ar-SA"/>
              </w:rPr>
              <w:t>影响</w:t>
            </w:r>
            <w:r>
              <w:rPr>
                <w:rFonts w:hint="eastAsia" w:ascii="Times New Roman" w:hAnsi="Times New Roman" w:cs="Times New Roman"/>
                <w:b/>
                <w:bCs/>
                <w:color w:val="auto"/>
                <w:kern w:val="2"/>
                <w:sz w:val="24"/>
                <w:szCs w:val="24"/>
                <w:lang w:val="en-US" w:eastAsia="zh-CN" w:bidi="ar-SA"/>
              </w:rPr>
              <w:t>分析</w:t>
            </w:r>
          </w:p>
          <w:p w14:paraId="2CF7EB9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kern w:val="2"/>
                <w:sz w:val="24"/>
                <w:szCs w:val="24"/>
                <w:highlight w:val="none"/>
                <w:lang w:val="en-US" w:eastAsia="zh-CN" w:bidi="ar-SA"/>
              </w:rPr>
              <w:t>本</w:t>
            </w:r>
            <w:r>
              <w:rPr>
                <w:rFonts w:hint="eastAsia" w:ascii="Times New Roman" w:hAnsi="Times New Roman" w:cs="Times New Roman"/>
                <w:color w:val="auto"/>
                <w:kern w:val="2"/>
                <w:sz w:val="24"/>
                <w:szCs w:val="24"/>
                <w:highlight w:val="none"/>
                <w:lang w:val="en-US" w:eastAsia="zh-CN" w:bidi="ar-SA"/>
              </w:rPr>
              <w:t>项目</w:t>
            </w:r>
            <w:r>
              <w:rPr>
                <w:rFonts w:hint="default" w:ascii="Times New Roman" w:hAnsi="Times New Roman" w:eastAsia="宋体" w:cs="Times New Roman"/>
                <w:color w:val="auto"/>
                <w:kern w:val="2"/>
                <w:sz w:val="24"/>
                <w:szCs w:val="24"/>
                <w:highlight w:val="none"/>
                <w:lang w:val="en-US" w:eastAsia="zh-CN" w:bidi="ar-SA"/>
              </w:rPr>
              <w:t>占地面积</w:t>
            </w:r>
            <w:r>
              <w:rPr>
                <w:rFonts w:hint="eastAsia" w:ascii="Times New Roman" w:hAnsi="Times New Roman" w:cs="Times New Roman"/>
                <w:color w:val="auto"/>
                <w:kern w:val="2"/>
                <w:sz w:val="24"/>
                <w:szCs w:val="24"/>
                <w:highlight w:val="none"/>
                <w:lang w:val="en-US" w:eastAsia="zh-CN" w:bidi="ar-SA"/>
              </w:rPr>
              <w:t>约84194</w:t>
            </w:r>
            <w:r>
              <w:rPr>
                <w:rFonts w:hint="default" w:ascii="Times New Roman" w:hAnsi="Times New Roman" w:eastAsia="宋体" w:cs="Times New Roman"/>
                <w:color w:val="auto"/>
                <w:kern w:val="2"/>
                <w:sz w:val="24"/>
                <w:szCs w:val="24"/>
                <w:highlight w:val="none"/>
                <w:lang w:val="en-US" w:eastAsia="zh-CN" w:bidi="ar-SA"/>
              </w:rPr>
              <w:t>m</w:t>
            </w:r>
            <w:r>
              <w:rPr>
                <w:rFonts w:hint="default" w:ascii="Times New Roman" w:hAnsi="Times New Roman" w:eastAsia="宋体" w:cs="Times New Roman"/>
                <w:color w:val="auto"/>
                <w:kern w:val="2"/>
                <w:sz w:val="24"/>
                <w:szCs w:val="24"/>
                <w:highlight w:val="none"/>
                <w:vertAlign w:val="superscript"/>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，其中治理区</w:t>
            </w:r>
            <w:r>
              <w:rPr>
                <w:rFonts w:hint="eastAsia" w:ascii="Times New Roman" w:hAnsi="Times New Roman" w:cs="Times New Roman"/>
                <w:color w:val="auto"/>
                <w:kern w:val="2"/>
                <w:sz w:val="24"/>
                <w:szCs w:val="24"/>
                <w:highlight w:val="none"/>
                <w:lang w:val="en-US" w:eastAsia="zh-CN" w:bidi="ar-SA"/>
              </w:rPr>
              <w:t>约</w:t>
            </w:r>
            <w:r>
              <w:rPr>
                <w:rFonts w:hint="default" w:ascii="Times New Roman" w:hAnsi="Times New Roman" w:cs="Times New Roman"/>
                <w:color w:val="auto"/>
                <w:kern w:val="2"/>
                <w:sz w:val="24"/>
                <w:szCs w:val="24"/>
                <w:highlight w:val="none"/>
                <w:lang w:val="en-US" w:eastAsia="zh-CN" w:bidi="ar-SA"/>
              </w:rPr>
              <w:t>669</w:t>
            </w:r>
            <w:r>
              <w:rPr>
                <w:rFonts w:hint="eastAsia" w:ascii="Times New Roman" w:hAnsi="Times New Roman" w:cs="Times New Roman"/>
                <w:color w:val="auto"/>
                <w:kern w:val="2"/>
                <w:sz w:val="24"/>
                <w:szCs w:val="24"/>
                <w:highlight w:val="none"/>
                <w:lang w:val="en-US" w:eastAsia="zh-CN" w:bidi="ar-SA"/>
              </w:rPr>
              <w:t>64</w:t>
            </w:r>
            <w:r>
              <w:rPr>
                <w:rFonts w:hint="default" w:ascii="Times New Roman" w:hAnsi="Times New Roman" w:eastAsia="宋体" w:cs="Times New Roman"/>
                <w:color w:val="auto"/>
                <w:kern w:val="2"/>
                <w:sz w:val="24"/>
                <w:szCs w:val="24"/>
                <w:highlight w:val="none"/>
                <w:lang w:val="en-US" w:eastAsia="zh-CN" w:bidi="ar-SA"/>
              </w:rPr>
              <w:t>m</w:t>
            </w:r>
            <w:r>
              <w:rPr>
                <w:rFonts w:hint="default" w:ascii="Times New Roman" w:hAnsi="Times New Roman" w:eastAsia="宋体" w:cs="Times New Roman"/>
                <w:color w:val="auto"/>
                <w:kern w:val="2"/>
                <w:sz w:val="24"/>
                <w:szCs w:val="24"/>
                <w:highlight w:val="none"/>
                <w:vertAlign w:val="superscript"/>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取土场占地</w:t>
            </w:r>
            <w:r>
              <w:rPr>
                <w:rFonts w:hint="eastAsia" w:ascii="Times New Roman" w:hAnsi="Times New Roman" w:cs="Times New Roman"/>
                <w:color w:val="auto"/>
                <w:kern w:val="2"/>
                <w:sz w:val="24"/>
                <w:szCs w:val="24"/>
                <w:highlight w:val="none"/>
                <w:lang w:val="en-US" w:eastAsia="zh-CN" w:bidi="ar-SA"/>
              </w:rPr>
              <w:t>约17230</w:t>
            </w:r>
            <w:r>
              <w:rPr>
                <w:rFonts w:hint="default" w:ascii="Times New Roman" w:hAnsi="Times New Roman" w:cs="Times New Roman"/>
                <w:color w:val="auto"/>
                <w:kern w:val="2"/>
                <w:sz w:val="24"/>
                <w:szCs w:val="24"/>
                <w:highlight w:val="none"/>
                <w:lang w:val="en-US" w:eastAsia="zh-CN" w:bidi="ar-SA"/>
              </w:rPr>
              <w:t>m</w:t>
            </w:r>
            <w:r>
              <w:rPr>
                <w:rFonts w:hint="default" w:ascii="Times New Roman" w:hAnsi="Times New Roman" w:cs="Times New Roman"/>
                <w:color w:val="auto"/>
                <w:kern w:val="2"/>
                <w:sz w:val="24"/>
                <w:szCs w:val="24"/>
                <w:highlight w:val="none"/>
                <w:vertAlign w:val="superscript"/>
                <w:lang w:val="en-US" w:eastAsia="zh-CN" w:bidi="ar-SA"/>
              </w:rPr>
              <w:t>2</w:t>
            </w:r>
            <w:r>
              <w:rPr>
                <w:rFonts w:hint="default" w:ascii="Times New Roman" w:hAnsi="Times New Roman" w:cs="Times New Roman"/>
                <w:color w:val="auto"/>
                <w:kern w:val="2"/>
                <w:sz w:val="24"/>
                <w:szCs w:val="24"/>
                <w:highlight w:val="none"/>
                <w:lang w:val="en-US" w:eastAsia="zh-CN" w:bidi="ar-SA"/>
              </w:rPr>
              <w:t>，</w:t>
            </w:r>
            <w:r>
              <w:rPr>
                <w:rFonts w:hint="eastAsia" w:ascii="Times New Roman" w:hAnsi="Times New Roman" w:cs="Times New Roman"/>
                <w:color w:val="auto"/>
                <w:sz w:val="24"/>
                <w:szCs w:val="24"/>
              </w:rPr>
              <w:t>均为临时占地，无永久占地</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利用方式为工矿用地和牧草地</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根据勘界报告，1号子火区土地利用现状为工矿用地，2地子火区土地利用现状为工矿用地和牧草地，3号子火区土地利用现状为工矿用地和牧草地</w:t>
            </w:r>
            <w:r>
              <w:rPr>
                <w:rFonts w:hint="eastAsia" w:ascii="Times New Roman" w:hAnsi="Times New Roman" w:cs="Times New Roman"/>
                <w:color w:val="auto"/>
                <w:sz w:val="24"/>
                <w:szCs w:val="24"/>
                <w:lang w:val="en-US" w:eastAsia="zh-CN"/>
              </w:rPr>
              <w:t>，火区治理区域至取土场之间的</w:t>
            </w:r>
            <w:r>
              <w:rPr>
                <w:rFonts w:hint="eastAsia" w:cs="Times New Roman"/>
                <w:color w:val="auto"/>
                <w:sz w:val="24"/>
                <w:szCs w:val="24"/>
                <w:highlight w:val="none"/>
                <w:lang w:val="en-US" w:eastAsia="zh-CN"/>
              </w:rPr>
              <w:t>施工便道</w:t>
            </w:r>
            <w:r>
              <w:rPr>
                <w:rFonts w:hint="eastAsia" w:ascii="Times New Roman" w:hAnsi="Times New Roman" w:cs="Times New Roman"/>
                <w:color w:val="auto"/>
                <w:sz w:val="24"/>
                <w:szCs w:val="24"/>
                <w:lang w:val="en-US" w:eastAsia="zh-CN"/>
              </w:rPr>
              <w:t xml:space="preserve">利用已有简易道路。     </w:t>
            </w:r>
          </w:p>
          <w:p w14:paraId="5FDD1491">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2地子火区临时占用草地面积约5559m</w:t>
            </w:r>
            <w:r>
              <w:rPr>
                <w:rFonts w:hint="eastAsia"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lang w:val="en-US" w:eastAsia="zh-CN"/>
              </w:rPr>
              <w:t>，3号子火区临时占用草地面积约7140m</w:t>
            </w:r>
            <w:r>
              <w:rPr>
                <w:rFonts w:hint="eastAsia"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lang w:val="en-US" w:eastAsia="zh-CN"/>
              </w:rPr>
              <w:t>，取土场临时占用草地面积约17230m</w:t>
            </w:r>
            <w:r>
              <w:rPr>
                <w:rFonts w:hint="eastAsia"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kern w:val="2"/>
                <w:sz w:val="24"/>
                <w:szCs w:val="24"/>
                <w:highlight w:val="none"/>
                <w:lang w:val="en-US" w:eastAsia="zh-CN" w:bidi="ar-SA"/>
              </w:rPr>
              <w:t>施工</w:t>
            </w:r>
            <w:r>
              <w:rPr>
                <w:rFonts w:hint="default" w:ascii="Times New Roman" w:hAnsi="Times New Roman" w:eastAsia="宋体" w:cs="Times New Roman"/>
                <w:color w:val="auto"/>
                <w:kern w:val="2"/>
                <w:sz w:val="24"/>
                <w:szCs w:val="24"/>
                <w:highlight w:val="none"/>
                <w:lang w:val="en-US" w:eastAsia="zh-CN" w:bidi="ar-SA"/>
              </w:rPr>
              <w:t>占地对地表的剥离、挖掘，破坏了地表砾幕层，改变了原有土地利用类型和结构，</w:t>
            </w:r>
            <w:r>
              <w:rPr>
                <w:rFonts w:hint="eastAsia" w:cs="Times New Roman"/>
                <w:color w:val="auto"/>
                <w:kern w:val="2"/>
                <w:sz w:val="24"/>
                <w:szCs w:val="24"/>
                <w:highlight w:val="none"/>
                <w:lang w:val="en-US" w:eastAsia="zh-CN" w:bidi="ar-SA"/>
              </w:rPr>
              <w:t>将</w:t>
            </w:r>
            <w:r>
              <w:rPr>
                <w:rFonts w:hint="default" w:ascii="Times New Roman" w:hAnsi="Times New Roman" w:eastAsia="宋体" w:cs="Times New Roman"/>
                <w:color w:val="auto"/>
                <w:kern w:val="2"/>
                <w:sz w:val="24"/>
                <w:szCs w:val="24"/>
                <w:highlight w:val="none"/>
                <w:lang w:val="en-US" w:eastAsia="zh-CN" w:bidi="ar-SA"/>
              </w:rPr>
              <w:t>造成小范围的水土流失。治理期结束后</w:t>
            </w:r>
            <w:r>
              <w:rPr>
                <w:rFonts w:hint="eastAsia" w:ascii="Times New Roman" w:hAnsi="Times New Roman" w:cs="Times New Roman"/>
                <w:color w:val="auto"/>
                <w:kern w:val="2"/>
                <w:sz w:val="24"/>
                <w:szCs w:val="24"/>
                <w:highlight w:val="none"/>
                <w:lang w:val="en-US" w:eastAsia="zh-CN" w:bidi="ar-SA"/>
              </w:rPr>
              <w:t>对</w:t>
            </w:r>
            <w:r>
              <w:rPr>
                <w:rFonts w:hint="eastAsia" w:ascii="Times New Roman" w:hAnsi="Times New Roman" w:cs="Times New Roman"/>
                <w:color w:val="auto"/>
                <w:sz w:val="24"/>
                <w:szCs w:val="24"/>
              </w:rPr>
              <w:t>临时占地进行土地复垦、播撒草籽等措施后，在</w:t>
            </w:r>
            <w:r>
              <w:rPr>
                <w:rFonts w:hint="default" w:ascii="Times New Roman" w:hAnsi="Times New Roman" w:cs="Times New Roman"/>
                <w:color w:val="auto"/>
                <w:sz w:val="24"/>
                <w:szCs w:val="24"/>
              </w:rPr>
              <w:t>恢复至原有的土地利用功能</w:t>
            </w:r>
            <w:r>
              <w:rPr>
                <w:rFonts w:hint="eastAsia" w:ascii="Times New Roman" w:hAnsi="Times New Roman" w:cs="Times New Roman"/>
                <w:color w:val="auto"/>
                <w:sz w:val="24"/>
                <w:szCs w:val="24"/>
              </w:rPr>
              <w:t>后临时占地对土地利用的</w:t>
            </w:r>
            <w:r>
              <w:rPr>
                <w:rFonts w:hint="default" w:ascii="Times New Roman" w:hAnsi="Times New Roman" w:cs="Times New Roman"/>
                <w:color w:val="auto"/>
                <w:sz w:val="24"/>
                <w:szCs w:val="24"/>
              </w:rPr>
              <w:t>影响</w:t>
            </w:r>
            <w:r>
              <w:rPr>
                <w:rFonts w:hint="eastAsia" w:ascii="Times New Roman" w:hAnsi="Times New Roman" w:cs="Times New Roman"/>
                <w:color w:val="auto"/>
                <w:sz w:val="24"/>
                <w:szCs w:val="24"/>
              </w:rPr>
              <w:t>将逐渐消除</w:t>
            </w:r>
            <w:r>
              <w:rPr>
                <w:rFonts w:hint="default" w:ascii="Times New Roman" w:hAnsi="Times New Roman" w:cs="Times New Roman"/>
                <w:color w:val="auto"/>
                <w:sz w:val="24"/>
                <w:szCs w:val="24"/>
              </w:rPr>
              <w:t>。</w:t>
            </w:r>
          </w:p>
          <w:p w14:paraId="1253AC88">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bookmarkStart w:id="16" w:name="_Toc467086562"/>
            <w:r>
              <w:rPr>
                <w:rFonts w:hint="eastAsia" w:ascii="Times New Roman" w:hAnsi="Times New Roman" w:cs="Times New Roman"/>
                <w:b/>
                <w:bCs/>
                <w:color w:val="auto"/>
                <w:sz w:val="24"/>
                <w:szCs w:val="24"/>
              </w:rPr>
              <w:t>1.</w:t>
            </w:r>
            <w:r>
              <w:rPr>
                <w:rFonts w:hint="eastAsia" w:ascii="Times New Roman" w:hAnsi="Times New Roman" w:cs="Times New Roman"/>
                <w:b/>
                <w:bCs/>
                <w:color w:val="auto"/>
                <w:sz w:val="24"/>
                <w:szCs w:val="24"/>
                <w:lang w:val="en-US" w:eastAsia="zh-CN"/>
              </w:rPr>
              <w:t>2</w:t>
            </w:r>
            <w:r>
              <w:rPr>
                <w:rFonts w:hint="eastAsia" w:ascii="Times New Roman" w:hAnsi="Times New Roman" w:cs="Times New Roman"/>
                <w:b/>
                <w:bCs/>
                <w:color w:val="auto"/>
                <w:sz w:val="24"/>
                <w:szCs w:val="24"/>
              </w:rPr>
              <w:t>土壤影响分析</w:t>
            </w:r>
            <w:bookmarkEnd w:id="16"/>
          </w:p>
          <w:p w14:paraId="6BA91B2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火区治理</w:t>
            </w:r>
            <w:r>
              <w:rPr>
                <w:rFonts w:hint="eastAsia" w:ascii="Times New Roman" w:hAnsi="Times New Roman" w:cs="Times New Roman"/>
                <w:color w:val="auto"/>
                <w:sz w:val="24"/>
                <w:szCs w:val="24"/>
              </w:rPr>
              <w:t>工程</w:t>
            </w:r>
            <w:r>
              <w:rPr>
                <w:rFonts w:hint="default" w:ascii="Times New Roman" w:hAnsi="Times New Roman" w:cs="Times New Roman"/>
                <w:color w:val="auto"/>
                <w:sz w:val="24"/>
                <w:szCs w:val="24"/>
              </w:rPr>
              <w:t>对土壤的影响，主要表现对土壤理化性质、土壤肥力的影响</w:t>
            </w:r>
            <w:r>
              <w:rPr>
                <w:rFonts w:hint="eastAsia" w:ascii="Times New Roman" w:hAnsi="Times New Roman" w:cs="Times New Roman"/>
                <w:color w:val="auto"/>
                <w:sz w:val="24"/>
                <w:szCs w:val="24"/>
              </w:rPr>
              <w:t>两</w:t>
            </w:r>
            <w:r>
              <w:rPr>
                <w:rFonts w:hint="default" w:ascii="Times New Roman" w:hAnsi="Times New Roman" w:cs="Times New Roman"/>
                <w:color w:val="auto"/>
                <w:sz w:val="24"/>
                <w:szCs w:val="24"/>
              </w:rPr>
              <w:t>个方面。</w:t>
            </w:r>
            <w:bookmarkStart w:id="17" w:name="_Toc259104264"/>
            <w:bookmarkEnd w:id="17"/>
            <w:bookmarkStart w:id="18" w:name="_Toc259104944"/>
            <w:bookmarkEnd w:id="18"/>
            <w:bookmarkStart w:id="19" w:name="_Toc46498088"/>
            <w:bookmarkEnd w:id="19"/>
            <w:bookmarkStart w:id="20" w:name="_Toc300245100"/>
            <w:bookmarkEnd w:id="20"/>
            <w:bookmarkStart w:id="21" w:name="_Toc259130539"/>
            <w:bookmarkEnd w:id="21"/>
            <w:bookmarkStart w:id="22" w:name="_Toc259129172"/>
            <w:bookmarkEnd w:id="22"/>
            <w:bookmarkStart w:id="23" w:name="_Toc277495861"/>
            <w:bookmarkEnd w:id="23"/>
          </w:p>
          <w:p w14:paraId="6137DE49">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（1）土壤理化性质影响</w:t>
            </w:r>
          </w:p>
          <w:p w14:paraId="6118EE2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项目</w:t>
            </w:r>
            <w:r>
              <w:rPr>
                <w:rFonts w:hint="eastAsia" w:ascii="Times New Roman" w:hAnsi="Times New Roman" w:cs="Times New Roman"/>
                <w:color w:val="auto"/>
                <w:sz w:val="24"/>
                <w:szCs w:val="24"/>
                <w:lang w:val="en-US" w:eastAsia="zh-CN"/>
              </w:rPr>
              <w:t>火区治理工程剥离工程、钻探工程、注浆工程、取土场</w:t>
            </w:r>
            <w:r>
              <w:rPr>
                <w:rFonts w:hint="eastAsia" w:ascii="Times New Roman" w:hAnsi="Times New Roman" w:cs="Times New Roman"/>
                <w:color w:val="auto"/>
                <w:sz w:val="24"/>
                <w:szCs w:val="24"/>
              </w:rPr>
              <w:t>土方</w:t>
            </w:r>
            <w:r>
              <w:rPr>
                <w:rFonts w:hint="default" w:ascii="Times New Roman" w:hAnsi="Times New Roman" w:cs="Times New Roman"/>
                <w:color w:val="auto"/>
                <w:sz w:val="24"/>
                <w:szCs w:val="24"/>
              </w:rPr>
              <w:t>开挖</w:t>
            </w:r>
            <w:r>
              <w:rPr>
                <w:rFonts w:hint="eastAsia" w:ascii="Times New Roman" w:hAnsi="Times New Roman" w:cs="Times New Roman"/>
                <w:color w:val="auto"/>
                <w:sz w:val="24"/>
                <w:szCs w:val="24"/>
              </w:rPr>
              <w:t>及其他物料</w:t>
            </w:r>
            <w:r>
              <w:rPr>
                <w:rFonts w:hint="default" w:ascii="Times New Roman" w:hAnsi="Times New Roman" w:cs="Times New Roman"/>
                <w:color w:val="auto"/>
                <w:sz w:val="24"/>
                <w:szCs w:val="24"/>
              </w:rPr>
              <w:t>堆放、</w:t>
            </w:r>
            <w:r>
              <w:rPr>
                <w:rFonts w:hint="eastAsia" w:cs="Times New Roman"/>
                <w:color w:val="auto"/>
                <w:sz w:val="24"/>
                <w:szCs w:val="24"/>
                <w:lang w:eastAsia="zh-CN"/>
              </w:rPr>
              <w:t>人员</w:t>
            </w:r>
            <w:r>
              <w:rPr>
                <w:rFonts w:hint="default" w:ascii="Times New Roman" w:hAnsi="Times New Roman" w:cs="Times New Roman"/>
                <w:color w:val="auto"/>
                <w:sz w:val="24"/>
                <w:szCs w:val="24"/>
              </w:rPr>
              <w:t>践踏、</w:t>
            </w:r>
            <w:r>
              <w:rPr>
                <w:rFonts w:hint="eastAsia" w:ascii="Times New Roman" w:hAnsi="Times New Roman" w:cs="Times New Roman"/>
                <w:color w:val="auto"/>
                <w:sz w:val="24"/>
                <w:szCs w:val="24"/>
                <w:lang w:val="en-US" w:eastAsia="zh-CN"/>
              </w:rPr>
              <w:t>车辆及</w:t>
            </w:r>
            <w:r>
              <w:rPr>
                <w:rFonts w:hint="default" w:ascii="Times New Roman" w:hAnsi="Times New Roman" w:cs="Times New Roman"/>
                <w:color w:val="auto"/>
                <w:sz w:val="24"/>
                <w:szCs w:val="24"/>
              </w:rPr>
              <w:t>机械设备碾压等活动对土壤理化性质</w:t>
            </w:r>
            <w:r>
              <w:rPr>
                <w:rFonts w:hint="eastAsia" w:ascii="Times New Roman" w:hAnsi="Times New Roman" w:cs="Times New Roman"/>
                <w:color w:val="auto"/>
                <w:sz w:val="24"/>
                <w:szCs w:val="24"/>
              </w:rPr>
              <w:t>将产生一定影响</w:t>
            </w:r>
            <w:r>
              <w:rPr>
                <w:rFonts w:hint="default" w:ascii="Times New Roman" w:hAnsi="Times New Roman" w:cs="Times New Roman"/>
                <w:color w:val="auto"/>
                <w:sz w:val="24"/>
                <w:szCs w:val="24"/>
              </w:rPr>
              <w:t>。</w:t>
            </w:r>
          </w:p>
          <w:p w14:paraId="081088C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bCs/>
                <w:color w:val="auto"/>
                <w:sz w:val="24"/>
                <w:szCs w:val="24"/>
              </w:rPr>
            </w:pPr>
          </w:p>
          <w:p w14:paraId="11CC310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fldChar w:fldCharType="begin"/>
            </w:r>
            <w:r>
              <w:rPr>
                <w:rFonts w:hint="default" w:ascii="Times New Roman" w:hAnsi="Times New Roman" w:cs="Times New Roman"/>
                <w:bCs/>
                <w:color w:val="auto"/>
                <w:sz w:val="24"/>
                <w:szCs w:val="24"/>
              </w:rPr>
              <w:instrText xml:space="preserve"> </w:instrText>
            </w:r>
            <w:r>
              <w:rPr>
                <w:rFonts w:hint="eastAsia" w:ascii="Times New Roman" w:hAnsi="Times New Roman" w:cs="Times New Roman"/>
                <w:bCs/>
                <w:color w:val="auto"/>
                <w:sz w:val="24"/>
                <w:szCs w:val="24"/>
              </w:rPr>
              <w:instrText xml:space="preserve">= 1 \* GB3</w:instrText>
            </w:r>
            <w:r>
              <w:rPr>
                <w:rFonts w:hint="default" w:ascii="Times New Roman" w:hAnsi="Times New Roman" w:cs="Times New Roman"/>
                <w:bCs/>
                <w:color w:val="auto"/>
                <w:sz w:val="24"/>
                <w:szCs w:val="24"/>
              </w:rPr>
              <w:instrText xml:space="preserve"> </w:instrText>
            </w:r>
            <w:r>
              <w:rPr>
                <w:rFonts w:hint="default" w:ascii="Times New Roman" w:hAnsi="Times New Roman" w:cs="Times New Roman"/>
                <w:bCs/>
                <w:color w:val="auto"/>
                <w:sz w:val="24"/>
                <w:szCs w:val="24"/>
              </w:rPr>
              <w:fldChar w:fldCharType="separate"/>
            </w:r>
            <w:r>
              <w:rPr>
                <w:rFonts w:hint="eastAsia" w:ascii="Times New Roman" w:hAnsi="Times New Roman" w:cs="Times New Roman"/>
                <w:bCs/>
                <w:color w:val="auto"/>
                <w:sz w:val="24"/>
                <w:szCs w:val="24"/>
              </w:rPr>
              <w:t>①</w:t>
            </w:r>
            <w:r>
              <w:rPr>
                <w:rFonts w:hint="default" w:ascii="Times New Roman" w:hAnsi="Times New Roman" w:cs="Times New Roman"/>
                <w:bCs/>
                <w:color w:val="auto"/>
                <w:sz w:val="24"/>
                <w:szCs w:val="24"/>
              </w:rPr>
              <w:fldChar w:fldCharType="end"/>
            </w:r>
            <w:r>
              <w:rPr>
                <w:rFonts w:hint="default" w:ascii="Times New Roman" w:hAnsi="Times New Roman" w:cs="Times New Roman"/>
                <w:bCs/>
                <w:color w:val="auto"/>
                <w:sz w:val="24"/>
                <w:szCs w:val="24"/>
              </w:rPr>
              <w:t>扰乱土壤表层，破坏土壤结构</w:t>
            </w:r>
          </w:p>
          <w:p w14:paraId="5F18E6B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土壤表层肥力集中、腐殖质含量高、水分相对优越，深度</w:t>
            </w:r>
            <w:r>
              <w:rPr>
                <w:rFonts w:hint="eastAsia" w:ascii="Times New Roman" w:hAnsi="Times New Roman" w:cs="Times New Roman"/>
                <w:color w:val="auto"/>
                <w:sz w:val="24"/>
                <w:szCs w:val="24"/>
              </w:rPr>
              <w:t>约在</w:t>
            </w:r>
            <w:r>
              <w:rPr>
                <w:rFonts w:hint="default" w:ascii="Times New Roman" w:hAnsi="Times New Roman" w:cs="Times New Roman"/>
                <w:color w:val="auto"/>
                <w:sz w:val="24"/>
                <w:szCs w:val="24"/>
              </w:rPr>
              <w:t>15～25cm，</w:t>
            </w:r>
            <w:r>
              <w:rPr>
                <w:rFonts w:hint="eastAsia" w:ascii="Times New Roman" w:hAnsi="Times New Roman" w:cs="Times New Roman"/>
                <w:color w:val="auto"/>
                <w:sz w:val="24"/>
                <w:szCs w:val="24"/>
              </w:rPr>
              <w:t>同时</w:t>
            </w:r>
            <w:r>
              <w:rPr>
                <w:rFonts w:hint="default" w:ascii="Times New Roman" w:hAnsi="Times New Roman" w:cs="Times New Roman"/>
                <w:color w:val="auto"/>
                <w:sz w:val="24"/>
                <w:szCs w:val="24"/>
              </w:rPr>
              <w:t>表层土层</w:t>
            </w:r>
            <w:r>
              <w:rPr>
                <w:rFonts w:hint="eastAsia" w:ascii="Times New Roman" w:hAnsi="Times New Roman" w:cs="Times New Roman"/>
                <w:color w:val="auto"/>
                <w:sz w:val="24"/>
                <w:szCs w:val="24"/>
              </w:rPr>
              <w:t>较为</w:t>
            </w:r>
            <w:r>
              <w:rPr>
                <w:rFonts w:hint="default" w:ascii="Times New Roman" w:hAnsi="Times New Roman" w:cs="Times New Roman"/>
                <w:color w:val="auto"/>
                <w:sz w:val="24"/>
                <w:szCs w:val="24"/>
              </w:rPr>
              <w:t>松软，团粒结构发达。地表开挖必定扰乱和破坏土壤表层，除开挖处受到</w:t>
            </w:r>
            <w:r>
              <w:rPr>
                <w:rFonts w:hint="eastAsia" w:ascii="Times New Roman" w:hAnsi="Times New Roman" w:cs="Times New Roman"/>
                <w:color w:val="auto"/>
                <w:sz w:val="24"/>
                <w:szCs w:val="24"/>
              </w:rPr>
              <w:t>的</w:t>
            </w:r>
            <w:r>
              <w:rPr>
                <w:rFonts w:hint="default" w:ascii="Times New Roman" w:hAnsi="Times New Roman" w:cs="Times New Roman"/>
                <w:color w:val="auto"/>
                <w:sz w:val="24"/>
                <w:szCs w:val="24"/>
              </w:rPr>
              <w:t>直接破坏外，挖出土方的堆放</w:t>
            </w:r>
            <w:r>
              <w:rPr>
                <w:rFonts w:hint="eastAsia" w:ascii="Times New Roman" w:hAnsi="Times New Roman" w:cs="Times New Roman"/>
                <w:color w:val="auto"/>
                <w:sz w:val="24"/>
                <w:szCs w:val="24"/>
              </w:rPr>
              <w:t>也</w:t>
            </w:r>
            <w:r>
              <w:rPr>
                <w:rFonts w:hint="default" w:ascii="Times New Roman" w:hAnsi="Times New Roman" w:cs="Times New Roman"/>
                <w:color w:val="auto"/>
                <w:sz w:val="24"/>
                <w:szCs w:val="24"/>
              </w:rPr>
              <w:t>将直接占压开挖处附近的土地，破坏土壤表层及其结构。由于表层的团粒结构是经过较长的历史时期形成的，一旦遭到破坏，短期内难以恢复。因此，</w:t>
            </w:r>
            <w:r>
              <w:rPr>
                <w:rFonts w:hint="eastAsia" w:ascii="Times New Roman" w:hAnsi="Times New Roman" w:cs="Times New Roman"/>
                <w:color w:val="auto"/>
                <w:sz w:val="24"/>
                <w:szCs w:val="24"/>
              </w:rPr>
              <w:t>临时设施建设</w:t>
            </w:r>
            <w:r>
              <w:rPr>
                <w:rFonts w:hint="default" w:ascii="Times New Roman" w:hAnsi="Times New Roman" w:cs="Times New Roman"/>
                <w:color w:val="auto"/>
                <w:sz w:val="24"/>
                <w:szCs w:val="24"/>
              </w:rPr>
              <w:t>施工</w:t>
            </w:r>
            <w:r>
              <w:rPr>
                <w:rFonts w:hint="eastAsia" w:ascii="Times New Roman" w:hAnsi="Times New Roman" w:cs="Times New Roman"/>
                <w:color w:val="auto"/>
                <w:sz w:val="24"/>
                <w:szCs w:val="24"/>
              </w:rPr>
              <w:t>和探矿</w:t>
            </w:r>
            <w:r>
              <w:rPr>
                <w:rFonts w:hint="default" w:ascii="Times New Roman" w:hAnsi="Times New Roman" w:cs="Times New Roman"/>
                <w:color w:val="auto"/>
                <w:sz w:val="24"/>
                <w:szCs w:val="24"/>
              </w:rPr>
              <w:t>过程中，对土壤表层的影响最</w:t>
            </w:r>
            <w:r>
              <w:rPr>
                <w:rFonts w:hint="eastAsia" w:ascii="Times New Roman" w:hAnsi="Times New Roman" w:cs="Times New Roman"/>
                <w:color w:val="auto"/>
                <w:sz w:val="24"/>
                <w:szCs w:val="24"/>
              </w:rPr>
              <w:t>明显</w:t>
            </w:r>
            <w:r>
              <w:rPr>
                <w:rFonts w:hint="default" w:ascii="Times New Roman" w:hAnsi="Times New Roman" w:cs="Times New Roman"/>
                <w:color w:val="auto"/>
                <w:sz w:val="24"/>
                <w:szCs w:val="24"/>
              </w:rPr>
              <w:t>。</w:t>
            </w:r>
          </w:p>
          <w:p w14:paraId="7C15174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fldChar w:fldCharType="begin"/>
            </w:r>
            <w:r>
              <w:rPr>
                <w:rFonts w:hint="default" w:ascii="Times New Roman" w:hAnsi="Times New Roman" w:cs="Times New Roman"/>
                <w:bCs/>
                <w:color w:val="auto"/>
                <w:sz w:val="24"/>
                <w:szCs w:val="24"/>
              </w:rPr>
              <w:instrText xml:space="preserve"> </w:instrText>
            </w:r>
            <w:r>
              <w:rPr>
                <w:rFonts w:hint="eastAsia" w:ascii="Times New Roman" w:hAnsi="Times New Roman" w:cs="Times New Roman"/>
                <w:bCs/>
                <w:color w:val="auto"/>
                <w:sz w:val="24"/>
                <w:szCs w:val="24"/>
              </w:rPr>
              <w:instrText xml:space="preserve">= 2 \* GB3</w:instrText>
            </w:r>
            <w:r>
              <w:rPr>
                <w:rFonts w:hint="default" w:ascii="Times New Roman" w:hAnsi="Times New Roman" w:cs="Times New Roman"/>
                <w:bCs/>
                <w:color w:val="auto"/>
                <w:sz w:val="24"/>
                <w:szCs w:val="24"/>
              </w:rPr>
              <w:instrText xml:space="preserve"> </w:instrText>
            </w:r>
            <w:r>
              <w:rPr>
                <w:rFonts w:hint="default" w:ascii="Times New Roman" w:hAnsi="Times New Roman" w:cs="Times New Roman"/>
                <w:bCs/>
                <w:color w:val="auto"/>
                <w:sz w:val="24"/>
                <w:szCs w:val="24"/>
              </w:rPr>
              <w:fldChar w:fldCharType="separate"/>
            </w:r>
            <w:r>
              <w:rPr>
                <w:rFonts w:hint="eastAsia" w:ascii="Times New Roman" w:hAnsi="Times New Roman" w:cs="Times New Roman"/>
                <w:bCs/>
                <w:color w:val="auto"/>
                <w:sz w:val="24"/>
                <w:szCs w:val="24"/>
              </w:rPr>
              <w:t>②</w:t>
            </w:r>
            <w:r>
              <w:rPr>
                <w:rFonts w:hint="default" w:ascii="Times New Roman" w:hAnsi="Times New Roman" w:cs="Times New Roman"/>
                <w:bCs/>
                <w:color w:val="auto"/>
                <w:sz w:val="24"/>
                <w:szCs w:val="24"/>
              </w:rPr>
              <w:fldChar w:fldCharType="end"/>
            </w:r>
            <w:r>
              <w:rPr>
                <w:rFonts w:hint="default" w:ascii="Times New Roman" w:hAnsi="Times New Roman" w:cs="Times New Roman"/>
                <w:bCs/>
                <w:color w:val="auto"/>
                <w:sz w:val="24"/>
                <w:szCs w:val="24"/>
              </w:rPr>
              <w:t>影响土壤紧实度</w:t>
            </w:r>
          </w:p>
          <w:p w14:paraId="33D6D19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bCs/>
                <w:color w:val="auto"/>
                <w:sz w:val="24"/>
                <w:szCs w:val="24"/>
              </w:rPr>
            </w:pPr>
            <w:r>
              <w:rPr>
                <w:rFonts w:hint="eastAsia" w:ascii="Times New Roman" w:hAnsi="Times New Roman" w:cs="Times New Roman"/>
                <w:bCs/>
                <w:color w:val="auto"/>
                <w:sz w:val="24"/>
                <w:szCs w:val="24"/>
              </w:rPr>
              <w:t>施工过程中</w:t>
            </w:r>
            <w:r>
              <w:rPr>
                <w:rFonts w:hint="default" w:ascii="Times New Roman" w:hAnsi="Times New Roman" w:cs="Times New Roman"/>
                <w:bCs/>
                <w:color w:val="auto"/>
                <w:sz w:val="24"/>
                <w:szCs w:val="24"/>
              </w:rPr>
              <w:t>机械</w:t>
            </w:r>
            <w:r>
              <w:rPr>
                <w:rFonts w:hint="eastAsia" w:ascii="Times New Roman" w:hAnsi="Times New Roman" w:cs="Times New Roman"/>
                <w:bCs/>
                <w:color w:val="auto"/>
                <w:sz w:val="24"/>
                <w:szCs w:val="24"/>
              </w:rPr>
              <w:t>和运输车辆对临时占地区域的</w:t>
            </w:r>
            <w:r>
              <w:rPr>
                <w:rFonts w:hint="default" w:ascii="Times New Roman" w:hAnsi="Times New Roman" w:cs="Times New Roman"/>
                <w:bCs/>
                <w:color w:val="auto"/>
                <w:sz w:val="24"/>
                <w:szCs w:val="24"/>
              </w:rPr>
              <w:t>碾压，将</w:t>
            </w:r>
            <w:r>
              <w:rPr>
                <w:rFonts w:hint="eastAsia" w:ascii="Times New Roman" w:hAnsi="Times New Roman" w:cs="Times New Roman"/>
                <w:bCs/>
                <w:color w:val="auto"/>
                <w:sz w:val="24"/>
                <w:szCs w:val="24"/>
              </w:rPr>
              <w:t>导致土壤结构重排，孔隙度变小，</w:t>
            </w:r>
            <w:r>
              <w:rPr>
                <w:rFonts w:hint="default" w:ascii="Times New Roman" w:hAnsi="Times New Roman" w:cs="Times New Roman"/>
                <w:bCs/>
                <w:color w:val="auto"/>
                <w:sz w:val="24"/>
                <w:szCs w:val="24"/>
              </w:rPr>
              <w:t>大大改变土壤的紧实程度，与原有的上松下紧结构相比，极不利于土壤的通气、透水作用，甚至导致压实地段的地表寸草不生，形成局部人工荒漠化现象。</w:t>
            </w:r>
          </w:p>
          <w:p w14:paraId="25EF18BB">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cs="Times New Roman"/>
                <w:color w:val="auto"/>
                <w:sz w:val="24"/>
                <w:szCs w:val="24"/>
              </w:rPr>
            </w:pPr>
            <w:bookmarkStart w:id="24" w:name="_Toc259104265"/>
            <w:bookmarkEnd w:id="24"/>
            <w:bookmarkStart w:id="25" w:name="_Toc259104945"/>
            <w:bookmarkEnd w:id="25"/>
            <w:bookmarkStart w:id="26" w:name="_Toc46498089"/>
            <w:bookmarkEnd w:id="26"/>
            <w:bookmarkStart w:id="27" w:name="_Toc259129173"/>
            <w:bookmarkEnd w:id="27"/>
            <w:bookmarkStart w:id="28" w:name="_Toc277495862"/>
            <w:bookmarkEnd w:id="28"/>
            <w:bookmarkStart w:id="29" w:name="_Toc259130540"/>
            <w:bookmarkEnd w:id="29"/>
            <w:bookmarkStart w:id="30" w:name="_Toc300245101"/>
            <w:r>
              <w:rPr>
                <w:rFonts w:hint="eastAsia" w:ascii="Times New Roman" w:hAnsi="Times New Roman" w:cs="Times New Roman"/>
                <w:color w:val="auto"/>
                <w:sz w:val="24"/>
                <w:szCs w:val="24"/>
              </w:rPr>
              <w:t>（2）土壤肥力影响</w:t>
            </w:r>
            <w:bookmarkEnd w:id="30"/>
          </w:p>
          <w:p w14:paraId="4697D78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rPr>
            </w:pPr>
            <w:r>
              <w:rPr>
                <w:rFonts w:hint="default" w:ascii="Times New Roman" w:hAnsi="Times New Roman" w:cs="Times New Roman"/>
                <w:color w:val="auto"/>
                <w:sz w:val="24"/>
                <w:szCs w:val="24"/>
              </w:rPr>
              <w:t>土壤中的有机质、氮、磷、钾等养分含量，均表现为表土层远高于心土层；</w:t>
            </w:r>
            <w:r>
              <w:rPr>
                <w:rFonts w:hint="eastAsia" w:ascii="Times New Roman" w:hAnsi="Times New Roman" w:cs="Times New Roman"/>
                <w:color w:val="auto"/>
                <w:sz w:val="24"/>
                <w:szCs w:val="24"/>
              </w:rPr>
              <w:t>探矿临时占地过程中，</w:t>
            </w:r>
            <w:r>
              <w:rPr>
                <w:rFonts w:hint="default" w:ascii="Times New Roman" w:hAnsi="Times New Roman" w:cs="Times New Roman"/>
                <w:color w:val="auto"/>
                <w:sz w:val="24"/>
                <w:szCs w:val="24"/>
              </w:rPr>
              <w:t>土方的开挖与回填，将扰动甚至打乱原土体构型，使土壤肥力状况受到较大的影响</w:t>
            </w:r>
            <w:r>
              <w:rPr>
                <w:rFonts w:hint="eastAsia" w:ascii="Times New Roman" w:hAnsi="Times New Roman" w:cs="Times New Roman"/>
                <w:color w:val="auto"/>
                <w:sz w:val="24"/>
                <w:szCs w:val="24"/>
              </w:rPr>
              <w:t>，同时草地植被的清除、土壤松散堆积，在刮风天和雨天会增加风蚀和水蚀的强度，进一步造成土壤中养分的流失</w:t>
            </w:r>
            <w:r>
              <w:rPr>
                <w:rFonts w:hint="default" w:ascii="Times New Roman" w:hAnsi="Times New Roman" w:cs="Times New Roman"/>
                <w:color w:val="auto"/>
                <w:sz w:val="24"/>
                <w:szCs w:val="24"/>
              </w:rPr>
              <w:t>。据资料统计，即使在实行分层堆放、分层回填措施下，土壤的有机质也将下降36.2～46.5%左右，氮下降27～50.6%，磷下降13.9～46.0%，钾下降9.1～32.5%。</w:t>
            </w:r>
          </w:p>
          <w:p w14:paraId="3C577D03">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bookmarkStart w:id="31" w:name="_Toc467086563"/>
            <w:r>
              <w:rPr>
                <w:rFonts w:hint="eastAsia" w:ascii="Times New Roman" w:hAnsi="Times New Roman" w:cs="Times New Roman"/>
                <w:b/>
                <w:bCs/>
                <w:color w:val="auto"/>
                <w:sz w:val="24"/>
                <w:szCs w:val="24"/>
              </w:rPr>
              <w:t>1.</w:t>
            </w:r>
            <w:r>
              <w:rPr>
                <w:rFonts w:hint="eastAsia" w:ascii="Times New Roman" w:hAnsi="Times New Roman" w:cs="Times New Roman"/>
                <w:b/>
                <w:bCs/>
                <w:color w:val="auto"/>
                <w:sz w:val="24"/>
                <w:szCs w:val="24"/>
                <w:lang w:val="en-US" w:eastAsia="zh-CN"/>
              </w:rPr>
              <w:t>3</w:t>
            </w:r>
            <w:r>
              <w:rPr>
                <w:rFonts w:hint="eastAsia" w:ascii="Times New Roman" w:hAnsi="Times New Roman" w:cs="Times New Roman"/>
                <w:b/>
                <w:bCs/>
                <w:color w:val="auto"/>
                <w:sz w:val="24"/>
                <w:szCs w:val="24"/>
              </w:rPr>
              <w:t>植被影响分析</w:t>
            </w:r>
            <w:bookmarkEnd w:id="31"/>
            <w:bookmarkStart w:id="32" w:name="_Toc277495865"/>
            <w:bookmarkEnd w:id="32"/>
            <w:bookmarkStart w:id="33" w:name="_Toc259104268"/>
            <w:bookmarkEnd w:id="33"/>
            <w:bookmarkStart w:id="34" w:name="_Toc259104948"/>
            <w:bookmarkEnd w:id="34"/>
            <w:bookmarkStart w:id="35" w:name="_Toc259129176"/>
            <w:bookmarkEnd w:id="35"/>
            <w:bookmarkStart w:id="36" w:name="_Toc259130543"/>
            <w:bookmarkEnd w:id="36"/>
            <w:bookmarkStart w:id="37" w:name="_Toc300245104"/>
          </w:p>
          <w:bookmarkEnd w:id="37"/>
          <w:p w14:paraId="347C956D">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项目</w:t>
            </w:r>
            <w:r>
              <w:rPr>
                <w:rFonts w:hint="eastAsia" w:ascii="Times New Roman" w:hAnsi="Times New Roman" w:cs="Times New Roman"/>
                <w:color w:val="auto"/>
                <w:sz w:val="24"/>
                <w:szCs w:val="24"/>
                <w:lang w:val="en-US" w:eastAsia="zh-CN"/>
              </w:rPr>
              <w:t>火区治理工程</w:t>
            </w:r>
            <w:r>
              <w:rPr>
                <w:rFonts w:hint="eastAsia" w:ascii="Times New Roman" w:hAnsi="Times New Roman" w:cs="Times New Roman"/>
                <w:color w:val="auto"/>
                <w:sz w:val="24"/>
                <w:szCs w:val="24"/>
              </w:rPr>
              <w:t>对植被的影响主要</w:t>
            </w:r>
            <w:r>
              <w:rPr>
                <w:rFonts w:hint="default" w:ascii="Times New Roman" w:hAnsi="Times New Roman" w:cs="Times New Roman"/>
                <w:color w:val="auto"/>
                <w:sz w:val="24"/>
                <w:szCs w:val="24"/>
              </w:rPr>
              <w:t>表现为</w:t>
            </w:r>
            <w:r>
              <w:rPr>
                <w:rFonts w:hint="eastAsia" w:ascii="Times New Roman" w:hAnsi="Times New Roman" w:cs="Times New Roman"/>
                <w:color w:val="auto"/>
                <w:sz w:val="24"/>
                <w:szCs w:val="24"/>
                <w:lang w:val="en-US" w:eastAsia="zh-CN"/>
              </w:rPr>
              <w:t>钻探、土方剥离等</w:t>
            </w:r>
            <w:r>
              <w:rPr>
                <w:rFonts w:hint="eastAsia" w:ascii="Times New Roman" w:hAnsi="Times New Roman" w:cs="Times New Roman"/>
                <w:color w:val="auto"/>
                <w:sz w:val="24"/>
                <w:szCs w:val="24"/>
              </w:rPr>
              <w:t>对植被的破坏和其所在生态结构稳定性的影响。</w:t>
            </w:r>
          </w:p>
          <w:p w14:paraId="318B7D61">
            <w:pPr>
              <w:pStyle w:val="15"/>
              <w:keepNext w:val="0"/>
              <w:keepLines w:val="0"/>
              <w:suppressLineNumbers w:val="0"/>
              <w:spacing w:before="0" w:beforeAutospacing="0" w:after="0" w:afterAutospacing="0"/>
              <w:ind w:left="0" w:right="0" w:firstLine="420"/>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（1）对植被破坏和土地生产力的影响</w:t>
            </w:r>
          </w:p>
          <w:p w14:paraId="4405419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w:t>
            </w:r>
            <w:r>
              <w:rPr>
                <w:rFonts w:hint="eastAsia" w:ascii="Times New Roman" w:hAnsi="Times New Roman" w:cs="Times New Roman"/>
                <w:color w:val="auto"/>
                <w:sz w:val="24"/>
                <w:szCs w:val="24"/>
                <w:lang w:val="en-US" w:eastAsia="zh-CN"/>
              </w:rPr>
              <w:t>钻探、土方剥离</w:t>
            </w:r>
            <w:r>
              <w:rPr>
                <w:rFonts w:hint="eastAsia" w:ascii="Times New Roman" w:hAnsi="Times New Roman" w:eastAsia="宋体" w:cs="Times New Roman"/>
                <w:color w:val="auto"/>
                <w:kern w:val="2"/>
                <w:sz w:val="24"/>
                <w:szCs w:val="24"/>
                <w:lang w:val="en-US" w:eastAsia="zh-CN" w:bidi="ar-SA"/>
              </w:rPr>
              <w:t>等施工建设会使临时占地区域植被受到占压、破坏，施工活动填挖也会导致区域植物物种个体数量减少，减少量不均匀也可能引起植物物种均匀度发生变化，最终使植被生境遭到破坏，此影响的程度是不可逆的。</w:t>
            </w:r>
            <w:r>
              <w:rPr>
                <w:rFonts w:hint="default" w:ascii="Times New Roman" w:hAnsi="Times New Roman" w:cs="Times New Roman"/>
                <w:color w:val="auto"/>
                <w:sz w:val="24"/>
                <w:szCs w:val="24"/>
                <w:lang w:val="en-US" w:eastAsia="zh-CN"/>
              </w:rPr>
              <w:t>根据勘界报告</w:t>
            </w:r>
            <w:r>
              <w:rPr>
                <w:rFonts w:hint="eastAsia" w:ascii="Times New Roman" w:hAnsi="Times New Roman" w:cs="Times New Roman"/>
                <w:color w:val="auto"/>
                <w:sz w:val="24"/>
                <w:szCs w:val="24"/>
                <w:lang w:val="en-US" w:eastAsia="zh-CN"/>
              </w:rPr>
              <w:t>及临时占地草原植被恢复方案得知</w:t>
            </w:r>
            <w:r>
              <w:rPr>
                <w:rFonts w:hint="default" w:ascii="Times New Roman" w:hAnsi="Times New Roman" w:cs="Times New Roman"/>
                <w:color w:val="auto"/>
                <w:sz w:val="24"/>
                <w:szCs w:val="24"/>
                <w:lang w:val="en-US" w:eastAsia="zh-CN"/>
              </w:rPr>
              <w:t>，1号子火区土地利用现状为工矿用地，2地子火区土地利用现状为工矿用地和牧草地，3号子火区土地利用现状为工矿用地和牧草地</w:t>
            </w:r>
            <w:r>
              <w:rPr>
                <w:rFonts w:hint="eastAsia" w:ascii="Times New Roman" w:hAnsi="Times New Roman" w:cs="Times New Roman"/>
                <w:color w:val="auto"/>
                <w:sz w:val="24"/>
                <w:szCs w:val="24"/>
                <w:lang w:val="en-US" w:eastAsia="zh-CN"/>
              </w:rPr>
              <w:t>，火区治理区域至取土场之间的</w:t>
            </w:r>
            <w:r>
              <w:rPr>
                <w:rFonts w:hint="eastAsia" w:cs="Times New Roman"/>
                <w:color w:val="auto"/>
                <w:sz w:val="24"/>
                <w:szCs w:val="24"/>
                <w:highlight w:val="none"/>
                <w:lang w:val="en-US" w:eastAsia="zh-CN"/>
              </w:rPr>
              <w:t>施工便道</w:t>
            </w:r>
            <w:r>
              <w:rPr>
                <w:rFonts w:hint="eastAsia" w:ascii="Times New Roman" w:hAnsi="Times New Roman" w:cs="Times New Roman"/>
                <w:color w:val="auto"/>
                <w:sz w:val="24"/>
                <w:szCs w:val="24"/>
                <w:lang w:val="en-US" w:eastAsia="zh-CN"/>
              </w:rPr>
              <w:t>利用已有简易道路。</w:t>
            </w:r>
            <w:r>
              <w:rPr>
                <w:rFonts w:hint="eastAsia" w:ascii="Times New Roman" w:hAnsi="Times New Roman" w:eastAsia="宋体" w:cs="Times New Roman"/>
                <w:color w:val="auto"/>
                <w:sz w:val="24"/>
                <w:szCs w:val="24"/>
                <w:highlight w:val="none"/>
                <w:lang w:val="en-US" w:eastAsia="zh-CN"/>
              </w:rPr>
              <w:t>2地子火区临时占用草地面积约5559m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，属山地砾砂质荒漠放牧草地，由刺叶锦鸡儿、伊犁娟蒿、猪毛菜等旱生草本组成，综合植被盖度</w:t>
            </w:r>
            <w:r>
              <w:rPr>
                <w:rFonts w:hint="default" w:ascii="Times New Roman" w:hAnsi="Times New Roman" w:eastAsia="宋体" w:cs="Times New Roman"/>
                <w:color w:val="auto"/>
                <w:sz w:val="24"/>
                <w:szCs w:val="24"/>
                <w:highlight w:val="none"/>
                <w:lang w:val="en-US" w:eastAsia="zh-CN"/>
              </w:rPr>
              <w:t>15%</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w:t>
            </w:r>
            <w:r>
              <w:rPr>
                <w:rFonts w:hint="eastAsia" w:ascii="Times New Roman" w:hAnsi="Times New Roman" w:eastAsia="宋体" w:cs="Times New Roman"/>
                <w:color w:val="auto"/>
                <w:sz w:val="24"/>
                <w:szCs w:val="24"/>
                <w:highlight w:val="none"/>
                <w:lang w:val="en-US" w:eastAsia="zh-CN"/>
              </w:rPr>
              <w:t>。3号子火区临时占用草地面积约7140m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 xml:space="preserve">，属山地砾砂质荒漠放牧草地，由伊犁娟蒿、针茅、苦豆子等旱生草本组成，综合植被盖度 </w:t>
            </w:r>
            <w:r>
              <w:rPr>
                <w:rFonts w:hint="default" w:ascii="Times New Roman" w:hAnsi="Times New Roman" w:eastAsia="宋体" w:cs="Times New Roman"/>
                <w:color w:val="auto"/>
                <w:sz w:val="24"/>
                <w:szCs w:val="24"/>
                <w:highlight w:val="none"/>
                <w:lang w:val="en-US" w:eastAsia="zh-CN"/>
              </w:rPr>
              <w:t>15%</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w:t>
            </w:r>
            <w:r>
              <w:rPr>
                <w:rFonts w:hint="eastAsia" w:ascii="Times New Roman" w:hAnsi="Times New Roman" w:eastAsia="宋体" w:cs="Times New Roman"/>
                <w:color w:val="auto"/>
                <w:sz w:val="24"/>
                <w:szCs w:val="24"/>
                <w:highlight w:val="none"/>
                <w:lang w:val="en-US" w:eastAsia="zh-CN"/>
              </w:rPr>
              <w:t>。取土场临时占用草地面积约17230m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，属山地砾砂质荒漠放牧草地，由伊犁娟蒿、猪毛菜、小蓟等旱生草本组成，综合植被盖度</w:t>
            </w:r>
            <w:r>
              <w:rPr>
                <w:rFonts w:hint="default" w:ascii="Times New Roman" w:hAnsi="Times New Roman" w:eastAsia="宋体" w:cs="Times New Roman"/>
                <w:color w:val="auto"/>
                <w:sz w:val="24"/>
                <w:szCs w:val="24"/>
                <w:highlight w:val="none"/>
                <w:lang w:val="en-US" w:eastAsia="zh-CN"/>
              </w:rPr>
              <w:t>30%</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40%</w:t>
            </w:r>
            <w:r>
              <w:rPr>
                <w:rFonts w:hint="eastAsia" w:ascii="Times New Roman" w:hAnsi="Times New Roman" w:eastAsia="宋体" w:cs="Times New Roman"/>
                <w:color w:val="auto"/>
                <w:sz w:val="24"/>
                <w:szCs w:val="24"/>
                <w:highlight w:val="none"/>
                <w:lang w:val="en-US" w:eastAsia="zh-CN"/>
              </w:rPr>
              <w:t>。</w:t>
            </w:r>
          </w:p>
          <w:p w14:paraId="4D12A95D">
            <w:pPr>
              <w:pStyle w:val="15"/>
              <w:keepNext w:val="0"/>
              <w:keepLines w:val="0"/>
              <w:suppressLineNumbers w:val="0"/>
              <w:spacing w:before="0" w:beforeAutospacing="0" w:after="0" w:afterAutospacing="0"/>
              <w:ind w:left="0" w:right="0" w:firstLine="420"/>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本项目对植被的影响主要在临时占地范围内，从项目工作区植被分布现状调查的结果看，受项目直接影响的自然植被主要为</w:t>
            </w:r>
            <w:r>
              <w:rPr>
                <w:rFonts w:hint="eastAsia" w:ascii="Times New Roman" w:hAnsi="Times New Roman" w:eastAsia="宋体" w:cs="Times New Roman"/>
                <w:color w:val="auto"/>
                <w:sz w:val="24"/>
                <w:szCs w:val="24"/>
                <w:highlight w:val="none"/>
                <w:lang w:val="en-US" w:eastAsia="zh-CN"/>
              </w:rPr>
              <w:t>伊犁娟蒿、针茅、苦豆子、刺叶锦鸡儿、猪毛菜、小蓟等</w:t>
            </w:r>
            <w:r>
              <w:rPr>
                <w:rFonts w:hint="eastAsia" w:ascii="Times New Roman" w:hAnsi="Times New Roman" w:eastAsia="宋体" w:cs="Times New Roman"/>
                <w:color w:val="auto"/>
                <w:kern w:val="2"/>
                <w:sz w:val="24"/>
                <w:szCs w:val="24"/>
                <w:lang w:val="en-US" w:eastAsia="zh-CN" w:bidi="ar-SA"/>
              </w:rPr>
              <w:t>，项目临时占用草地面积约</w:t>
            </w:r>
            <w:r>
              <w:rPr>
                <w:rFonts w:hint="eastAsia" w:cs="Times New Roman"/>
                <w:color w:val="auto"/>
                <w:kern w:val="2"/>
                <w:sz w:val="24"/>
                <w:szCs w:val="24"/>
                <w:highlight w:val="none"/>
                <w:lang w:val="en-US" w:eastAsia="zh-CN" w:bidi="ar-SA"/>
              </w:rPr>
              <w:t>29929</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lang w:val="en-US" w:eastAsia="zh-CN" w:bidi="ar-SA"/>
              </w:rPr>
              <w:t>施工期对植被的影响主要表现在临时占地造成的植被生物量损失，由于本项目没有永久用地，因此本次仅计算项目临时占地造成的植被生物损失量为</w:t>
            </w:r>
            <w:r>
              <w:rPr>
                <w:rFonts w:hint="eastAsia" w:cs="Times New Roman"/>
                <w:color w:val="auto"/>
                <w:kern w:val="2"/>
                <w:sz w:val="24"/>
                <w:szCs w:val="24"/>
                <w:lang w:val="en-US" w:eastAsia="zh-CN" w:bidi="ar-SA"/>
              </w:rPr>
              <w:t>12.27</w:t>
            </w:r>
            <w:r>
              <w:rPr>
                <w:rFonts w:hint="eastAsia" w:ascii="Times New Roman" w:hAnsi="Times New Roman" w:eastAsia="宋体" w:cs="Times New Roman"/>
                <w:color w:val="auto"/>
                <w:kern w:val="2"/>
                <w:sz w:val="24"/>
                <w:szCs w:val="24"/>
                <w:lang w:val="en-US" w:eastAsia="zh-CN" w:bidi="ar-SA"/>
              </w:rPr>
              <w:t>t，生物量损失见表4-1。</w:t>
            </w:r>
          </w:p>
          <w:p w14:paraId="791CC0A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宋体"/>
                <w:b/>
                <w:bCs/>
                <w:color w:val="auto"/>
                <w:szCs w:val="21"/>
                <w:lang w:val="en-US" w:eastAsia="zh-CN"/>
              </w:rPr>
            </w:pPr>
            <w:r>
              <w:rPr>
                <w:rFonts w:hint="eastAsia" w:ascii="Times New Roman" w:hAnsi="Times New Roman" w:eastAsia="宋体" w:cs="宋体"/>
                <w:b/>
                <w:bCs/>
                <w:color w:val="auto"/>
                <w:szCs w:val="21"/>
                <w:lang w:val="en-US" w:eastAsia="zh-CN"/>
              </w:rPr>
              <w:t>表4-1  项目占地损失生物量统计表</w:t>
            </w:r>
          </w:p>
          <w:tbl>
            <w:tblPr>
              <w:tblStyle w:val="2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50"/>
              <w:gridCol w:w="1343"/>
              <w:gridCol w:w="1477"/>
              <w:gridCol w:w="1542"/>
              <w:gridCol w:w="1480"/>
            </w:tblGrid>
            <w:tr w14:paraId="16D6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407" w:type="pct"/>
                  <w:noWrap w:val="0"/>
                  <w:vAlign w:val="center"/>
                </w:tcPr>
                <w:p w14:paraId="58679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kern w:val="0"/>
                      <w:sz w:val="21"/>
                      <w:szCs w:val="21"/>
                      <w:u w:val="none"/>
                      <w:lang w:val="en-US" w:eastAsia="zh-CN" w:bidi="ar"/>
                    </w:rPr>
                    <w:t>序号</w:t>
                  </w:r>
                </w:p>
              </w:tc>
              <w:tc>
                <w:tcPr>
                  <w:tcW w:w="1011" w:type="pct"/>
                  <w:noWrap w:val="0"/>
                  <w:vAlign w:val="center"/>
                </w:tcPr>
                <w:p w14:paraId="383427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kern w:val="0"/>
                      <w:sz w:val="21"/>
                      <w:szCs w:val="21"/>
                      <w:u w:val="none"/>
                      <w:lang w:val="en-US" w:eastAsia="zh-CN" w:bidi="ar"/>
                    </w:rPr>
                    <w:t>类别</w:t>
                  </w:r>
                </w:p>
              </w:tc>
              <w:tc>
                <w:tcPr>
                  <w:tcW w:w="823" w:type="pct"/>
                  <w:noWrap w:val="0"/>
                  <w:vAlign w:val="center"/>
                </w:tcPr>
                <w:p w14:paraId="249B8D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kern w:val="0"/>
                      <w:sz w:val="21"/>
                      <w:szCs w:val="21"/>
                      <w:u w:val="none"/>
                      <w:lang w:val="en-US" w:eastAsia="zh-CN" w:bidi="ar"/>
                    </w:rPr>
                    <w:t>面积（</w:t>
                  </w:r>
                  <w:r>
                    <w:rPr>
                      <w:rFonts w:hint="default" w:ascii="Times New Roman" w:hAnsi="Times New Roman" w:cs="Times New Roman"/>
                      <w:b w:val="0"/>
                      <w:bCs w:val="0"/>
                      <w:i w:val="0"/>
                      <w:iCs w:val="0"/>
                      <w:color w:val="auto"/>
                      <w:kern w:val="0"/>
                      <w:sz w:val="21"/>
                      <w:szCs w:val="21"/>
                      <w:u w:val="none"/>
                      <w:lang w:val="en-US" w:eastAsia="zh-CN" w:bidi="ar"/>
                    </w:rPr>
                    <w:t>m</w:t>
                  </w:r>
                  <w:r>
                    <w:rPr>
                      <w:rFonts w:hint="default" w:ascii="Times New Roman" w:hAnsi="Times New Roman" w:cs="Times New Roman"/>
                      <w:b w:val="0"/>
                      <w:bCs w:val="0"/>
                      <w:i w:val="0"/>
                      <w:iCs w:val="0"/>
                      <w:color w:val="auto"/>
                      <w:kern w:val="0"/>
                      <w:sz w:val="21"/>
                      <w:szCs w:val="21"/>
                      <w:u w:val="none"/>
                      <w:vertAlign w:val="superscript"/>
                      <w:lang w:val="en-US" w:eastAsia="zh-CN" w:bidi="ar"/>
                    </w:rPr>
                    <w:t>2</w:t>
                  </w:r>
                  <w:r>
                    <w:rPr>
                      <w:rFonts w:hint="eastAsia" w:ascii="宋体" w:hAnsi="宋体" w:eastAsia="宋体" w:cs="宋体"/>
                      <w:b w:val="0"/>
                      <w:bCs w:val="0"/>
                      <w:i w:val="0"/>
                      <w:iCs w:val="0"/>
                      <w:color w:val="auto"/>
                      <w:kern w:val="0"/>
                      <w:sz w:val="21"/>
                      <w:szCs w:val="21"/>
                      <w:u w:val="none"/>
                      <w:lang w:val="en-US" w:eastAsia="zh-CN" w:bidi="ar"/>
                    </w:rPr>
                    <w:t>）</w:t>
                  </w:r>
                </w:p>
              </w:tc>
              <w:tc>
                <w:tcPr>
                  <w:tcW w:w="905" w:type="pct"/>
                  <w:noWrap w:val="0"/>
                  <w:vAlign w:val="center"/>
                </w:tcPr>
                <w:p w14:paraId="56E7E6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kern w:val="0"/>
                      <w:sz w:val="21"/>
                      <w:szCs w:val="21"/>
                      <w:u w:val="none"/>
                      <w:lang w:val="en-US" w:eastAsia="zh-CN" w:bidi="ar"/>
                    </w:rPr>
                    <w:t>占地类型</w:t>
                  </w:r>
                </w:p>
              </w:tc>
              <w:tc>
                <w:tcPr>
                  <w:tcW w:w="945" w:type="pct"/>
                  <w:noWrap/>
                  <w:vAlign w:val="center"/>
                </w:tcPr>
                <w:p w14:paraId="726E74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平均生物量（t/ha·a）</w:t>
                  </w:r>
                </w:p>
              </w:tc>
              <w:tc>
                <w:tcPr>
                  <w:tcW w:w="907" w:type="pct"/>
                  <w:noWrap/>
                  <w:vAlign w:val="center"/>
                </w:tcPr>
                <w:p w14:paraId="2F2F2A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损失生物量（t/a）</w:t>
                  </w:r>
                </w:p>
              </w:tc>
            </w:tr>
            <w:tr w14:paraId="1DED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07" w:type="pct"/>
                  <w:noWrap w:val="0"/>
                  <w:vAlign w:val="center"/>
                </w:tcPr>
                <w:p w14:paraId="15D1A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11" w:type="pct"/>
                  <w:noWrap w:val="0"/>
                  <w:vAlign w:val="center"/>
                </w:tcPr>
                <w:p w14:paraId="30AF1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2地子火区</w:t>
                  </w:r>
                </w:p>
              </w:tc>
              <w:tc>
                <w:tcPr>
                  <w:tcW w:w="823" w:type="pct"/>
                  <w:noWrap w:val="0"/>
                  <w:vAlign w:val="center"/>
                </w:tcPr>
                <w:p w14:paraId="22C301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5559</w:t>
                  </w:r>
                </w:p>
              </w:tc>
              <w:tc>
                <w:tcPr>
                  <w:tcW w:w="905" w:type="pct"/>
                  <w:noWrap w:val="0"/>
                  <w:vAlign w:val="center"/>
                </w:tcPr>
                <w:p w14:paraId="47FD33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天然牧草地</w:t>
                  </w:r>
                </w:p>
              </w:tc>
              <w:tc>
                <w:tcPr>
                  <w:tcW w:w="945" w:type="pct"/>
                  <w:noWrap/>
                  <w:vAlign w:val="center"/>
                </w:tcPr>
                <w:p w14:paraId="2DB141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4.1</w:t>
                  </w:r>
                </w:p>
              </w:tc>
              <w:tc>
                <w:tcPr>
                  <w:tcW w:w="907" w:type="pct"/>
                  <w:noWrap/>
                  <w:vAlign w:val="center"/>
                </w:tcPr>
                <w:p w14:paraId="7AE10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2.28</w:t>
                  </w:r>
                </w:p>
              </w:tc>
            </w:tr>
            <w:tr w14:paraId="2BD1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07" w:type="pct"/>
                  <w:noWrap w:val="0"/>
                  <w:vAlign w:val="center"/>
                </w:tcPr>
                <w:p w14:paraId="629B3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011" w:type="pct"/>
                  <w:noWrap w:val="0"/>
                  <w:vAlign w:val="center"/>
                </w:tcPr>
                <w:p w14:paraId="3F2E0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3号子火区</w:t>
                  </w:r>
                </w:p>
              </w:tc>
              <w:tc>
                <w:tcPr>
                  <w:tcW w:w="823" w:type="pct"/>
                  <w:noWrap w:val="0"/>
                  <w:vAlign w:val="center"/>
                </w:tcPr>
                <w:p w14:paraId="72B84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7140</w:t>
                  </w:r>
                </w:p>
              </w:tc>
              <w:tc>
                <w:tcPr>
                  <w:tcW w:w="905" w:type="pct"/>
                  <w:noWrap w:val="0"/>
                  <w:vAlign w:val="center"/>
                </w:tcPr>
                <w:p w14:paraId="1FA77F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天然牧草地</w:t>
                  </w:r>
                </w:p>
              </w:tc>
              <w:tc>
                <w:tcPr>
                  <w:tcW w:w="945" w:type="pct"/>
                  <w:noWrap/>
                  <w:vAlign w:val="center"/>
                </w:tcPr>
                <w:p w14:paraId="5D1539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4.1</w:t>
                  </w:r>
                </w:p>
              </w:tc>
              <w:tc>
                <w:tcPr>
                  <w:tcW w:w="907" w:type="pct"/>
                  <w:noWrap/>
                  <w:vAlign w:val="center"/>
                </w:tcPr>
                <w:p w14:paraId="5FAA2F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2.93</w:t>
                  </w:r>
                </w:p>
              </w:tc>
            </w:tr>
            <w:tr w14:paraId="344B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07" w:type="pct"/>
                  <w:noWrap w:val="0"/>
                  <w:vAlign w:val="center"/>
                </w:tcPr>
                <w:p w14:paraId="678047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w:t>
                  </w:r>
                </w:p>
              </w:tc>
              <w:tc>
                <w:tcPr>
                  <w:tcW w:w="1011" w:type="pct"/>
                  <w:noWrap w:val="0"/>
                  <w:vAlign w:val="center"/>
                </w:tcPr>
                <w:p w14:paraId="22BA3F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采土场</w:t>
                  </w:r>
                </w:p>
              </w:tc>
              <w:tc>
                <w:tcPr>
                  <w:tcW w:w="823" w:type="pct"/>
                  <w:noWrap w:val="0"/>
                  <w:vAlign w:val="center"/>
                </w:tcPr>
                <w:p w14:paraId="114B47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17230</w:t>
                  </w:r>
                </w:p>
              </w:tc>
              <w:tc>
                <w:tcPr>
                  <w:tcW w:w="905" w:type="pct"/>
                  <w:noWrap w:val="0"/>
                  <w:vAlign w:val="center"/>
                </w:tcPr>
                <w:p w14:paraId="294551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天然牧草地</w:t>
                  </w:r>
                </w:p>
              </w:tc>
              <w:tc>
                <w:tcPr>
                  <w:tcW w:w="945" w:type="pct"/>
                  <w:noWrap/>
                  <w:vAlign w:val="center"/>
                </w:tcPr>
                <w:p w14:paraId="66DEAF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4.1</w:t>
                  </w:r>
                </w:p>
              </w:tc>
              <w:tc>
                <w:tcPr>
                  <w:tcW w:w="907" w:type="pct"/>
                  <w:noWrap/>
                  <w:vAlign w:val="center"/>
                </w:tcPr>
                <w:p w14:paraId="2229C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7.06</w:t>
                  </w:r>
                </w:p>
              </w:tc>
            </w:tr>
            <w:tr w14:paraId="6F1E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092" w:type="pct"/>
                  <w:gridSpan w:val="5"/>
                  <w:noWrap w:val="0"/>
                  <w:vAlign w:val="center"/>
                </w:tcPr>
                <w:p w14:paraId="6AE7CE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合计</w:t>
                  </w:r>
                </w:p>
              </w:tc>
              <w:tc>
                <w:tcPr>
                  <w:tcW w:w="907" w:type="pct"/>
                  <w:noWrap/>
                  <w:vAlign w:val="center"/>
                </w:tcPr>
                <w:p w14:paraId="552B1A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12.27</w:t>
                  </w:r>
                </w:p>
              </w:tc>
            </w:tr>
          </w:tbl>
          <w:p w14:paraId="429B9111">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1"/>
                <w:szCs w:val="21"/>
              </w:rPr>
            </w:pPr>
            <w:r>
              <w:rPr>
                <w:rFonts w:hint="eastAsia" w:ascii="Times New Roman" w:hAnsi="Times New Roman" w:cs="Times New Roman"/>
                <w:bCs w:val="0"/>
                <w:iCs/>
                <w:color w:val="auto"/>
                <w:sz w:val="21"/>
                <w:szCs w:val="21"/>
                <w:lang w:val="en-US" w:eastAsia="zh-CN"/>
              </w:rPr>
              <w:t>注：</w:t>
            </w:r>
            <w:r>
              <w:rPr>
                <w:rFonts w:hint="default" w:ascii="Times New Roman" w:hAnsi="Times New Roman" w:cs="Times New Roman"/>
                <w:bCs w:val="0"/>
                <w:iCs/>
                <w:color w:val="auto"/>
                <w:sz w:val="21"/>
                <w:szCs w:val="21"/>
                <w:lang w:val="en-US" w:eastAsia="zh-CN"/>
              </w:rPr>
              <w:t>《中国区域植被地上与地下生物量模拟》（生态学报，26（12）：4153-4163）</w:t>
            </w:r>
          </w:p>
          <w:p w14:paraId="119BE34A">
            <w:pPr>
              <w:pStyle w:val="15"/>
              <w:keepNext w:val="0"/>
              <w:keepLines w:val="0"/>
              <w:suppressLineNumbers w:val="0"/>
              <w:spacing w:before="0" w:beforeAutospacing="0" w:after="0" w:afterAutospacing="0"/>
              <w:ind w:left="0" w:right="0" w:firstLine="420"/>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项目</w:t>
            </w:r>
            <w:r>
              <w:rPr>
                <w:rFonts w:hint="eastAsia" w:ascii="Times New Roman" w:hAnsi="Times New Roman" w:cs="Times New Roman"/>
                <w:color w:val="auto"/>
                <w:sz w:val="24"/>
                <w:szCs w:val="24"/>
                <w:lang w:val="en-US" w:eastAsia="zh-CN"/>
              </w:rPr>
              <w:t>钻探、土方开挖等</w:t>
            </w:r>
            <w:r>
              <w:rPr>
                <w:rFonts w:hint="eastAsia" w:ascii="Times New Roman" w:hAnsi="Times New Roman" w:cs="Times New Roman"/>
                <w:color w:val="auto"/>
                <w:sz w:val="24"/>
                <w:szCs w:val="24"/>
              </w:rPr>
              <w:t>将临时改变原有土地利用性质，项目临时占地区域主要为</w:t>
            </w:r>
            <w:r>
              <w:rPr>
                <w:rFonts w:hint="eastAsia" w:ascii="Times New Roman" w:hAnsi="Times New Roman" w:eastAsia="宋体" w:cs="Times New Roman"/>
                <w:color w:val="auto"/>
                <w:sz w:val="24"/>
                <w:szCs w:val="24"/>
                <w:highlight w:val="none"/>
                <w:lang w:val="en-US" w:eastAsia="zh-CN"/>
              </w:rPr>
              <w:t>伊犁娟蒿、针茅、苦豆子、刺叶锦鸡儿、猪毛菜、小蓟</w:t>
            </w:r>
            <w:r>
              <w:rPr>
                <w:rFonts w:hint="eastAsia" w:ascii="Times New Roman" w:hAnsi="Times New Roman" w:cs="Times New Roman"/>
                <w:color w:val="auto"/>
                <w:sz w:val="24"/>
                <w:szCs w:val="24"/>
              </w:rPr>
              <w:t>等自然生长的植被，受影响的植物物种不是地方特有种，分布区域比较广泛，影响范围内受影响的上述植被均属一般常见种，生长范围广，适应性强，不存在因局部植被管理不慎而导致植物种群消失或灭绝。项目</w:t>
            </w:r>
            <w:r>
              <w:rPr>
                <w:rFonts w:hint="eastAsia" w:ascii="Times New Roman" w:hAnsi="Times New Roman" w:cs="Times New Roman"/>
                <w:color w:val="auto"/>
                <w:sz w:val="24"/>
                <w:szCs w:val="24"/>
                <w:lang w:val="en-US" w:eastAsia="zh-CN"/>
              </w:rPr>
              <w:t>治理</w:t>
            </w:r>
            <w:r>
              <w:rPr>
                <w:rFonts w:hint="eastAsia" w:ascii="Times New Roman" w:hAnsi="Times New Roman" w:cs="Times New Roman"/>
                <w:color w:val="auto"/>
                <w:sz w:val="24"/>
                <w:szCs w:val="24"/>
              </w:rPr>
              <w:t>结束后将在临时占地区域进行土地复垦、播撒草籽，减少因项目实施对区域生态环境的影响，因此可以认为项目实施在履行土地复垦恢复地貌的措施下，对于区域植被破坏影响有限，虽然造成了一定自然植被数量的减少，但是对区域物种本身的生存和总体数量规模不会形成威胁，区域不会因项目的实施而导致自然植被总量明显下降。</w:t>
            </w:r>
          </w:p>
          <w:p w14:paraId="20565827">
            <w:pPr>
              <w:pStyle w:val="15"/>
              <w:keepNext w:val="0"/>
              <w:keepLines w:val="0"/>
              <w:suppressLineNumbers w:val="0"/>
              <w:spacing w:before="0" w:beforeAutospacing="0" w:after="0" w:afterAutospacing="0"/>
              <w:ind w:left="0" w:right="0" w:firstLine="420"/>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w:t>
            </w:r>
            <w:r>
              <w:rPr>
                <w:rFonts w:hint="default" w:ascii="Times New Roman" w:hAnsi="Times New Roman" w:cs="Times New Roman"/>
                <w:color w:val="auto"/>
                <w:sz w:val="24"/>
                <w:szCs w:val="24"/>
              </w:rPr>
              <w:t>2</w:t>
            </w:r>
            <w:r>
              <w:rPr>
                <w:rFonts w:hint="eastAsia" w:ascii="Times New Roman" w:hAnsi="Times New Roman" w:cs="Times New Roman"/>
                <w:color w:val="auto"/>
                <w:sz w:val="24"/>
                <w:szCs w:val="24"/>
              </w:rPr>
              <w:t>）对生态结构和稳定性的影响</w:t>
            </w:r>
          </w:p>
          <w:p w14:paraId="6536C58C">
            <w:pPr>
              <w:pStyle w:val="15"/>
              <w:keepNext w:val="0"/>
              <w:keepLines w:val="0"/>
              <w:suppressLineNumbers w:val="0"/>
              <w:spacing w:before="0" w:beforeAutospacing="0" w:after="0" w:afterAutospacing="0"/>
              <w:ind w:left="0" w:right="0" w:firstLine="42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火区治理</w:t>
            </w:r>
            <w:r>
              <w:rPr>
                <w:rFonts w:hint="eastAsia" w:ascii="Times New Roman" w:hAnsi="Times New Roman" w:cs="Times New Roman"/>
                <w:color w:val="auto"/>
                <w:sz w:val="24"/>
                <w:szCs w:val="24"/>
              </w:rPr>
              <w:t>期间施工机械及车辆对临时占地区域的碾压、施工人员的践踏以及土石方填挖、场地平整活动等将使临时占地区域的自然植被遭受直接的破坏，但对于此类植被而言，不会造成植物生存环境被阻断，不会打断植物基因交流，种子生产和种子库更新等过程也不会被打断。因此，现有植物群落的物种组成不会因此发生改变，加之区域植被群落结构较为简单，由不同植物群落组成的生态系统结构也不会发生改变，生态系统的功能和其中的生态关系也仍能延续。项目临时占用天然牧草地，虽然会临时减少牧草资源数量，但</w:t>
            </w:r>
            <w:r>
              <w:rPr>
                <w:rFonts w:hint="eastAsia" w:ascii="Times New Roman" w:hAnsi="Times New Roman" w:cs="Times New Roman"/>
                <w:color w:val="auto"/>
                <w:sz w:val="24"/>
                <w:szCs w:val="24"/>
                <w:lang w:val="en-US" w:eastAsia="zh-CN"/>
              </w:rPr>
              <w:t>治理工程</w:t>
            </w:r>
            <w:r>
              <w:rPr>
                <w:rFonts w:hint="eastAsia" w:ascii="Times New Roman" w:hAnsi="Times New Roman" w:cs="Times New Roman"/>
                <w:color w:val="auto"/>
                <w:sz w:val="24"/>
                <w:szCs w:val="24"/>
              </w:rPr>
              <w:t>结束后通过对临时占地进行生态恢复，对其生态效能影响不大。</w:t>
            </w:r>
          </w:p>
          <w:p w14:paraId="363116FF">
            <w:pPr>
              <w:pStyle w:val="15"/>
              <w:keepNext w:val="0"/>
              <w:keepLines w:val="0"/>
              <w:suppressLineNumbers w:val="0"/>
              <w:spacing w:before="0" w:beforeAutospacing="0" w:after="0" w:afterAutospacing="0"/>
              <w:ind w:left="0" w:right="0" w:firstLine="420"/>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 xml:space="preserve"> 在</w:t>
            </w:r>
            <w:r>
              <w:rPr>
                <w:rFonts w:hint="eastAsia" w:ascii="Times New Roman" w:hAnsi="Times New Roman" w:cs="Times New Roman"/>
                <w:color w:val="auto"/>
                <w:sz w:val="24"/>
                <w:szCs w:val="24"/>
                <w:lang w:val="en-US" w:eastAsia="zh-CN"/>
              </w:rPr>
              <w:t>火区治理</w:t>
            </w:r>
            <w:r>
              <w:rPr>
                <w:rFonts w:hint="eastAsia" w:ascii="Times New Roman" w:hAnsi="Times New Roman" w:cs="Times New Roman"/>
                <w:color w:val="auto"/>
                <w:sz w:val="24"/>
                <w:szCs w:val="24"/>
              </w:rPr>
              <w:t>工程影响范围内，受影响的植物属一般常见种，其生长范围广，适应性强。地表植被的损失将对现有生态系统产生一定影响，但由于损失的面积相对于整个项目工作区很小，</w:t>
            </w:r>
            <w:r>
              <w:rPr>
                <w:rFonts w:hint="eastAsia" w:ascii="Times New Roman" w:hAnsi="Times New Roman" w:cs="Times New Roman"/>
                <w:color w:val="auto"/>
                <w:sz w:val="24"/>
                <w:szCs w:val="24"/>
                <w:lang w:val="en-US" w:eastAsia="zh-CN"/>
              </w:rPr>
              <w:t>治理工程</w:t>
            </w:r>
            <w:r>
              <w:rPr>
                <w:rFonts w:hint="eastAsia" w:ascii="Times New Roman" w:hAnsi="Times New Roman" w:cs="Times New Roman"/>
                <w:color w:val="auto"/>
                <w:sz w:val="24"/>
                <w:szCs w:val="24"/>
              </w:rPr>
              <w:t>结束后临时占地土地复垦将弥补部分损失的生物量，因此项目实施不会影响项目区的生态系统稳定性和完整性。</w:t>
            </w:r>
          </w:p>
          <w:p w14:paraId="334EB978">
            <w:pPr>
              <w:pStyle w:val="15"/>
              <w:keepNext w:val="0"/>
              <w:keepLines w:val="0"/>
              <w:suppressLineNumbers w:val="0"/>
              <w:spacing w:before="0" w:beforeAutospacing="0" w:after="0" w:afterAutospacing="0"/>
              <w:ind w:left="0" w:right="0" w:firstLine="42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（3）对国家重点保护植物和古树名木的影响</w:t>
            </w:r>
          </w:p>
          <w:p w14:paraId="3659399E">
            <w:pPr>
              <w:pStyle w:val="15"/>
              <w:keepNext w:val="0"/>
              <w:keepLines w:val="0"/>
              <w:suppressLineNumbers w:val="0"/>
              <w:spacing w:before="0" w:beforeAutospacing="0" w:after="0" w:afterAutospacing="0"/>
              <w:ind w:left="0" w:right="0" w:firstLine="420"/>
              <w:rPr>
                <w:rFonts w:hint="default" w:ascii="Times New Roman" w:hAnsi="Times New Roman" w:cs="Times New Roman"/>
                <w:color w:val="auto"/>
                <w:sz w:val="21"/>
                <w:szCs w:val="21"/>
              </w:rPr>
            </w:pPr>
            <w:r>
              <w:rPr>
                <w:rFonts w:hint="default" w:ascii="Times New Roman" w:hAnsi="Times New Roman" w:cs="Times New Roman"/>
                <w:color w:val="auto"/>
                <w:sz w:val="24"/>
                <w:szCs w:val="24"/>
              </w:rPr>
              <w:t>通过现场实地调查和</w:t>
            </w:r>
            <w:r>
              <w:rPr>
                <w:rFonts w:hint="eastAsia" w:ascii="Times New Roman" w:hAnsi="Times New Roman" w:cs="Times New Roman"/>
                <w:color w:val="auto"/>
                <w:sz w:val="24"/>
                <w:szCs w:val="24"/>
              </w:rPr>
              <w:t>资料收集</w:t>
            </w:r>
            <w:r>
              <w:rPr>
                <w:rFonts w:hint="default" w:ascii="Times New Roman" w:hAnsi="Times New Roman" w:cs="Times New Roman"/>
                <w:color w:val="auto"/>
                <w:sz w:val="24"/>
                <w:szCs w:val="24"/>
              </w:rPr>
              <w:t>，项目</w:t>
            </w:r>
            <w:r>
              <w:rPr>
                <w:rFonts w:hint="eastAsia" w:ascii="Times New Roman" w:hAnsi="Times New Roman" w:cs="Times New Roman"/>
                <w:color w:val="auto"/>
                <w:sz w:val="24"/>
                <w:szCs w:val="24"/>
              </w:rPr>
              <w:t>占地及评价范围</w:t>
            </w:r>
            <w:r>
              <w:rPr>
                <w:rFonts w:hint="default" w:ascii="Times New Roman" w:hAnsi="Times New Roman" w:cs="Times New Roman"/>
                <w:color w:val="auto"/>
                <w:sz w:val="24"/>
                <w:szCs w:val="24"/>
              </w:rPr>
              <w:t>内未发现国家级</w:t>
            </w:r>
            <w:r>
              <w:rPr>
                <w:rFonts w:hint="eastAsia" w:ascii="Times New Roman" w:hAnsi="Times New Roman" w:cs="Times New Roman"/>
                <w:color w:val="auto"/>
                <w:sz w:val="24"/>
                <w:szCs w:val="24"/>
              </w:rPr>
              <w:t>、自治区级</w:t>
            </w:r>
            <w:r>
              <w:rPr>
                <w:rFonts w:hint="default" w:ascii="Times New Roman" w:hAnsi="Times New Roman" w:cs="Times New Roman"/>
                <w:color w:val="auto"/>
                <w:sz w:val="24"/>
                <w:szCs w:val="24"/>
              </w:rPr>
              <w:t>的名木古树</w:t>
            </w:r>
            <w:r>
              <w:rPr>
                <w:rFonts w:hint="eastAsia" w:ascii="Times New Roman" w:hAnsi="Times New Roman" w:cs="Times New Roman"/>
                <w:color w:val="auto"/>
                <w:sz w:val="24"/>
                <w:szCs w:val="24"/>
              </w:rPr>
              <w:t>及重点保护植物</w:t>
            </w:r>
            <w:r>
              <w:rPr>
                <w:rFonts w:hint="default" w:ascii="Times New Roman" w:hAnsi="Times New Roman" w:cs="Times New Roman"/>
                <w:color w:val="auto"/>
                <w:sz w:val="24"/>
                <w:szCs w:val="24"/>
              </w:rPr>
              <w:t>。</w:t>
            </w:r>
          </w:p>
          <w:p w14:paraId="3A68BC7C">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bookmarkStart w:id="38" w:name="_Toc467086564"/>
            <w:r>
              <w:rPr>
                <w:rFonts w:hint="eastAsia" w:ascii="Times New Roman" w:hAnsi="Times New Roman" w:cs="Times New Roman"/>
                <w:b/>
                <w:bCs/>
                <w:color w:val="auto"/>
                <w:sz w:val="24"/>
                <w:szCs w:val="24"/>
              </w:rPr>
              <w:t>1.</w:t>
            </w:r>
            <w:r>
              <w:rPr>
                <w:rFonts w:hint="eastAsia" w:ascii="Times New Roman" w:hAnsi="Times New Roman" w:cs="Times New Roman"/>
                <w:b/>
                <w:bCs/>
                <w:color w:val="auto"/>
                <w:sz w:val="24"/>
                <w:szCs w:val="24"/>
                <w:lang w:val="en-US" w:eastAsia="zh-CN"/>
              </w:rPr>
              <w:t>4</w:t>
            </w:r>
            <w:r>
              <w:rPr>
                <w:rFonts w:hint="eastAsia" w:ascii="Times New Roman" w:hAnsi="Times New Roman" w:cs="Times New Roman"/>
                <w:b/>
                <w:bCs/>
                <w:color w:val="auto"/>
                <w:sz w:val="24"/>
                <w:szCs w:val="24"/>
              </w:rPr>
              <w:t>对野生动</w:t>
            </w:r>
            <w:bookmarkEnd w:id="38"/>
            <w:r>
              <w:rPr>
                <w:rFonts w:hint="eastAsia" w:ascii="Times New Roman" w:hAnsi="Times New Roman" w:cs="Times New Roman"/>
                <w:b/>
                <w:bCs/>
                <w:color w:val="auto"/>
                <w:sz w:val="24"/>
                <w:szCs w:val="24"/>
              </w:rPr>
              <w:t>物影响分析</w:t>
            </w:r>
          </w:p>
          <w:p w14:paraId="1B347951">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施工机械噪声是影响野生动物的主要因素，各种施工机械如运输车辆、钻机等均可能产生较强的噪声。虽然这些施工机械属非连续性间歇排放，但由于噪声源相对集中，且多为裸露声源，故其有一定辐射范围。预计在施工期，本区的野生动物都将产生规避反应，远离这一地区，特别是鸟类，其栖息和繁殖环境需要相对的安静。</w:t>
            </w:r>
            <w:r>
              <w:rPr>
                <w:rFonts w:hint="eastAsia" w:cs="Times New Roman"/>
                <w:color w:val="auto"/>
                <w:sz w:val="24"/>
                <w:szCs w:val="24"/>
                <w:lang w:val="en-US" w:eastAsia="zh-CN"/>
              </w:rPr>
              <w:t>根据现场调查</w:t>
            </w:r>
            <w:r>
              <w:rPr>
                <w:rFonts w:hint="eastAsia" w:ascii="Times New Roman" w:hAnsi="Times New Roman" w:eastAsia="宋体" w:cs="Times New Roman"/>
                <w:color w:val="auto"/>
                <w:sz w:val="24"/>
                <w:szCs w:val="24"/>
                <w:lang w:val="en-US" w:eastAsia="zh-CN"/>
              </w:rPr>
              <w:t>，项目区主要野生鸟类为麻雀、乌鸦等常见鸟类，区域内未发现较为珍稀的野生鸟类。因此，本项目的建设对国家保护鸟类的迁徙路线和栖息环境不会产生太大干扰。据调查，本区无大型野生动物，哺乳动物主要是鼠、兔等小型动物；因此，施工期对野生动物的影响较小。</w:t>
            </w:r>
          </w:p>
          <w:p w14:paraId="3F3DADF2">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bookmarkStart w:id="39" w:name="_Toc467086566"/>
            <w:bookmarkStart w:id="40" w:name="_Toc467086567"/>
            <w:r>
              <w:rPr>
                <w:rFonts w:hint="eastAsia" w:ascii="Times New Roman" w:hAnsi="Times New Roman" w:cs="Times New Roman"/>
                <w:b/>
                <w:bCs/>
                <w:color w:val="auto"/>
                <w:sz w:val="24"/>
                <w:szCs w:val="24"/>
              </w:rPr>
              <w:t>1.5景观格局及景观多样性影响</w:t>
            </w:r>
            <w:bookmarkEnd w:id="39"/>
          </w:p>
          <w:p w14:paraId="5F2B2D2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bookmarkStart w:id="41" w:name="_Toc300245109"/>
            <w:bookmarkEnd w:id="41"/>
            <w:bookmarkStart w:id="42" w:name="_Toc277495869"/>
            <w:bookmarkEnd w:id="42"/>
            <w:bookmarkStart w:id="43" w:name="_Toc466979108"/>
            <w:bookmarkEnd w:id="43"/>
            <w:r>
              <w:rPr>
                <w:rFonts w:hint="eastAsia" w:ascii="Times New Roman" w:hAnsi="Times New Roman" w:cs="Times New Roman"/>
                <w:color w:val="auto"/>
                <w:sz w:val="24"/>
                <w:szCs w:val="24"/>
              </w:rPr>
              <w:t>（1）</w:t>
            </w:r>
            <w:r>
              <w:rPr>
                <w:rFonts w:hint="default" w:ascii="Times New Roman" w:hAnsi="Times New Roman" w:cs="Times New Roman"/>
                <w:color w:val="auto"/>
                <w:sz w:val="24"/>
                <w:szCs w:val="24"/>
              </w:rPr>
              <w:t>对景观格局的影响分析</w:t>
            </w:r>
          </w:p>
          <w:p w14:paraId="2E3FEF1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根据景观生态学中“斑块-廊道-基质”理论，景观由斑块、廊道和基质组成，其中基质是景观的背景地块，控制环境质量的组分。项目</w:t>
            </w:r>
            <w:r>
              <w:rPr>
                <w:rFonts w:hint="eastAsia" w:ascii="Times New Roman" w:hAnsi="Times New Roman" w:cs="Times New Roman"/>
                <w:color w:val="auto"/>
                <w:sz w:val="24"/>
                <w:szCs w:val="24"/>
              </w:rPr>
              <w:t>位于</w:t>
            </w:r>
            <w:r>
              <w:rPr>
                <w:rFonts w:hint="eastAsia" w:cs="Times New Roman"/>
                <w:color w:val="auto"/>
                <w:sz w:val="24"/>
                <w:szCs w:val="24"/>
                <w:u w:val="none"/>
                <w:lang w:val="en-US" w:eastAsia="zh-CN"/>
              </w:rPr>
              <w:t>阜康市甘河</w:t>
            </w:r>
            <w:r>
              <w:rPr>
                <w:rFonts w:hint="eastAsia" w:ascii="Times New Roman" w:hAnsi="Times New Roman" w:cs="Times New Roman"/>
                <w:color w:val="auto"/>
                <w:sz w:val="24"/>
                <w:szCs w:val="24"/>
                <w:u w:val="none"/>
                <w:shd w:val="clear" w:color="auto" w:fill="auto"/>
                <w:lang w:val="en-US" w:eastAsia="zh-CN"/>
              </w:rPr>
              <w:t>子镇西南</w:t>
            </w:r>
            <w:r>
              <w:rPr>
                <w:rFonts w:hint="eastAsia" w:cs="Times New Roman"/>
                <w:color w:val="auto"/>
                <w:sz w:val="24"/>
                <w:szCs w:val="24"/>
                <w:u w:val="none"/>
                <w:shd w:val="clear" w:color="auto" w:fill="auto"/>
                <w:lang w:val="en-US" w:eastAsia="zh-CN"/>
              </w:rPr>
              <w:t>3</w:t>
            </w:r>
            <w:r>
              <w:rPr>
                <w:rFonts w:hint="eastAsia" w:ascii="Times New Roman" w:hAnsi="Times New Roman" w:cs="Times New Roman"/>
                <w:color w:val="auto"/>
                <w:sz w:val="24"/>
                <w:szCs w:val="24"/>
                <w:u w:val="none"/>
                <w:shd w:val="clear" w:color="auto" w:fill="auto"/>
                <w:lang w:val="en-US" w:eastAsia="zh-CN"/>
              </w:rPr>
              <w:t>km处</w:t>
            </w:r>
            <w:r>
              <w:rPr>
                <w:rFonts w:hint="eastAsia" w:cs="Times New Roman"/>
                <w:color w:val="auto"/>
                <w:sz w:val="24"/>
                <w:szCs w:val="24"/>
                <w:u w:val="none"/>
                <w:shd w:val="clear" w:color="auto" w:fill="auto"/>
                <w:lang w:val="en-US" w:eastAsia="zh-CN"/>
              </w:rPr>
              <w:t>康龙煤矿</w:t>
            </w:r>
            <w:r>
              <w:rPr>
                <w:rFonts w:hint="eastAsia"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rPr>
              <w:t>整体区域</w:t>
            </w:r>
            <w:r>
              <w:rPr>
                <w:rFonts w:hint="default" w:ascii="Times New Roman" w:hAnsi="Times New Roman" w:cs="Times New Roman"/>
                <w:color w:val="auto"/>
                <w:sz w:val="24"/>
                <w:szCs w:val="24"/>
              </w:rPr>
              <w:t>景观格局以草地</w:t>
            </w:r>
            <w:r>
              <w:rPr>
                <w:rFonts w:hint="eastAsia"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采</w:t>
            </w:r>
            <w:r>
              <w:rPr>
                <w:rFonts w:hint="eastAsia" w:ascii="Times New Roman" w:hAnsi="Times New Roman" w:cs="Times New Roman"/>
                <w:color w:val="auto"/>
                <w:sz w:val="24"/>
                <w:szCs w:val="24"/>
              </w:rPr>
              <w:t>矿用地</w:t>
            </w:r>
            <w:r>
              <w:rPr>
                <w:rFonts w:hint="default" w:ascii="Times New Roman" w:hAnsi="Times New Roman" w:cs="Times New Roman"/>
                <w:color w:val="auto"/>
                <w:sz w:val="24"/>
                <w:szCs w:val="24"/>
              </w:rPr>
              <w:t>为基质，</w:t>
            </w:r>
            <w:r>
              <w:rPr>
                <w:rFonts w:hint="eastAsia" w:ascii="Times New Roman" w:hAnsi="Times New Roman" w:cs="Times New Roman"/>
                <w:color w:val="auto"/>
                <w:sz w:val="24"/>
                <w:szCs w:val="24"/>
              </w:rPr>
              <w:t>钻井、</w:t>
            </w:r>
            <w:r>
              <w:rPr>
                <w:rFonts w:hint="eastAsia" w:ascii="Times New Roman" w:hAnsi="Times New Roman" w:cs="Times New Roman"/>
                <w:color w:val="auto"/>
                <w:sz w:val="24"/>
                <w:szCs w:val="24"/>
                <w:lang w:val="en-US" w:eastAsia="zh-CN"/>
              </w:rPr>
              <w:t>土方开挖等</w:t>
            </w:r>
            <w:r>
              <w:rPr>
                <w:rFonts w:hint="eastAsia" w:ascii="Times New Roman" w:hAnsi="Times New Roman" w:cs="Times New Roman"/>
                <w:color w:val="auto"/>
                <w:sz w:val="24"/>
                <w:szCs w:val="24"/>
              </w:rPr>
              <w:t>均以</w:t>
            </w:r>
            <w:r>
              <w:rPr>
                <w:rFonts w:hint="default" w:ascii="Times New Roman" w:hAnsi="Times New Roman" w:cs="Times New Roman"/>
                <w:color w:val="auto"/>
                <w:sz w:val="24"/>
                <w:szCs w:val="24"/>
              </w:rPr>
              <w:t>斑块布局呈现。</w:t>
            </w:r>
            <w:r>
              <w:rPr>
                <w:rFonts w:hint="eastAsia" w:ascii="Times New Roman" w:hAnsi="Times New Roman" w:cs="Times New Roman"/>
                <w:color w:val="auto"/>
                <w:sz w:val="24"/>
                <w:szCs w:val="24"/>
              </w:rPr>
              <w:t>钻井、</w:t>
            </w:r>
            <w:r>
              <w:rPr>
                <w:rFonts w:hint="eastAsia" w:ascii="Times New Roman" w:hAnsi="Times New Roman" w:cs="Times New Roman"/>
                <w:color w:val="auto"/>
                <w:sz w:val="24"/>
                <w:szCs w:val="24"/>
                <w:lang w:val="en-US" w:eastAsia="zh-CN"/>
              </w:rPr>
              <w:t>土方开挖等</w:t>
            </w:r>
            <w:r>
              <w:rPr>
                <w:rFonts w:hint="eastAsia" w:ascii="Times New Roman" w:hAnsi="Times New Roman" w:cs="Times New Roman"/>
                <w:color w:val="auto"/>
                <w:sz w:val="24"/>
                <w:szCs w:val="24"/>
              </w:rPr>
              <w:t>将临时</w:t>
            </w:r>
            <w:r>
              <w:rPr>
                <w:rFonts w:hint="default" w:ascii="Times New Roman" w:hAnsi="Times New Roman" w:cs="Times New Roman"/>
                <w:color w:val="auto"/>
                <w:sz w:val="24"/>
                <w:szCs w:val="24"/>
              </w:rPr>
              <w:t>增加</w:t>
            </w:r>
            <w:r>
              <w:rPr>
                <w:rFonts w:hint="eastAsia" w:ascii="Times New Roman" w:hAnsi="Times New Roman" w:cs="Times New Roman"/>
                <w:color w:val="auto"/>
                <w:sz w:val="24"/>
                <w:szCs w:val="24"/>
                <w:lang w:val="en-US" w:eastAsia="zh-CN"/>
              </w:rPr>
              <w:t>采</w:t>
            </w:r>
            <w:r>
              <w:rPr>
                <w:rFonts w:hint="eastAsia" w:ascii="Times New Roman" w:hAnsi="Times New Roman" w:cs="Times New Roman"/>
                <w:color w:val="auto"/>
                <w:sz w:val="24"/>
                <w:szCs w:val="24"/>
              </w:rPr>
              <w:t>矿用地</w:t>
            </w:r>
            <w:r>
              <w:rPr>
                <w:rFonts w:hint="default" w:ascii="Times New Roman" w:hAnsi="Times New Roman" w:cs="Times New Roman"/>
                <w:color w:val="auto"/>
                <w:sz w:val="24"/>
                <w:szCs w:val="24"/>
              </w:rPr>
              <w:t>斑块数量，景观破碎程度加大。当</w:t>
            </w:r>
            <w:r>
              <w:rPr>
                <w:rFonts w:hint="eastAsia" w:ascii="Times New Roman" w:hAnsi="Times New Roman" w:cs="Times New Roman"/>
                <w:color w:val="auto"/>
                <w:sz w:val="24"/>
                <w:szCs w:val="24"/>
                <w:lang w:val="en-US" w:eastAsia="zh-CN"/>
              </w:rPr>
              <w:t>治理工程</w:t>
            </w:r>
            <w:r>
              <w:rPr>
                <w:rFonts w:hint="eastAsia" w:ascii="Times New Roman" w:hAnsi="Times New Roman" w:cs="Times New Roman"/>
                <w:color w:val="auto"/>
                <w:sz w:val="24"/>
                <w:szCs w:val="24"/>
              </w:rPr>
              <w:t>结束后</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rPr>
              <w:t>对临时占地进行土地复垦、播撒草籽，临时占地恢复到原本的景观形态，景观破碎程度将减小，项目实施前后景观总体</w:t>
            </w:r>
            <w:r>
              <w:rPr>
                <w:rFonts w:hint="default" w:ascii="Times New Roman" w:hAnsi="Times New Roman" w:cs="Times New Roman"/>
                <w:color w:val="auto"/>
                <w:sz w:val="24"/>
                <w:szCs w:val="24"/>
              </w:rPr>
              <w:t>变化</w:t>
            </w:r>
            <w:r>
              <w:rPr>
                <w:rFonts w:hint="eastAsia" w:ascii="Times New Roman" w:hAnsi="Times New Roman" w:cs="Times New Roman"/>
                <w:color w:val="auto"/>
                <w:sz w:val="24"/>
                <w:szCs w:val="24"/>
              </w:rPr>
              <w:t>不大，</w:t>
            </w:r>
            <w:r>
              <w:rPr>
                <w:rFonts w:hint="default" w:ascii="Times New Roman" w:hAnsi="Times New Roman" w:cs="Times New Roman"/>
                <w:color w:val="auto"/>
                <w:sz w:val="24"/>
                <w:szCs w:val="24"/>
              </w:rPr>
              <w:t>对景观整体</w:t>
            </w:r>
            <w:r>
              <w:rPr>
                <w:rFonts w:hint="eastAsia" w:ascii="Times New Roman" w:hAnsi="Times New Roman" w:cs="Times New Roman"/>
                <w:color w:val="auto"/>
                <w:sz w:val="24"/>
                <w:szCs w:val="24"/>
              </w:rPr>
              <w:t>影响</w:t>
            </w:r>
            <w:r>
              <w:rPr>
                <w:rFonts w:hint="default" w:ascii="Times New Roman" w:hAnsi="Times New Roman" w:cs="Times New Roman"/>
                <w:color w:val="auto"/>
                <w:sz w:val="24"/>
                <w:szCs w:val="24"/>
              </w:rPr>
              <w:t>不大。</w:t>
            </w:r>
          </w:p>
          <w:p w14:paraId="61750653">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（2）</w:t>
            </w:r>
            <w:r>
              <w:rPr>
                <w:rFonts w:hint="default" w:ascii="Times New Roman" w:hAnsi="Times New Roman" w:cs="Times New Roman"/>
                <w:color w:val="auto"/>
                <w:sz w:val="24"/>
                <w:szCs w:val="24"/>
              </w:rPr>
              <w:t>对景观稳定性影响分析</w:t>
            </w:r>
          </w:p>
          <w:p w14:paraId="7DD5ECB3">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景观生态基本稳定性是由具有较高的生物量和生命周期较长的物种（如树木和大型哺乳动物）等起决定作用的。稳定性主要以当生态系统受到干扰时，系统的恢复（指发生变化后恢复原来状态的能力，可用恢复时间来度量）和抗性（指景观在环境变化或潜在干扰下抗变化作用能力）来评价。</w:t>
            </w:r>
          </w:p>
          <w:p w14:paraId="5CCA54A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由于</w:t>
            </w:r>
            <w:r>
              <w:rPr>
                <w:rFonts w:hint="eastAsia" w:ascii="Times New Roman" w:hAnsi="Times New Roman" w:cs="Times New Roman"/>
                <w:color w:val="auto"/>
                <w:sz w:val="24"/>
                <w:szCs w:val="24"/>
              </w:rPr>
              <w:t>项目评价范围内以</w:t>
            </w:r>
            <w:r>
              <w:rPr>
                <w:rFonts w:hint="eastAsia" w:ascii="Times New Roman" w:hAnsi="Times New Roman" w:cs="Times New Roman"/>
                <w:color w:val="auto"/>
                <w:sz w:val="24"/>
                <w:szCs w:val="24"/>
                <w:lang w:val="en-US" w:eastAsia="zh-CN"/>
              </w:rPr>
              <w:t>采矿用地和天然牧草地</w:t>
            </w:r>
            <w:r>
              <w:rPr>
                <w:rFonts w:hint="default" w:ascii="Times New Roman" w:hAnsi="Times New Roman" w:cs="Times New Roman"/>
                <w:color w:val="auto"/>
                <w:sz w:val="24"/>
                <w:szCs w:val="24"/>
              </w:rPr>
              <w:t>为主</w:t>
            </w:r>
            <w:r>
              <w:rPr>
                <w:rFonts w:hint="eastAsia" w:ascii="Times New Roman" w:hAnsi="Times New Roman" w:cs="Times New Roman"/>
                <w:color w:val="auto"/>
                <w:sz w:val="24"/>
                <w:szCs w:val="24"/>
              </w:rPr>
              <w:t>，项目区周围受</w:t>
            </w:r>
            <w:r>
              <w:rPr>
                <w:rFonts w:hint="default" w:ascii="Times New Roman" w:hAnsi="Times New Roman" w:cs="Times New Roman"/>
                <w:color w:val="auto"/>
                <w:sz w:val="24"/>
                <w:szCs w:val="24"/>
              </w:rPr>
              <w:t>人类干扰</w:t>
            </w:r>
            <w:r>
              <w:rPr>
                <w:rFonts w:hint="eastAsia" w:ascii="Times New Roman" w:hAnsi="Times New Roman" w:cs="Times New Roman"/>
                <w:color w:val="auto"/>
                <w:sz w:val="24"/>
                <w:szCs w:val="24"/>
              </w:rPr>
              <w:t>较多</w:t>
            </w:r>
            <w:r>
              <w:rPr>
                <w:rFonts w:hint="default" w:ascii="Times New Roman" w:hAnsi="Times New Roman" w:cs="Times New Roman"/>
                <w:color w:val="auto"/>
                <w:sz w:val="24"/>
                <w:szCs w:val="24"/>
              </w:rPr>
              <w:t>，区域和周边的自然景观对于干扰的抗性以及受到干扰后</w:t>
            </w:r>
            <w:r>
              <w:rPr>
                <w:rFonts w:hint="eastAsia" w:ascii="Times New Roman" w:hAnsi="Times New Roman" w:cs="Times New Roman"/>
                <w:color w:val="auto"/>
                <w:sz w:val="24"/>
                <w:szCs w:val="24"/>
              </w:rPr>
              <w:t>有一定</w:t>
            </w:r>
            <w:r>
              <w:rPr>
                <w:rFonts w:hint="default" w:ascii="Times New Roman" w:hAnsi="Times New Roman" w:cs="Times New Roman"/>
                <w:color w:val="auto"/>
                <w:sz w:val="24"/>
                <w:szCs w:val="24"/>
              </w:rPr>
              <w:t>的自然调节能力。同时</w:t>
            </w:r>
            <w:r>
              <w:rPr>
                <w:rFonts w:hint="eastAsia" w:ascii="Times New Roman" w:hAnsi="Times New Roman" w:cs="Times New Roman"/>
                <w:color w:val="auto"/>
                <w:sz w:val="24"/>
                <w:szCs w:val="24"/>
              </w:rPr>
              <w:t>影响相对较大的各临时占地</w:t>
            </w:r>
            <w:r>
              <w:rPr>
                <w:rFonts w:hint="default" w:ascii="Times New Roman" w:hAnsi="Times New Roman" w:cs="Times New Roman"/>
                <w:color w:val="auto"/>
                <w:sz w:val="24"/>
                <w:szCs w:val="24"/>
              </w:rPr>
              <w:t>边界与周边生境</w:t>
            </w:r>
            <w:r>
              <w:rPr>
                <w:rFonts w:hint="eastAsia" w:ascii="Times New Roman" w:hAnsi="Times New Roman" w:cs="Times New Roman"/>
                <w:color w:val="auto"/>
                <w:sz w:val="24"/>
                <w:szCs w:val="24"/>
              </w:rPr>
              <w:t>也</w:t>
            </w:r>
            <w:r>
              <w:rPr>
                <w:rFonts w:hint="default" w:ascii="Times New Roman" w:hAnsi="Times New Roman" w:cs="Times New Roman"/>
                <w:color w:val="auto"/>
                <w:sz w:val="24"/>
                <w:szCs w:val="24"/>
              </w:rPr>
              <w:t>无大的阻碍，交流渠道</w:t>
            </w:r>
            <w:r>
              <w:rPr>
                <w:rFonts w:hint="eastAsia" w:ascii="Times New Roman" w:hAnsi="Times New Roman" w:cs="Times New Roman"/>
                <w:color w:val="auto"/>
                <w:sz w:val="24"/>
                <w:szCs w:val="24"/>
              </w:rPr>
              <w:t>比较</w:t>
            </w:r>
            <w:r>
              <w:rPr>
                <w:rFonts w:hint="default" w:ascii="Times New Roman" w:hAnsi="Times New Roman" w:cs="Times New Roman"/>
                <w:color w:val="auto"/>
                <w:sz w:val="24"/>
                <w:szCs w:val="24"/>
              </w:rPr>
              <w:t>畅顺，周边生境物种可以顺利</w:t>
            </w:r>
            <w:r>
              <w:rPr>
                <w:rFonts w:hint="eastAsia" w:cs="Times New Roman"/>
                <w:color w:val="auto"/>
                <w:sz w:val="24"/>
                <w:szCs w:val="24"/>
                <w:lang w:eastAsia="zh-CN"/>
              </w:rPr>
              <w:t>地</w:t>
            </w:r>
            <w:r>
              <w:rPr>
                <w:rFonts w:hint="default" w:ascii="Times New Roman" w:hAnsi="Times New Roman" w:cs="Times New Roman"/>
                <w:color w:val="auto"/>
                <w:sz w:val="24"/>
                <w:szCs w:val="24"/>
              </w:rPr>
              <w:t>进入</w:t>
            </w:r>
            <w:r>
              <w:rPr>
                <w:rFonts w:hint="eastAsia" w:ascii="Times New Roman" w:hAnsi="Times New Roman" w:cs="Times New Roman"/>
                <w:color w:val="auto"/>
                <w:sz w:val="24"/>
                <w:szCs w:val="24"/>
              </w:rPr>
              <w:t>项目区</w:t>
            </w:r>
            <w:r>
              <w:rPr>
                <w:rFonts w:hint="default" w:ascii="Times New Roman" w:hAnsi="Times New Roman" w:cs="Times New Roman"/>
                <w:color w:val="auto"/>
                <w:sz w:val="24"/>
                <w:szCs w:val="24"/>
              </w:rPr>
              <w:t>内，进</w:t>
            </w:r>
            <w:r>
              <w:rPr>
                <w:rFonts w:hint="eastAsia" w:ascii="Times New Roman" w:hAnsi="Times New Roman" w:cs="Times New Roman"/>
                <w:color w:val="auto"/>
                <w:sz w:val="24"/>
                <w:szCs w:val="24"/>
              </w:rPr>
              <w:t>而</w:t>
            </w:r>
            <w:r>
              <w:rPr>
                <w:rFonts w:hint="default" w:ascii="Times New Roman" w:hAnsi="Times New Roman" w:cs="Times New Roman"/>
                <w:color w:val="auto"/>
                <w:sz w:val="24"/>
                <w:szCs w:val="24"/>
              </w:rPr>
              <w:t>增加</w:t>
            </w:r>
            <w:r>
              <w:rPr>
                <w:rFonts w:hint="eastAsia" w:ascii="Times New Roman" w:hAnsi="Times New Roman" w:cs="Times New Roman"/>
                <w:color w:val="auto"/>
                <w:sz w:val="24"/>
                <w:szCs w:val="24"/>
              </w:rPr>
              <w:t>项目区</w:t>
            </w:r>
            <w:r>
              <w:rPr>
                <w:rFonts w:hint="default" w:ascii="Times New Roman" w:hAnsi="Times New Roman" w:cs="Times New Roman"/>
                <w:color w:val="auto"/>
                <w:sz w:val="24"/>
                <w:szCs w:val="24"/>
              </w:rPr>
              <w:t>范围内物种，提高</w:t>
            </w:r>
            <w:r>
              <w:rPr>
                <w:rFonts w:hint="eastAsia" w:ascii="Times New Roman" w:hAnsi="Times New Roman" w:cs="Times New Roman"/>
                <w:color w:val="auto"/>
                <w:sz w:val="24"/>
                <w:szCs w:val="24"/>
              </w:rPr>
              <w:t>区域</w:t>
            </w:r>
            <w:r>
              <w:rPr>
                <w:rFonts w:hint="default" w:ascii="Times New Roman" w:hAnsi="Times New Roman" w:cs="Times New Roman"/>
                <w:color w:val="auto"/>
                <w:sz w:val="24"/>
                <w:szCs w:val="24"/>
              </w:rPr>
              <w:t>景观的稳定性和恢复性。</w:t>
            </w:r>
          </w:p>
          <w:p w14:paraId="36823F7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w:t>
            </w:r>
            <w:r>
              <w:rPr>
                <w:rFonts w:hint="eastAsia" w:cs="Times New Roman"/>
                <w:color w:val="auto"/>
                <w:sz w:val="24"/>
                <w:szCs w:val="24"/>
                <w:lang w:val="en-US" w:eastAsia="zh-CN"/>
              </w:rPr>
              <w:t>3</w:t>
            </w:r>
            <w:r>
              <w:rPr>
                <w:rFonts w:hint="eastAsia" w:cs="Times New Roman"/>
                <w:color w:val="auto"/>
                <w:sz w:val="24"/>
                <w:szCs w:val="24"/>
                <w:lang w:eastAsia="zh-CN"/>
              </w:rPr>
              <w:t>）</w:t>
            </w:r>
            <w:r>
              <w:rPr>
                <w:rFonts w:hint="eastAsia" w:cs="Times New Roman"/>
                <w:color w:val="auto"/>
                <w:sz w:val="24"/>
                <w:szCs w:val="24"/>
                <w:lang w:val="en-US" w:eastAsia="zh-CN"/>
              </w:rPr>
              <w:t>对取土场景观影响分析</w:t>
            </w:r>
          </w:p>
          <w:p w14:paraId="5AC6736C">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宋体" w:hAnsi="宋体" w:eastAsia="宋体" w:cs="宋体"/>
                <w:sz w:val="24"/>
                <w:szCs w:val="24"/>
                <w:lang w:eastAsia="zh-CN"/>
              </w:rPr>
            </w:pPr>
            <w:r>
              <w:rPr>
                <w:rFonts w:hint="default" w:ascii="宋体" w:hAnsi="宋体" w:eastAsia="宋体" w:cs="宋体"/>
                <w:sz w:val="24"/>
                <w:szCs w:val="24"/>
              </w:rPr>
              <w:t>地表地貌景观破坏</w:t>
            </w:r>
            <w:r>
              <w:rPr>
                <w:rFonts w:hint="eastAsia" w:ascii="宋体" w:hAnsi="宋体" w:eastAsia="宋体" w:cs="宋体"/>
                <w:sz w:val="24"/>
                <w:szCs w:val="24"/>
                <w:lang w:eastAsia="zh-CN"/>
              </w:rPr>
              <w:t>：</w:t>
            </w:r>
            <w:r>
              <w:rPr>
                <w:rFonts w:hint="default" w:ascii="Segoe UI" w:hAnsi="Segoe UI" w:eastAsia="Segoe UI" w:cs="Segoe UI"/>
                <w:i w:val="0"/>
                <w:iCs w:val="0"/>
                <w:caps w:val="0"/>
                <w:color w:val="0F1115"/>
                <w:spacing w:val="0"/>
                <w:sz w:val="24"/>
                <w:szCs w:val="24"/>
                <w:shd w:val="clear" w:fill="FFFFFF"/>
              </w:rPr>
              <w:t>取土作业通过机械挖掘，对地表形态产生直接破坏。取土场开挖使原有地形被切割，形成凹凸不平的坑槽，基岩或黄土层裸露，与周边植被覆盖的地表形成强烈的色彩对比和形态反差。取土过程中受到机械挖损、压占等多种方式的破坏，地形地貌出现明显改变</w:t>
            </w:r>
            <w:r>
              <w:rPr>
                <w:rFonts w:hint="eastAsia" w:ascii="Segoe UI" w:hAnsi="Segoe UI" w:eastAsia="宋体" w:cs="Segoe UI"/>
                <w:i w:val="0"/>
                <w:iCs w:val="0"/>
                <w:caps w:val="0"/>
                <w:color w:val="0F1115"/>
                <w:spacing w:val="0"/>
                <w:sz w:val="24"/>
                <w:szCs w:val="24"/>
                <w:shd w:val="clear" w:fill="FFFFFF"/>
                <w:lang w:eastAsia="zh-CN"/>
              </w:rPr>
              <w:t>。</w:t>
            </w:r>
          </w:p>
          <w:p w14:paraId="69281B40">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植被景观损毁：</w:t>
            </w:r>
            <w:r>
              <w:rPr>
                <w:rFonts w:hint="default" w:ascii="宋体" w:hAnsi="宋体" w:eastAsia="宋体" w:cs="宋体"/>
                <w:sz w:val="24"/>
                <w:szCs w:val="24"/>
              </w:rPr>
              <w:t>取土范围内无乔木、灌木，仅零星分布耐旱耐盐草本，开挖作业直接清除地表浅层植被，局部形成无植被裸斑，打破区域原有零散植被斑块格局，降低景观均匀度；施工机械碾压会扰动取土场周边表层土，造成草本根系损毁，扩大裸地范围。</w:t>
            </w:r>
          </w:p>
          <w:p w14:paraId="36441DC2">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Segoe UI" w:hAnsi="Segoe UI" w:eastAsia="宋体" w:cs="Segoe UI"/>
                <w:b w:val="0"/>
                <w:bCs w:val="0"/>
                <w:i w:val="0"/>
                <w:iCs w:val="0"/>
                <w:caps w:val="0"/>
                <w:color w:val="3964FE"/>
                <w:spacing w:val="0"/>
                <w:sz w:val="24"/>
                <w:szCs w:val="24"/>
                <w:u w:val="none"/>
                <w:bdr w:val="single" w:color="auto" w:sz="18" w:space="0"/>
                <w:shd w:val="clear" w:fill="FFFFFF"/>
                <w:lang w:eastAsia="zh-CN"/>
              </w:rPr>
            </w:pPr>
            <w:r>
              <w:rPr>
                <w:rFonts w:hint="eastAsia" w:ascii="Segoe UI" w:hAnsi="Segoe UI" w:eastAsia="宋体" w:cs="Segoe UI"/>
                <w:i w:val="0"/>
                <w:iCs w:val="0"/>
                <w:caps w:val="0"/>
                <w:color w:val="0F1115"/>
                <w:spacing w:val="0"/>
                <w:sz w:val="24"/>
                <w:szCs w:val="24"/>
                <w:shd w:val="clear" w:fill="FFFFFF"/>
                <w:lang w:val="en-US" w:eastAsia="zh-CN"/>
              </w:rPr>
              <w:t>视觉景观破坏：</w:t>
            </w:r>
            <w:r>
              <w:rPr>
                <w:rFonts w:hint="default" w:ascii="Segoe UI" w:hAnsi="Segoe UI" w:eastAsia="Segoe UI" w:cs="Segoe UI"/>
                <w:i w:val="0"/>
                <w:iCs w:val="0"/>
                <w:caps w:val="0"/>
                <w:color w:val="0F1115"/>
                <w:spacing w:val="0"/>
                <w:sz w:val="24"/>
                <w:szCs w:val="24"/>
                <w:shd w:val="clear" w:fill="FFFFFF"/>
              </w:rPr>
              <w:t>取土场对视觉景观的影响体现在多个层面：一是开挖形成的裸露面与周边自然景观产生强烈色彩对比；二是取土、转载、运输过程中产生的扬尘，不仅造成局部地区环境空气污染，落入附近植物叶上后将堵塞其气孔及皮孔，影响植物光合及呼吸作用，同时</w:t>
            </w:r>
            <w:r>
              <w:rPr>
                <w:rFonts w:hint="default" w:ascii="Segoe UI" w:hAnsi="Segoe UI" w:eastAsia="Segoe UI" w:cs="Segoe UI"/>
                <w:b w:val="0"/>
                <w:bCs w:val="0"/>
                <w:i w:val="0"/>
                <w:iCs w:val="0"/>
                <w:caps w:val="0"/>
                <w:color w:val="0F1115"/>
                <w:spacing w:val="0"/>
                <w:sz w:val="24"/>
                <w:szCs w:val="24"/>
                <w:shd w:val="clear" w:fill="FFFFFF"/>
              </w:rPr>
              <w:t>严重影响矿井及附近景观环境</w:t>
            </w:r>
            <w:r>
              <w:rPr>
                <w:rFonts w:hint="eastAsia" w:ascii="Segoe UI" w:hAnsi="Segoe UI" w:eastAsia="宋体" w:cs="Segoe UI"/>
                <w:i w:val="0"/>
                <w:iCs w:val="0"/>
                <w:caps w:val="0"/>
                <w:color w:val="0F1115"/>
                <w:spacing w:val="0"/>
                <w:sz w:val="24"/>
                <w:szCs w:val="24"/>
                <w:shd w:val="clear" w:fill="FFFFFF"/>
                <w:lang w:eastAsia="zh-CN"/>
              </w:rPr>
              <w:t>。</w:t>
            </w:r>
            <w:r>
              <w:rPr>
                <w:rFonts w:hint="default" w:ascii="Segoe UI" w:hAnsi="Segoe UI" w:eastAsia="Segoe UI" w:cs="Segoe UI"/>
                <w:b w:val="0"/>
                <w:bCs w:val="0"/>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b w:val="0"/>
                <w:bCs w:val="0"/>
                <w:i w:val="0"/>
                <w:iCs w:val="0"/>
                <w:caps w:val="0"/>
                <w:color w:val="3964FE"/>
                <w:spacing w:val="0"/>
                <w:sz w:val="24"/>
                <w:szCs w:val="24"/>
                <w:u w:val="none"/>
                <w:bdr w:val="single" w:color="auto" w:sz="18" w:space="0"/>
                <w:shd w:val="clear" w:fill="FFFFFF"/>
              </w:rPr>
              <w:instrText xml:space="preserve"> HYPERLINK "https://urumqi.gov.cn/wlmqs/c119218/202405/7ffd2b15447c4d1b93982e1f1692a5a5/files/20240531202316775004.pdf" \l "11#8" \t "https://chat.deepseek.com/a/chat/s/_blank" </w:instrText>
            </w:r>
            <w:r>
              <w:rPr>
                <w:rFonts w:hint="default" w:ascii="Segoe UI" w:hAnsi="Segoe UI" w:eastAsia="Segoe UI" w:cs="Segoe UI"/>
                <w:b w:val="0"/>
                <w:bCs w:val="0"/>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b w:val="0"/>
                <w:bCs w:val="0"/>
                <w:i w:val="0"/>
                <w:iCs w:val="0"/>
                <w:caps w:val="0"/>
                <w:color w:val="3964FE"/>
                <w:spacing w:val="0"/>
                <w:sz w:val="24"/>
                <w:szCs w:val="24"/>
                <w:u w:val="none"/>
                <w:bdr w:val="single" w:color="auto" w:sz="18" w:space="0"/>
                <w:shd w:val="clear" w:fill="FFFFFF"/>
              </w:rPr>
              <w:fldChar w:fldCharType="end"/>
            </w:r>
          </w:p>
          <w:p w14:paraId="6890C3A2">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Segoe UI" w:hAnsi="Segoe UI" w:eastAsia="宋体" w:cs="Segoe UI"/>
                <w:b w:val="0"/>
                <w:bCs w:val="0"/>
                <w:i w:val="0"/>
                <w:iCs w:val="0"/>
                <w:caps w:val="0"/>
                <w:color w:val="3964FE"/>
                <w:spacing w:val="0"/>
                <w:sz w:val="24"/>
                <w:szCs w:val="24"/>
                <w:u w:val="none"/>
                <w:bdr w:val="single" w:color="auto" w:sz="18" w:space="0"/>
                <w:shd w:val="clear" w:fill="FFFFFF"/>
                <w:lang w:eastAsia="zh-CN"/>
              </w:rPr>
            </w:pPr>
            <w:r>
              <w:rPr>
                <w:rFonts w:hint="eastAsia" w:ascii="Segoe UI" w:hAnsi="Segoe UI" w:eastAsia="宋体" w:cs="Segoe UI"/>
                <w:i w:val="0"/>
                <w:iCs w:val="0"/>
                <w:caps w:val="0"/>
                <w:color w:val="0F1115"/>
                <w:spacing w:val="0"/>
                <w:sz w:val="24"/>
                <w:szCs w:val="24"/>
                <w:shd w:val="clear" w:fill="FFFFFF"/>
                <w:lang w:val="en-US" w:eastAsia="zh-CN"/>
              </w:rPr>
              <w:t>水土流失加剧景观退化：</w:t>
            </w:r>
            <w:r>
              <w:rPr>
                <w:rFonts w:hint="default" w:ascii="Segoe UI" w:hAnsi="Segoe UI" w:eastAsia="Segoe UI" w:cs="Segoe UI"/>
                <w:i w:val="0"/>
                <w:iCs w:val="0"/>
                <w:caps w:val="0"/>
                <w:color w:val="0F1115"/>
                <w:spacing w:val="0"/>
                <w:sz w:val="24"/>
                <w:szCs w:val="24"/>
                <w:shd w:val="clear" w:fill="FFFFFF"/>
              </w:rPr>
              <w:t>取土场开挖后形成裸露坡面和松散堆积物，在降水和大风作用下极易发生水土流失。开挖剥离产生的大量土石方，堆放过程中会占压新的土地，对区域地表植被产生破坏，同时堆放的松散岩土会产生严重的水土流失</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"https://urumqi.gov.cn/wlmqs/c119218/202405/7ffd2b15447c4d1b93982e1f1692a5a5/files/20240531202316775004.pdf" \l "11#8"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。人为水土流失是一种典型的人类干扰下的景观退化现象，取土场作为人为侵蚀景观类型，其空间分布和影响范围直接关系到区域景观生态质量</w:t>
            </w:r>
            <w:r>
              <w:rPr>
                <w:rFonts w:hint="eastAsia" w:ascii="Segoe UI" w:hAnsi="Segoe UI" w:eastAsia="宋体" w:cs="Segoe UI"/>
                <w:i w:val="0"/>
                <w:iCs w:val="0"/>
                <w:caps w:val="0"/>
                <w:color w:val="0F1115"/>
                <w:spacing w:val="0"/>
                <w:sz w:val="24"/>
                <w:szCs w:val="24"/>
                <w:shd w:val="clear" w:fill="FFFFFF"/>
                <w:lang w:eastAsia="zh-CN"/>
              </w:rPr>
              <w:t>。</w:t>
            </w:r>
          </w:p>
          <w:p w14:paraId="6C243D79">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r>
              <w:rPr>
                <w:rFonts w:hint="eastAsia" w:ascii="Times New Roman" w:hAnsi="Times New Roman" w:cs="Times New Roman"/>
                <w:b/>
                <w:bCs/>
                <w:color w:val="auto"/>
                <w:sz w:val="24"/>
                <w:szCs w:val="24"/>
              </w:rPr>
              <w:t>1.6</w:t>
            </w:r>
            <w:r>
              <w:rPr>
                <w:rFonts w:hint="eastAsia" w:cs="Times New Roman"/>
                <w:b/>
                <w:bCs/>
                <w:color w:val="auto"/>
                <w:sz w:val="24"/>
                <w:szCs w:val="24"/>
                <w:lang w:val="en-US" w:eastAsia="zh-CN"/>
              </w:rPr>
              <w:t>土地沙化</w:t>
            </w:r>
            <w:r>
              <w:rPr>
                <w:rFonts w:hint="eastAsia" w:ascii="Times New Roman" w:hAnsi="Times New Roman" w:cs="Times New Roman"/>
                <w:b/>
                <w:bCs/>
                <w:color w:val="auto"/>
                <w:sz w:val="24"/>
                <w:szCs w:val="24"/>
              </w:rPr>
              <w:t>影响</w:t>
            </w:r>
          </w:p>
          <w:p w14:paraId="0DB94EFB">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项目</w:t>
            </w:r>
            <w:r>
              <w:rPr>
                <w:rFonts w:hint="eastAsia" w:cs="Times New Roman"/>
                <w:color w:val="auto"/>
                <w:sz w:val="24"/>
                <w:szCs w:val="24"/>
                <w:lang w:val="en-US" w:eastAsia="zh-CN"/>
              </w:rPr>
              <w:t>所在区域</w:t>
            </w:r>
            <w:r>
              <w:rPr>
                <w:rFonts w:hint="eastAsia" w:ascii="Times New Roman" w:hAnsi="Times New Roman" w:eastAsia="宋体" w:cs="Times New Roman"/>
                <w:color w:val="auto"/>
                <w:sz w:val="24"/>
                <w:szCs w:val="24"/>
                <w:lang w:val="en-US" w:eastAsia="zh-CN"/>
              </w:rPr>
              <w:t>属于</w:t>
            </w:r>
            <w:r>
              <w:rPr>
                <w:rFonts w:hint="eastAsia" w:cs="Times New Roman"/>
                <w:color w:val="auto"/>
                <w:sz w:val="24"/>
                <w:szCs w:val="24"/>
                <w:lang w:val="en-US" w:eastAsia="zh-CN"/>
              </w:rPr>
              <w:t>非沙化地</w:t>
            </w:r>
            <w:r>
              <w:rPr>
                <w:rFonts w:hint="eastAsia" w:ascii="Times New Roman" w:hAnsi="Times New Roman" w:eastAsia="宋体" w:cs="Times New Roman"/>
                <w:color w:val="auto"/>
                <w:sz w:val="24"/>
                <w:szCs w:val="24"/>
                <w:lang w:val="en-US" w:eastAsia="zh-CN"/>
              </w:rPr>
              <w:t>，地表有一层厚约</w:t>
            </w:r>
            <w:r>
              <w:rPr>
                <w:rFonts w:hint="default" w:ascii="Times New Roman" w:hAnsi="Times New Roman" w:eastAsia="宋体" w:cs="Times New Roman"/>
                <w:color w:val="auto"/>
                <w:sz w:val="24"/>
                <w:szCs w:val="24"/>
                <w:lang w:val="en-US" w:eastAsia="zh-CN"/>
              </w:rPr>
              <w:t>2~3cm</w:t>
            </w:r>
            <w:r>
              <w:rPr>
                <w:rFonts w:hint="eastAsia" w:ascii="Times New Roman" w:hAnsi="Times New Roman" w:eastAsia="宋体" w:cs="Times New Roman"/>
                <w:color w:val="auto"/>
                <w:sz w:val="24"/>
                <w:szCs w:val="24"/>
                <w:lang w:val="en-US" w:eastAsia="zh-CN"/>
              </w:rPr>
              <w:t>结皮</w:t>
            </w:r>
            <w:r>
              <w:rPr>
                <w:rFonts w:hint="eastAsia" w:cs="Times New Roman"/>
                <w:color w:val="auto"/>
                <w:sz w:val="24"/>
                <w:szCs w:val="24"/>
                <w:lang w:val="en-US" w:eastAsia="zh-CN"/>
              </w:rPr>
              <w:t>砾石</w:t>
            </w:r>
            <w:r>
              <w:rPr>
                <w:rFonts w:hint="eastAsia" w:ascii="Times New Roman" w:hAnsi="Times New Roman" w:eastAsia="宋体" w:cs="Times New Roman"/>
                <w:color w:val="auto"/>
                <w:sz w:val="24"/>
                <w:szCs w:val="24"/>
                <w:lang w:val="en-US" w:eastAsia="zh-CN"/>
              </w:rPr>
              <w:t>，在</w:t>
            </w:r>
            <w:r>
              <w:rPr>
                <w:rFonts w:hint="eastAsia" w:cs="Times New Roman"/>
                <w:color w:val="auto"/>
                <w:sz w:val="24"/>
                <w:szCs w:val="24"/>
                <w:lang w:val="en-US" w:eastAsia="zh-CN"/>
              </w:rPr>
              <w:t>剥离</w:t>
            </w:r>
            <w:r>
              <w:rPr>
                <w:rFonts w:hint="eastAsia" w:ascii="Times New Roman" w:hAnsi="Times New Roman" w:eastAsia="宋体" w:cs="Times New Roman"/>
                <w:color w:val="auto"/>
                <w:sz w:val="24"/>
                <w:szCs w:val="24"/>
                <w:lang w:val="en-US" w:eastAsia="zh-CN"/>
              </w:rPr>
              <w:t>平整、</w:t>
            </w:r>
            <w:r>
              <w:rPr>
                <w:rFonts w:hint="eastAsia" w:cs="Times New Roman"/>
                <w:color w:val="auto"/>
                <w:sz w:val="24"/>
                <w:szCs w:val="24"/>
                <w:lang w:val="en-US" w:eastAsia="zh-CN"/>
              </w:rPr>
              <w:t>钻探</w:t>
            </w:r>
            <w:r>
              <w:rPr>
                <w:rFonts w:hint="eastAsia" w:ascii="Times New Roman" w:hAnsi="Times New Roman" w:eastAsia="宋体" w:cs="Times New Roman"/>
                <w:color w:val="auto"/>
                <w:sz w:val="24"/>
                <w:szCs w:val="24"/>
                <w:lang w:val="en-US" w:eastAsia="zh-CN"/>
              </w:rPr>
              <w:t>等项目施工过程中</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对原有地表土壤造成扰动，造成地表原有结构的破坏</w:t>
            </w:r>
            <w:r>
              <w:rPr>
                <w:rFonts w:hint="eastAsia" w:ascii="Times New Roman" w:hAnsi="Times New Roman" w:cs="Times New Roman"/>
                <w:color w:val="auto"/>
                <w:sz w:val="24"/>
                <w:szCs w:val="24"/>
                <w:lang w:val="en-US" w:eastAsia="zh-CN"/>
              </w:rPr>
              <w:t>，</w:t>
            </w:r>
            <w:r>
              <w:rPr>
                <w:rFonts w:hint="eastAsia" w:cs="Times New Roman"/>
                <w:color w:val="auto"/>
                <w:sz w:val="24"/>
                <w:szCs w:val="24"/>
                <w:lang w:val="en-US" w:eastAsia="zh-CN"/>
              </w:rPr>
              <w:t>施工过程中</w:t>
            </w:r>
            <w:r>
              <w:rPr>
                <w:rFonts w:hint="eastAsia" w:ascii="Times New Roman" w:hAnsi="Times New Roman" w:eastAsia="宋体" w:cs="Times New Roman"/>
                <w:color w:val="auto"/>
                <w:sz w:val="24"/>
                <w:szCs w:val="24"/>
                <w:lang w:val="en-US" w:eastAsia="zh-CN"/>
              </w:rPr>
              <w:t>要注意地表结皮的保护，防止沙化问题。此外，在施工过程中，各种车辆（尤其是重型卡车）在荒漠上行驶将使经过的土壤变紧实，严重的经过多次碾压后植物很难再生长，甚至退化为沙地。上述施工作业过程中，对原地貌的扰动大大降低了项目占地范围内的土壤抗侵蚀能力，若未采取相应的防护措施，遇大风天气，极易加重区域沙尘天气。 综上所述，施工期对周围环境有一定影响，采取相应防治措施后对周围环境的影响较小，同时施工期较短，施工结束后，影响即随之消除。</w:t>
            </w:r>
          </w:p>
          <w:bookmarkEnd w:id="40"/>
          <w:p w14:paraId="3247287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b/>
                <w:bCs/>
                <w:spacing w:val="-2"/>
                <w:lang w:val="en-US"/>
              </w:rPr>
            </w:pPr>
            <w:r>
              <w:rPr>
                <w:rFonts w:hint="eastAsia" w:ascii="Times New Roman" w:hAnsi="Times New Roman" w:eastAsia="宋体" w:cs="Times New Roman"/>
                <w:b/>
                <w:bCs/>
                <w:color w:val="auto"/>
                <w:kern w:val="2"/>
                <w:sz w:val="24"/>
                <w:szCs w:val="24"/>
                <w:lang w:val="en-US" w:eastAsia="zh-CN" w:bidi="ar-SA"/>
              </w:rPr>
              <w:t>1.7水土流失</w:t>
            </w:r>
          </w:p>
          <w:p w14:paraId="0326F2C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textAlignment w:val="auto"/>
              <w:rPr>
                <w:rFonts w:hint="default"/>
                <w:spacing w:val="-1"/>
              </w:rPr>
            </w:pPr>
            <w:r>
              <w:rPr>
                <w:rFonts w:hint="default"/>
                <w:spacing w:val="-2"/>
              </w:rPr>
              <w:t>本项目为灭火工程，水土流失影响范围涉及火区治理区、</w:t>
            </w:r>
            <w:r>
              <w:rPr>
                <w:rFonts w:hint="default"/>
              </w:rPr>
              <w:t>采土场区</w:t>
            </w:r>
            <w:r>
              <w:rPr>
                <w:rFonts w:hint="eastAsia"/>
                <w:lang w:eastAsia="zh-CN"/>
              </w:rPr>
              <w:t>。</w:t>
            </w:r>
            <w:r>
              <w:rPr>
                <w:rFonts w:hint="default"/>
                <w:spacing w:val="-5"/>
              </w:rPr>
              <w:t>在施工过程中，由于开挖、堆弃扰动了原状地形地貌，损坏了原状</w:t>
            </w:r>
            <w:r>
              <w:rPr>
                <w:rFonts w:hint="default"/>
                <w:spacing w:val="-4"/>
              </w:rPr>
              <w:t>地表植被和土体结构，或形成大面积的裸露地表，使原</w:t>
            </w:r>
            <w:r>
              <w:rPr>
                <w:rFonts w:hint="default"/>
                <w:spacing w:val="-5"/>
              </w:rPr>
              <w:t>状水土保持功能</w:t>
            </w:r>
            <w:r>
              <w:rPr>
                <w:rFonts w:hint="default"/>
                <w:spacing w:val="-1"/>
              </w:rPr>
              <w:t>降低或丧失，加剧了水土流失的强度。</w:t>
            </w:r>
          </w:p>
          <w:p w14:paraId="5895C7D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96" w:firstLineChars="200"/>
              <w:textAlignment w:val="auto"/>
              <w:rPr>
                <w:rFonts w:hint="default"/>
              </w:rPr>
            </w:pPr>
            <w:r>
              <w:rPr>
                <w:rFonts w:hint="default"/>
                <w:spacing w:val="4"/>
              </w:rPr>
              <w:t>治理区剥离工程扰动原地貌工程行为，致使</w:t>
            </w:r>
            <w:r>
              <w:rPr>
                <w:rFonts w:hint="default"/>
                <w:spacing w:val="3"/>
              </w:rPr>
              <w:t>一定量表层土体被剥</w:t>
            </w:r>
            <w:r>
              <w:rPr>
                <w:rFonts w:hint="default"/>
                <w:spacing w:val="-4"/>
              </w:rPr>
              <w:t>离，地表植被被破坏，破坏了土体平衡和土壤</w:t>
            </w:r>
            <w:r>
              <w:rPr>
                <w:rFonts w:hint="default"/>
                <w:spacing w:val="-5"/>
              </w:rPr>
              <w:t>结构，导致土壤抗蚀能力</w:t>
            </w:r>
            <w:r>
              <w:rPr>
                <w:rFonts w:hint="default"/>
                <w:spacing w:val="-4"/>
              </w:rPr>
              <w:t>的下降。</w:t>
            </w:r>
          </w:p>
          <w:p w14:paraId="5546FB9F">
            <w:pPr>
              <w:pStyle w:val="106"/>
              <w:keepNext w:val="0"/>
              <w:keepLines w:val="0"/>
              <w:suppressLineNumbers w:val="0"/>
              <w:spacing w:before="3" w:beforeAutospacing="0" w:after="0" w:afterAutospacing="0" w:line="358" w:lineRule="auto"/>
              <w:ind w:left="114" w:right="45" w:firstLine="477"/>
              <w:jc w:val="both"/>
              <w:rPr>
                <w:rFonts w:hint="default"/>
              </w:rPr>
            </w:pPr>
            <w:r>
              <w:rPr>
                <w:rFonts w:hint="default"/>
                <w:spacing w:val="-2"/>
              </w:rPr>
              <w:t>在建设期，由于上述工程行为若不及时采取</w:t>
            </w:r>
            <w:r>
              <w:rPr>
                <w:rFonts w:hint="default"/>
                <w:spacing w:val="-3"/>
              </w:rPr>
              <w:t>有效的水土保持措施，</w:t>
            </w:r>
            <w:r>
              <w:rPr>
                <w:rFonts w:hint="default"/>
                <w:spacing w:val="-4"/>
              </w:rPr>
              <w:t>势必引发严重的水土流失，影响正常施工和安全，</w:t>
            </w:r>
            <w:r>
              <w:rPr>
                <w:rFonts w:hint="default"/>
                <w:spacing w:val="-5"/>
              </w:rPr>
              <w:t>将对建设区、周边的</w:t>
            </w:r>
            <w:r>
              <w:rPr>
                <w:rFonts w:hint="default"/>
                <w:spacing w:val="-1"/>
              </w:rPr>
              <w:t>生态环境产生不同程度的影响。</w:t>
            </w:r>
          </w:p>
          <w:bookmarkEnd w:id="15"/>
          <w:p w14:paraId="0AFFB2E0">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b/>
                <w:bCs/>
                <w:color w:val="auto"/>
                <w:sz w:val="24"/>
                <w:szCs w:val="24"/>
                <w:lang w:val="en-US" w:eastAsia="zh-CN"/>
              </w:rPr>
            </w:pPr>
            <w:bookmarkStart w:id="44" w:name="_Toc259129175"/>
            <w:bookmarkEnd w:id="44"/>
            <w:bookmarkStart w:id="45" w:name="_Toc259104267"/>
            <w:bookmarkEnd w:id="45"/>
            <w:bookmarkStart w:id="46" w:name="_Toc277495863"/>
            <w:bookmarkEnd w:id="46"/>
            <w:bookmarkStart w:id="47" w:name="_Toc259104947"/>
            <w:bookmarkEnd w:id="47"/>
            <w:bookmarkStart w:id="48" w:name="_Toc277495864"/>
            <w:bookmarkEnd w:id="48"/>
            <w:bookmarkStart w:id="49" w:name="_Toc259104946"/>
            <w:bookmarkEnd w:id="49"/>
            <w:bookmarkStart w:id="50" w:name="_Toc259130542"/>
            <w:bookmarkEnd w:id="50"/>
            <w:bookmarkStart w:id="51" w:name="_Toc466979104"/>
            <w:bookmarkEnd w:id="51"/>
            <w:bookmarkStart w:id="52" w:name="_Toc46498090"/>
            <w:bookmarkEnd w:id="52"/>
            <w:bookmarkStart w:id="53" w:name="_Toc259129174"/>
            <w:bookmarkEnd w:id="53"/>
            <w:bookmarkStart w:id="54" w:name="_Toc259130541"/>
            <w:bookmarkEnd w:id="54"/>
            <w:bookmarkStart w:id="55" w:name="_Toc300245103"/>
            <w:bookmarkEnd w:id="55"/>
            <w:bookmarkStart w:id="56" w:name="_Toc259104266"/>
            <w:bookmarkEnd w:id="56"/>
          </w:p>
          <w:p w14:paraId="6E182449">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b/>
                <w:bCs/>
                <w:color w:val="auto"/>
                <w:sz w:val="24"/>
                <w:szCs w:val="24"/>
                <w:lang w:val="en-US" w:eastAsia="zh-CN"/>
              </w:rPr>
            </w:pPr>
          </w:p>
          <w:p w14:paraId="3B8323EE">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r>
              <w:rPr>
                <w:rFonts w:hint="eastAsia" w:cs="Times New Roman"/>
                <w:b/>
                <w:bCs/>
                <w:color w:val="auto"/>
                <w:sz w:val="24"/>
                <w:szCs w:val="24"/>
                <w:lang w:val="en-US" w:eastAsia="zh-CN"/>
              </w:rPr>
              <w:t>2、施工期</w:t>
            </w:r>
            <w:r>
              <w:rPr>
                <w:rFonts w:hint="eastAsia" w:ascii="Times New Roman" w:hAnsi="Times New Roman" w:cs="Times New Roman"/>
                <w:b/>
                <w:bCs/>
                <w:color w:val="auto"/>
                <w:sz w:val="24"/>
                <w:szCs w:val="24"/>
              </w:rPr>
              <w:t>大气环境影响</w:t>
            </w:r>
          </w:p>
          <w:p w14:paraId="0CE118E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（1）施工扬尘</w:t>
            </w:r>
          </w:p>
          <w:p w14:paraId="7FB7F55E">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火区剥离、</w:t>
            </w:r>
            <w:r>
              <w:rPr>
                <w:rFonts w:hint="eastAsia" w:cs="Times New Roman"/>
                <w:color w:val="auto"/>
                <w:sz w:val="24"/>
                <w:szCs w:val="24"/>
                <w:lang w:val="en-US" w:eastAsia="zh-CN"/>
              </w:rPr>
              <w:t>取土场取土</w:t>
            </w:r>
            <w:r>
              <w:rPr>
                <w:rFonts w:hint="eastAsia" w:ascii="Times New Roman" w:hAnsi="Times New Roman" w:eastAsia="宋体" w:cs="Times New Roman"/>
                <w:color w:val="auto"/>
                <w:sz w:val="24"/>
                <w:szCs w:val="24"/>
                <w:lang w:val="en-US" w:eastAsia="zh-CN"/>
              </w:rPr>
              <w:t>过程中会产生扬尘，粉尘在风流的作用下向采场空间逸散。根据相关资料：一般在微风情况下，挖装工作场地附近粉尘的平均浓度达31 mg/m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，通过减少卸载的高度，洒水措施，可有效降低挖装作业的产尘量。</w:t>
            </w:r>
          </w:p>
          <w:p w14:paraId="0B902E20">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施工扬尘的产生及影响程度跟施工季节、施工管理和风力等气候因素有一定关系，如遇干旱大风扬尘影响则较为严重。根据类比资料，在一般气象条件下，平均风速2.6m/s的施工扬尘污染有如下特点：施工区域内颗粒物浓度为上风向对照点的1.5-2.3倍；在施工场地下风向150m处，颗粒物平均浓度可达0.49 mg/m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左右，相当于大气质量标准1.6倍。据有关研究，扬尘的产生量及扬尘污染程度与车辆运输方式、路面状况、天气条件等因素关系密切，影响可达 150-300m。如果在施工</w:t>
            </w:r>
            <w:r>
              <w:rPr>
                <w:rFonts w:hint="eastAsia" w:cs="Times New Roman"/>
                <w:color w:val="auto"/>
                <w:sz w:val="24"/>
                <w:szCs w:val="24"/>
                <w:lang w:val="en-US" w:eastAsia="zh-CN"/>
              </w:rPr>
              <w:t>期间</w:t>
            </w:r>
            <w:r>
              <w:rPr>
                <w:rFonts w:hint="eastAsia" w:ascii="Times New Roman" w:hAnsi="Times New Roman" w:eastAsia="宋体" w:cs="Times New Roman"/>
                <w:color w:val="auto"/>
                <w:sz w:val="24"/>
                <w:szCs w:val="24"/>
                <w:lang w:val="en-US" w:eastAsia="zh-CN"/>
              </w:rPr>
              <w:t>进行洒水抑尘，可使扬尘量减少，扬尘造成的颗粒物污染距离可缩小到20-50m范围。根据现场调查，本项目周边无居民居住区，施工扬尘随施工结束消失，对周边环境影响较小。</w:t>
            </w:r>
          </w:p>
          <w:p w14:paraId="548DF272">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（2）装卸、运输车辆粉尘</w:t>
            </w:r>
          </w:p>
          <w:p w14:paraId="565F0239">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取土场取的黄土</w:t>
            </w:r>
            <w:r>
              <w:rPr>
                <w:rFonts w:hint="eastAsia" w:ascii="Times New Roman" w:hAnsi="Times New Roman" w:eastAsia="宋体" w:cs="Times New Roman"/>
                <w:color w:val="auto"/>
                <w:sz w:val="24"/>
                <w:szCs w:val="24"/>
                <w:lang w:val="en-US" w:eastAsia="zh-CN"/>
              </w:rPr>
              <w:t>在装卸过程中由于落差及撞击会产生扬尘。汽车运输过程将产生扬尘，如果在施工期间对车辆行驶的路面实施洒水抑尘，可以有效降低道路扬尘对沿线大气环境的影响。</w:t>
            </w:r>
          </w:p>
          <w:p w14:paraId="1FADD84F">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lang w:val="en-US" w:eastAsia="zh-CN"/>
              </w:rPr>
              <w:t xml:space="preserve">）爆破作业粉尘 </w:t>
            </w:r>
          </w:p>
          <w:p w14:paraId="544F99BC">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火区爆破作业过程产生烟气、粉尘等，对施工人员及大气环境产生不利影响，但施工作业过程时间较短，增加施工人员防护及洒水降尘措施，可有效降低粉尘对施工人员及大气环境的影响。</w:t>
            </w:r>
          </w:p>
          <w:p w14:paraId="7B2F31F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4</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注</w:t>
            </w:r>
            <w:r>
              <w:rPr>
                <w:rFonts w:hint="eastAsia" w:ascii="Times New Roman" w:hAnsi="Times New Roman" w:eastAsia="宋体" w:cs="Times New Roman"/>
                <w:color w:val="auto"/>
                <w:sz w:val="24"/>
                <w:szCs w:val="24"/>
                <w:lang w:val="en-US" w:eastAsia="zh-CN"/>
              </w:rPr>
              <w:t>浆站配料粉尘</w:t>
            </w:r>
          </w:p>
          <w:p w14:paraId="2AC0299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注</w:t>
            </w:r>
            <w:r>
              <w:rPr>
                <w:rFonts w:hint="eastAsia" w:ascii="Times New Roman" w:hAnsi="Times New Roman" w:eastAsia="宋体" w:cs="Times New Roman"/>
                <w:color w:val="auto"/>
                <w:sz w:val="24"/>
                <w:szCs w:val="24"/>
                <w:lang w:val="en-US" w:eastAsia="zh-CN"/>
              </w:rPr>
              <w:t>浆站上料、制浆机混合搅拌过程产生粉尘，参照《排放源统计调查产排污核算方法和系数手册》（生态环境部公告2021年第24号）中</w:t>
            </w:r>
            <w:r>
              <w:rPr>
                <w:rFonts w:hint="default" w:ascii="Times New Roman" w:hAnsi="Times New Roman" w:eastAsia="宋体" w:cs="Times New Roman"/>
                <w:color w:val="auto"/>
                <w:sz w:val="24"/>
                <w:szCs w:val="24"/>
                <w:lang w:val="en-US" w:eastAsia="zh-CN"/>
              </w:rPr>
              <w:t>3021</w:t>
            </w:r>
            <w:r>
              <w:rPr>
                <w:rFonts w:hint="eastAsia" w:ascii="Times New Roman" w:hAnsi="Times New Roman" w:eastAsia="宋体" w:cs="Times New Roman"/>
                <w:color w:val="auto"/>
                <w:sz w:val="24"/>
                <w:szCs w:val="24"/>
                <w:lang w:val="en-US" w:eastAsia="zh-CN"/>
              </w:rPr>
              <w:t>水泥制品制造（含</w:t>
            </w:r>
            <w:r>
              <w:rPr>
                <w:rFonts w:hint="default" w:ascii="Times New Roman" w:hAnsi="Times New Roman" w:eastAsia="宋体" w:cs="Times New Roman"/>
                <w:color w:val="auto"/>
                <w:sz w:val="24"/>
                <w:szCs w:val="24"/>
                <w:lang w:val="en-US" w:eastAsia="zh-CN"/>
              </w:rPr>
              <w:t>3022</w:t>
            </w:r>
            <w:r>
              <w:rPr>
                <w:rFonts w:hint="eastAsia" w:ascii="Times New Roman" w:hAnsi="Times New Roman" w:eastAsia="宋体" w:cs="Times New Roman"/>
                <w:color w:val="auto"/>
                <w:sz w:val="24"/>
                <w:szCs w:val="24"/>
                <w:lang w:val="en-US" w:eastAsia="zh-CN"/>
              </w:rPr>
              <w:t>砼结构构件、</w:t>
            </w:r>
            <w:r>
              <w:rPr>
                <w:rFonts w:hint="default" w:ascii="Times New Roman" w:hAnsi="Times New Roman" w:eastAsia="宋体" w:cs="Times New Roman"/>
                <w:color w:val="auto"/>
                <w:sz w:val="24"/>
                <w:szCs w:val="24"/>
                <w:lang w:val="en-US" w:eastAsia="zh-CN"/>
              </w:rPr>
              <w:t>3029</w:t>
            </w:r>
            <w:r>
              <w:rPr>
                <w:rFonts w:hint="eastAsia" w:ascii="Times New Roman" w:hAnsi="Times New Roman" w:eastAsia="宋体" w:cs="Times New Roman"/>
                <w:color w:val="auto"/>
                <w:sz w:val="24"/>
                <w:szCs w:val="24"/>
                <w:lang w:val="en-US" w:eastAsia="zh-CN"/>
              </w:rPr>
              <w:t>其他水泥类似制品制造）行业</w:t>
            </w:r>
            <w:r>
              <w:rPr>
                <w:rFonts w:hint="eastAsia" w:cs="Times New Roman"/>
                <w:color w:val="auto"/>
                <w:sz w:val="24"/>
                <w:szCs w:val="24"/>
                <w:lang w:val="en-US" w:eastAsia="zh-CN"/>
              </w:rPr>
              <w:t>中混凝土制品物料输送储存颗粒物产污系数为0.12kg/t-产品，物料混合搅拌颗粒物产污系数为0.13kg/t-产品，本项目泥浆用量21686m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（合约39034.8t），则颗粒物产生量为9.76t/a。</w:t>
            </w:r>
            <w:r>
              <w:rPr>
                <w:rFonts w:hint="eastAsia" w:cs="Times New Roman"/>
                <w:b w:val="0"/>
                <w:bCs w:val="0"/>
                <w:color w:val="auto"/>
                <w:sz w:val="24"/>
                <w:lang w:val="en-US" w:eastAsia="zh-CN"/>
              </w:rPr>
              <w:t>本项目设计</w:t>
            </w:r>
            <w:r>
              <w:rPr>
                <w:rFonts w:hint="eastAsia" w:ascii="Times New Roman" w:hAnsi="Times New Roman" w:eastAsia="宋体" w:cs="Times New Roman"/>
                <w:color w:val="auto"/>
                <w:sz w:val="24"/>
                <w:szCs w:val="24"/>
                <w:lang w:val="en-US" w:eastAsia="zh-CN"/>
              </w:rPr>
              <w:t>注浆站上料区域四周设置围挡，上料过程密闭或采用湿法作业</w:t>
            </w:r>
            <w:r>
              <w:rPr>
                <w:rFonts w:hint="eastAsia" w:cs="Times New Roman"/>
                <w:color w:val="auto"/>
                <w:sz w:val="24"/>
                <w:szCs w:val="24"/>
                <w:lang w:val="en-US" w:eastAsia="zh-CN"/>
              </w:rPr>
              <w:t>，粉尘控制效率90%以上，则粉尘颗粒物无组织排放量为0.976t/a。</w:t>
            </w:r>
          </w:p>
          <w:p w14:paraId="75F0BE8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w:t>
            </w:r>
            <w:r>
              <w:rPr>
                <w:rFonts w:hint="eastAsia" w:cs="Times New Roman"/>
                <w:color w:val="auto"/>
                <w:sz w:val="24"/>
                <w:szCs w:val="24"/>
                <w:lang w:val="en-US" w:eastAsia="zh-CN"/>
              </w:rPr>
              <w:t>5</w:t>
            </w:r>
            <w:r>
              <w:rPr>
                <w:rFonts w:hint="eastAsia" w:cs="Times New Roman"/>
                <w:color w:val="auto"/>
                <w:sz w:val="24"/>
                <w:szCs w:val="24"/>
                <w:lang w:eastAsia="zh-CN"/>
              </w:rPr>
              <w:t>）</w:t>
            </w:r>
            <w:r>
              <w:rPr>
                <w:rFonts w:hint="eastAsia" w:cs="Times New Roman"/>
                <w:color w:val="auto"/>
                <w:sz w:val="24"/>
                <w:szCs w:val="24"/>
                <w:lang w:val="en-US" w:eastAsia="zh-CN"/>
              </w:rPr>
              <w:t>运输车辆及施工机械尾气</w:t>
            </w:r>
          </w:p>
          <w:p w14:paraId="453235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运输车辆及施工机械所排放的尾气主要污染物为</w:t>
            </w:r>
            <w:r>
              <w:rPr>
                <w:rFonts w:hint="default" w:ascii="Times New Roman" w:hAnsi="Times New Roman" w:eastAsia="宋体" w:cs="Times New Roman"/>
                <w:color w:val="auto"/>
                <w:sz w:val="24"/>
                <w:szCs w:val="24"/>
                <w:lang w:val="en-US" w:eastAsia="zh-CN"/>
              </w:rPr>
              <w:t>CO</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THC</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NO</w:t>
            </w:r>
            <w:r>
              <w:rPr>
                <w:rFonts w:hint="eastAsia" w:ascii="Times New Roman" w:hAnsi="Times New Roman" w:eastAsia="宋体" w:cs="Times New Roman"/>
                <w:color w:val="auto"/>
                <w:sz w:val="24"/>
                <w:szCs w:val="24"/>
                <w:lang w:val="en-US" w:eastAsia="zh-CN"/>
              </w:rPr>
              <w:t>x等，其特点是排放量小，属间断性排放；且运输车辆和施工机械作业均为露天作业，地面空气流动性大，扩散能力强，难于聚集，很快便扩散，对运输车辆采取严格的限速措施，故运输车辆和机械尾气对环境影响较小。</w:t>
            </w:r>
          </w:p>
          <w:p w14:paraId="5DB328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lang w:val="en-US" w:eastAsia="zh-CN"/>
              </w:rPr>
              <w:t>3、施工期地表水水</w:t>
            </w:r>
            <w:r>
              <w:rPr>
                <w:rFonts w:hint="default" w:ascii="Times New Roman" w:hAnsi="Times New Roman" w:cs="Times New Roman"/>
                <w:b/>
                <w:bCs/>
                <w:color w:val="auto"/>
                <w:sz w:val="24"/>
              </w:rPr>
              <w:t>环境影响</w:t>
            </w:r>
            <w:r>
              <w:rPr>
                <w:rFonts w:hint="default" w:ascii="Times New Roman" w:hAnsi="Times New Roman" w:cs="Times New Roman"/>
                <w:b/>
                <w:bCs/>
                <w:color w:val="auto"/>
                <w:sz w:val="24"/>
                <w:lang w:val="en-US" w:eastAsia="zh-CN"/>
              </w:rPr>
              <w:t>分析</w:t>
            </w:r>
          </w:p>
          <w:p w14:paraId="6CF5F3A9">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textAlignment w:val="auto"/>
              <w:rPr>
                <w:rFonts w:hint="default" w:ascii="Times New Roman" w:hAnsi="Times New Roman" w:cs="Times New Roman"/>
              </w:rPr>
            </w:pPr>
            <w:r>
              <w:rPr>
                <w:rFonts w:hint="default" w:ascii="Times New Roman" w:hAnsi="Times New Roman" w:cs="Times New Roman"/>
                <w:spacing w:val="-2"/>
              </w:rPr>
              <w:t>（</w:t>
            </w:r>
            <w:r>
              <w:rPr>
                <w:rFonts w:hint="default" w:ascii="Times New Roman" w:hAnsi="Times New Roman" w:eastAsia="Times New Roman" w:cs="Times New Roman"/>
                <w:spacing w:val="-2"/>
              </w:rPr>
              <w:t>1</w:t>
            </w:r>
            <w:r>
              <w:rPr>
                <w:rFonts w:hint="default" w:ascii="Times New Roman" w:hAnsi="Times New Roman" w:cs="Times New Roman"/>
                <w:spacing w:val="-2"/>
              </w:rPr>
              <w:t>）生活污水对区域</w:t>
            </w:r>
            <w:r>
              <w:rPr>
                <w:rFonts w:hint="default" w:ascii="Times New Roman" w:hAnsi="Times New Roman" w:cs="Times New Roman"/>
                <w:spacing w:val="-2"/>
                <w:lang w:val="en-US" w:eastAsia="zh-CN"/>
              </w:rPr>
              <w:t>地表水</w:t>
            </w:r>
            <w:r>
              <w:rPr>
                <w:rFonts w:hint="default" w:ascii="Times New Roman" w:hAnsi="Times New Roman" w:cs="Times New Roman"/>
                <w:spacing w:val="-2"/>
              </w:rPr>
              <w:t>环境影响分析</w:t>
            </w:r>
          </w:p>
          <w:p w14:paraId="514F4A5C">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8"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spacing w:val="-3"/>
                <w:sz w:val="24"/>
                <w:szCs w:val="24"/>
                <w:lang w:val="en-US" w:eastAsia="zh-CN"/>
              </w:rPr>
              <w:t>项目施工人员依托</w:t>
            </w:r>
            <w:r>
              <w:rPr>
                <w:rFonts w:hint="default" w:ascii="Times New Roman" w:hAnsi="Times New Roman" w:cs="Times New Roman"/>
                <w:color w:val="auto"/>
                <w:kern w:val="0"/>
                <w:sz w:val="24"/>
                <w:szCs w:val="24"/>
                <w:highlight w:val="none"/>
                <w:lang w:val="en-US" w:eastAsia="zh-CN"/>
              </w:rPr>
              <w:t>康龙煤矿</w:t>
            </w:r>
            <w:r>
              <w:rPr>
                <w:rFonts w:hint="default" w:ascii="Times New Roman" w:hAnsi="Times New Roman" w:cs="Times New Roman"/>
                <w:color w:val="auto"/>
                <w:spacing w:val="-1"/>
                <w:kern w:val="2"/>
                <w:sz w:val="24"/>
                <w:szCs w:val="24"/>
                <w:lang w:val="en-US" w:eastAsia="zh-CN" w:bidi="ar-SA"/>
              </w:rPr>
              <w:t>行政福利生活场地</w:t>
            </w:r>
            <w:r>
              <w:rPr>
                <w:rFonts w:hint="default" w:ascii="Times New Roman" w:hAnsi="Times New Roman" w:cs="Times New Roman"/>
                <w:spacing w:val="-3"/>
                <w:sz w:val="24"/>
                <w:szCs w:val="24"/>
                <w:lang w:val="en-US" w:eastAsia="zh-CN"/>
              </w:rPr>
              <w:t>，</w:t>
            </w:r>
            <w:r>
              <w:rPr>
                <w:rFonts w:hint="default" w:ascii="Times New Roman" w:hAnsi="Times New Roman" w:eastAsia="宋体" w:cs="Times New Roman"/>
                <w:spacing w:val="-3"/>
                <w:sz w:val="24"/>
                <w:szCs w:val="24"/>
              </w:rPr>
              <w:t>根据初步设计和建设单位提供资料，本项目</w:t>
            </w:r>
            <w:r>
              <w:rPr>
                <w:rFonts w:hint="eastAsia" w:ascii="Times New Roman" w:hAnsi="Times New Roman" w:cs="Times New Roman"/>
                <w:spacing w:val="-3"/>
                <w:sz w:val="24"/>
                <w:szCs w:val="24"/>
                <w:lang w:val="en-US" w:eastAsia="zh-CN"/>
              </w:rPr>
              <w:t>外业</w:t>
            </w:r>
            <w:r>
              <w:rPr>
                <w:rFonts w:hint="default" w:ascii="Times New Roman" w:hAnsi="Times New Roman" w:eastAsia="宋体" w:cs="Times New Roman"/>
                <w:spacing w:val="-3"/>
                <w:sz w:val="24"/>
                <w:szCs w:val="24"/>
              </w:rPr>
              <w:t>施工期为6个月，</w:t>
            </w:r>
            <w:r>
              <w:rPr>
                <w:rFonts w:hint="default" w:ascii="Times New Roman" w:hAnsi="Times New Roman" w:eastAsia="宋体" w:cs="Times New Roman"/>
                <w:spacing w:val="-3"/>
                <w:sz w:val="24"/>
                <w:szCs w:val="24"/>
                <w:lang w:val="en-US" w:eastAsia="zh-CN"/>
              </w:rPr>
              <w:t>劳动定员45人，根据《新疆维吾尔自治区生活用水定额》</w:t>
            </w:r>
            <w:r>
              <w:rPr>
                <w:rFonts w:hint="default" w:ascii="Times New Roman" w:hAnsi="Times New Roman" w:eastAsia="宋体" w:cs="Times New Roman"/>
                <w:spacing w:val="-3"/>
                <w:sz w:val="24"/>
                <w:szCs w:val="24"/>
              </w:rPr>
              <w:t>中</w:t>
            </w:r>
            <w:r>
              <w:rPr>
                <w:rFonts w:hint="default" w:ascii="Times New Roman" w:hAnsi="Times New Roman" w:eastAsia="宋体" w:cs="Times New Roman"/>
                <w:spacing w:val="-3"/>
                <w:sz w:val="24"/>
                <w:szCs w:val="24"/>
                <w:lang w:val="en-US" w:eastAsia="zh-CN"/>
              </w:rPr>
              <w:t>农村居民住宅北疆天山北坡区平房</w:t>
            </w:r>
            <w:r>
              <w:rPr>
                <w:rFonts w:hint="default" w:ascii="Times New Roman" w:hAnsi="Times New Roman" w:cs="Times New Roman"/>
                <w:color w:val="auto"/>
                <w:sz w:val="24"/>
                <w:szCs w:val="24"/>
                <w:highlight w:val="none"/>
                <w:lang w:val="en-US" w:eastAsia="zh-CN"/>
              </w:rPr>
              <w:t>及简易楼房</w:t>
            </w:r>
            <w:r>
              <w:rPr>
                <w:rFonts w:hint="default" w:ascii="Times New Roman" w:hAnsi="Times New Roman" w:cs="Times New Roman"/>
                <w:color w:val="auto"/>
                <w:sz w:val="24"/>
                <w:szCs w:val="24"/>
                <w:highlight w:val="none"/>
              </w:rPr>
              <w:t>用水定额为</w:t>
            </w:r>
            <w:r>
              <w:rPr>
                <w:rFonts w:hint="default" w:ascii="Times New Roman" w:hAnsi="Times New Roman" w:cs="Times New Roman"/>
                <w:color w:val="auto"/>
                <w:sz w:val="24"/>
                <w:szCs w:val="24"/>
                <w:highlight w:val="none"/>
                <w:lang w:val="en-US" w:eastAsia="zh-CN"/>
              </w:rPr>
              <w:t>20～30</w:t>
            </w:r>
            <w:r>
              <w:rPr>
                <w:rFonts w:hint="default" w:ascii="Times New Roman" w:hAnsi="Times New Roman" w:cs="Times New Roman"/>
                <w:color w:val="auto"/>
                <w:sz w:val="24"/>
                <w:szCs w:val="24"/>
                <w:highlight w:val="none"/>
              </w:rPr>
              <w:t>L/人·d，本次环评对生活用水以</w:t>
            </w:r>
            <w:r>
              <w:rPr>
                <w:rFonts w:hint="default" w:ascii="Times New Roman" w:hAnsi="Times New Roman" w:cs="Times New Roman"/>
                <w:color w:val="auto"/>
                <w:sz w:val="24"/>
                <w:szCs w:val="24"/>
                <w:highlight w:val="none"/>
                <w:lang w:val="en-US" w:eastAsia="zh-CN"/>
              </w:rPr>
              <w:t>30</w:t>
            </w:r>
            <w:r>
              <w:rPr>
                <w:rFonts w:hint="default" w:ascii="Times New Roman" w:hAnsi="Times New Roman" w:cs="Times New Roman"/>
                <w:color w:val="auto"/>
                <w:sz w:val="24"/>
                <w:szCs w:val="24"/>
                <w:highlight w:val="none"/>
              </w:rPr>
              <w:t>L/人·d计，则生活用水量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eastAsia="宋体" w:cs="Times New Roman"/>
                <w:bCs/>
                <w:color w:val="auto"/>
                <w:kern w:val="2"/>
                <w:sz w:val="24"/>
                <w:szCs w:val="24"/>
                <w:highlight w:val="none"/>
                <w:lang w:val="en-US" w:eastAsia="zh-CN" w:bidi="ar-SA"/>
              </w:rPr>
              <w:t>243.00m</w:t>
            </w:r>
            <w:r>
              <w:rPr>
                <w:rFonts w:hint="default" w:ascii="Times New Roman" w:hAnsi="Times New Roman" w:eastAsia="宋体" w:cs="Times New Roman"/>
                <w:bCs/>
                <w:color w:val="auto"/>
                <w:kern w:val="2"/>
                <w:sz w:val="24"/>
                <w:szCs w:val="24"/>
                <w:highlight w:val="none"/>
                <w:vertAlign w:val="superscript"/>
                <w:lang w:val="en-US" w:eastAsia="zh-CN" w:bidi="ar-SA"/>
              </w:rPr>
              <w:t>3</w:t>
            </w:r>
            <w:r>
              <w:rPr>
                <w:rFonts w:hint="default" w:ascii="Times New Roman" w:hAnsi="Times New Roman" w:eastAsia="Times New Roman" w:cs="Times New Roman"/>
                <w:spacing w:val="-1"/>
                <w:sz w:val="24"/>
                <w:szCs w:val="24"/>
              </w:rPr>
              <w:t>/</w:t>
            </w:r>
            <w:r>
              <w:rPr>
                <w:rFonts w:hint="default" w:ascii="Times New Roman" w:hAnsi="Times New Roman" w:cs="Times New Roman"/>
                <w:spacing w:val="-1"/>
                <w:sz w:val="24"/>
                <w:szCs w:val="24"/>
              </w:rPr>
              <w:t>施工期</w:t>
            </w:r>
            <w:r>
              <w:rPr>
                <w:rFonts w:hint="default" w:ascii="Times New Roman" w:hAnsi="Times New Roman" w:eastAsia="宋体" w:cs="Times New Roman"/>
                <w:bCs/>
                <w:color w:val="auto"/>
                <w:kern w:val="2"/>
                <w:sz w:val="24"/>
                <w:szCs w:val="24"/>
                <w:highlight w:val="none"/>
                <w:lang w:val="en-US" w:eastAsia="zh-CN" w:bidi="ar-SA"/>
              </w:rPr>
              <w:t>（</w:t>
            </w:r>
            <w:r>
              <w:rPr>
                <w:rFonts w:hint="default" w:ascii="Times New Roman" w:hAnsi="Times New Roman" w:cs="Times New Roman"/>
                <w:snapToGrid w:val="0"/>
                <w:color w:val="auto"/>
                <w:kern w:val="0"/>
                <w:sz w:val="24"/>
                <w:szCs w:val="24"/>
                <w:highlight w:val="none"/>
                <w:lang w:val="en-US" w:eastAsia="zh-CN"/>
              </w:rPr>
              <w:t>1.35</w:t>
            </w:r>
            <w:r>
              <w:rPr>
                <w:rFonts w:hint="default" w:ascii="Times New Roman" w:hAnsi="Times New Roman" w:eastAsia="宋体" w:cs="Times New Roman"/>
                <w:bCs/>
                <w:color w:val="auto"/>
                <w:kern w:val="2"/>
                <w:sz w:val="24"/>
                <w:szCs w:val="24"/>
                <w:highlight w:val="none"/>
                <w:lang w:val="en-US" w:eastAsia="zh-CN" w:bidi="ar-SA"/>
              </w:rPr>
              <w:t>m</w:t>
            </w:r>
            <w:r>
              <w:rPr>
                <w:rFonts w:hint="default" w:ascii="Times New Roman" w:hAnsi="Times New Roman" w:eastAsia="宋体" w:cs="Times New Roman"/>
                <w:bCs/>
                <w:color w:val="auto"/>
                <w:kern w:val="2"/>
                <w:sz w:val="24"/>
                <w:szCs w:val="24"/>
                <w:highlight w:val="none"/>
                <w:vertAlign w:val="superscript"/>
                <w:lang w:val="en-US" w:eastAsia="zh-CN" w:bidi="ar-SA"/>
              </w:rPr>
              <w:t>3</w:t>
            </w:r>
            <w:r>
              <w:rPr>
                <w:rFonts w:hint="default" w:ascii="Times New Roman" w:hAnsi="Times New Roman" w:eastAsia="宋体" w:cs="Times New Roman"/>
                <w:bCs/>
                <w:color w:val="auto"/>
                <w:kern w:val="2"/>
                <w:sz w:val="24"/>
                <w:szCs w:val="24"/>
                <w:highlight w:val="none"/>
                <w:lang w:val="en-US" w:eastAsia="zh-CN" w:bidi="ar-SA"/>
              </w:rPr>
              <w:t>/d）。</w:t>
            </w:r>
            <w:r>
              <w:rPr>
                <w:rFonts w:hint="default" w:ascii="Times New Roman" w:hAnsi="Times New Roman" w:cs="Times New Roman"/>
                <w:spacing w:val="-1"/>
                <w:sz w:val="24"/>
                <w:szCs w:val="24"/>
              </w:rPr>
              <w:t>排水量按用水量的</w:t>
            </w:r>
            <w:r>
              <w:rPr>
                <w:rFonts w:hint="default" w:ascii="Times New Roman" w:hAnsi="Times New Roman" w:cs="Times New Roman"/>
                <w:spacing w:val="-43"/>
                <w:sz w:val="24"/>
                <w:szCs w:val="24"/>
              </w:rPr>
              <w:t xml:space="preserve"> </w:t>
            </w:r>
            <w:r>
              <w:rPr>
                <w:rFonts w:hint="default" w:ascii="Times New Roman" w:hAnsi="Times New Roman" w:eastAsia="Times New Roman" w:cs="Times New Roman"/>
                <w:spacing w:val="-1"/>
                <w:sz w:val="24"/>
                <w:szCs w:val="24"/>
              </w:rPr>
              <w:t>80%</w:t>
            </w:r>
            <w:r>
              <w:rPr>
                <w:rFonts w:hint="default" w:ascii="Times New Roman" w:hAnsi="Times New Roman" w:cs="Times New Roman"/>
                <w:spacing w:val="-1"/>
                <w:sz w:val="24"/>
                <w:szCs w:val="24"/>
              </w:rPr>
              <w:t>计，</w:t>
            </w:r>
            <w:r>
              <w:rPr>
                <w:rFonts w:hint="default" w:ascii="Times New Roman" w:hAnsi="Times New Roman" w:cs="Times New Roman"/>
                <w:spacing w:val="-1"/>
                <w:sz w:val="24"/>
                <w:szCs w:val="24"/>
                <w:lang w:val="en-US" w:eastAsia="zh-CN"/>
              </w:rPr>
              <w:t>则生活污水排水量为194.40</w:t>
            </w:r>
            <w:r>
              <w:rPr>
                <w:rFonts w:hint="default" w:ascii="Times New Roman" w:hAnsi="Times New Roman" w:eastAsia="宋体" w:cs="Times New Roman"/>
                <w:bCs/>
                <w:color w:val="auto"/>
                <w:kern w:val="2"/>
                <w:sz w:val="24"/>
                <w:szCs w:val="24"/>
                <w:highlight w:val="none"/>
                <w:lang w:val="en-US" w:eastAsia="zh-CN" w:bidi="ar-SA"/>
              </w:rPr>
              <w:t>m</w:t>
            </w:r>
            <w:r>
              <w:rPr>
                <w:rFonts w:hint="default" w:ascii="Times New Roman" w:hAnsi="Times New Roman" w:eastAsia="宋体" w:cs="Times New Roman"/>
                <w:bCs/>
                <w:color w:val="auto"/>
                <w:kern w:val="2"/>
                <w:sz w:val="24"/>
                <w:szCs w:val="24"/>
                <w:highlight w:val="none"/>
                <w:vertAlign w:val="superscript"/>
                <w:lang w:val="en-US" w:eastAsia="zh-CN" w:bidi="ar-SA"/>
              </w:rPr>
              <w:t>3</w:t>
            </w:r>
            <w:r>
              <w:rPr>
                <w:rFonts w:hint="default" w:ascii="Times New Roman" w:hAnsi="Times New Roman" w:eastAsia="Times New Roman" w:cs="Times New Roman"/>
                <w:spacing w:val="-1"/>
                <w:sz w:val="24"/>
                <w:szCs w:val="24"/>
              </w:rPr>
              <w:t>/</w:t>
            </w:r>
            <w:r>
              <w:rPr>
                <w:rFonts w:hint="default" w:ascii="Times New Roman" w:hAnsi="Times New Roman" w:cs="Times New Roman"/>
                <w:spacing w:val="-1"/>
                <w:sz w:val="24"/>
                <w:szCs w:val="24"/>
              </w:rPr>
              <w:t>施工期</w:t>
            </w:r>
            <w:r>
              <w:rPr>
                <w:rFonts w:hint="default" w:ascii="Times New Roman" w:hAnsi="Times New Roman" w:cs="Times New Roman"/>
                <w:spacing w:val="-1"/>
                <w:sz w:val="24"/>
                <w:szCs w:val="24"/>
                <w:lang w:val="en-US" w:eastAsia="zh-CN"/>
              </w:rPr>
              <w:t>（1.08</w:t>
            </w:r>
            <w:r>
              <w:rPr>
                <w:rFonts w:hint="default" w:ascii="Times New Roman" w:hAnsi="Times New Roman" w:eastAsia="宋体" w:cs="Times New Roman"/>
                <w:bCs/>
                <w:color w:val="auto"/>
                <w:kern w:val="2"/>
                <w:sz w:val="24"/>
                <w:szCs w:val="24"/>
                <w:highlight w:val="none"/>
                <w:lang w:val="en-US" w:eastAsia="zh-CN" w:bidi="ar-SA"/>
              </w:rPr>
              <w:t>m</w:t>
            </w:r>
            <w:r>
              <w:rPr>
                <w:rFonts w:hint="default" w:ascii="Times New Roman" w:hAnsi="Times New Roman" w:eastAsia="宋体" w:cs="Times New Roman"/>
                <w:bCs/>
                <w:color w:val="auto"/>
                <w:kern w:val="2"/>
                <w:sz w:val="24"/>
                <w:szCs w:val="24"/>
                <w:highlight w:val="none"/>
                <w:vertAlign w:val="superscript"/>
                <w:lang w:val="en-US" w:eastAsia="zh-CN" w:bidi="ar-SA"/>
              </w:rPr>
              <w:t>3</w:t>
            </w:r>
            <w:r>
              <w:rPr>
                <w:rFonts w:hint="default" w:ascii="Times New Roman" w:hAnsi="Times New Roman" w:eastAsia="宋体" w:cs="Times New Roman"/>
                <w:bCs/>
                <w:color w:val="auto"/>
                <w:kern w:val="2"/>
                <w:sz w:val="24"/>
                <w:szCs w:val="24"/>
                <w:highlight w:val="none"/>
                <w:lang w:val="en-US" w:eastAsia="zh-CN" w:bidi="ar-SA"/>
              </w:rPr>
              <w:t>/d</w:t>
            </w:r>
            <w:r>
              <w:rPr>
                <w:rFonts w:hint="default" w:ascii="Times New Roman" w:hAnsi="Times New Roman" w:cs="Times New Roman"/>
                <w:spacing w:val="-1"/>
                <w:sz w:val="24"/>
                <w:szCs w:val="24"/>
                <w:lang w:val="en-US" w:eastAsia="zh-CN"/>
              </w:rPr>
              <w:t>）</w:t>
            </w:r>
            <w:r>
              <w:rPr>
                <w:rFonts w:hint="default" w:ascii="Times New Roman" w:hAnsi="Times New Roman" w:eastAsia="宋体" w:cs="Times New Roman"/>
                <w:snapToGrid w:val="0"/>
                <w:color w:val="auto"/>
                <w:kern w:val="0"/>
                <w:sz w:val="24"/>
                <w:szCs w:val="24"/>
                <w:highlight w:val="none"/>
                <w:lang w:eastAsia="zh-CN"/>
              </w:rPr>
              <w:t>。</w:t>
            </w:r>
            <w:r>
              <w:rPr>
                <w:rFonts w:hint="default" w:ascii="Times New Roman" w:hAnsi="Times New Roman" w:cs="Times New Roman"/>
                <w:color w:val="auto"/>
                <w:sz w:val="24"/>
                <w:szCs w:val="24"/>
                <w:highlight w:val="none"/>
              </w:rPr>
              <w:t>生活污水主要污染物为SS、COD、BOD</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、氨氮等</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kern w:val="0"/>
                <w:sz w:val="24"/>
                <w:szCs w:val="24"/>
                <w:highlight w:val="none"/>
                <w:lang w:val="en-US" w:eastAsia="zh-CN"/>
              </w:rPr>
              <w:t>依托康龙煤矿</w:t>
            </w:r>
            <w:r>
              <w:rPr>
                <w:rFonts w:hint="default" w:ascii="Times New Roman" w:hAnsi="Times New Roman" w:cs="Times New Roman"/>
                <w:color w:val="auto"/>
                <w:spacing w:val="-1"/>
                <w:kern w:val="2"/>
                <w:sz w:val="24"/>
                <w:szCs w:val="24"/>
                <w:lang w:val="en-US" w:eastAsia="zh-CN" w:bidi="ar-SA"/>
              </w:rPr>
              <w:t>行政福利生活场地</w:t>
            </w:r>
            <w:r>
              <w:rPr>
                <w:rFonts w:hint="default" w:ascii="Times New Roman" w:hAnsi="Times New Roman" w:cs="Times New Roman"/>
                <w:color w:val="auto"/>
                <w:kern w:val="0"/>
                <w:sz w:val="24"/>
                <w:szCs w:val="24"/>
                <w:highlight w:val="none"/>
                <w:lang w:val="en-US" w:eastAsia="zh-CN"/>
              </w:rPr>
              <w:t>已建地埋式污水处理设备处理后用于绿化</w:t>
            </w:r>
            <w:r>
              <w:rPr>
                <w:rFonts w:hint="default" w:ascii="Times New Roman" w:hAnsi="Times New Roman" w:eastAsia="宋体" w:cs="Times New Roman"/>
                <w:color w:val="auto"/>
                <w:sz w:val="24"/>
                <w:szCs w:val="24"/>
                <w:highlight w:val="none"/>
                <w:lang w:val="en-US" w:eastAsia="zh-CN"/>
              </w:rPr>
              <w:t>。</w:t>
            </w:r>
          </w:p>
          <w:p w14:paraId="4EB03B27">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4"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spacing w:val="-4"/>
                <w:sz w:val="24"/>
                <w:szCs w:val="24"/>
                <w:lang w:val="en-US" w:eastAsia="zh-CN"/>
              </w:rPr>
              <w:t>本项目南侧距离甘河子水库水源地</w:t>
            </w:r>
            <w:r>
              <w:rPr>
                <w:rFonts w:hint="eastAsia" w:ascii="Times New Roman" w:hAnsi="Times New Roman" w:cs="Times New Roman"/>
                <w:spacing w:val="-4"/>
                <w:sz w:val="24"/>
                <w:szCs w:val="24"/>
                <w:lang w:val="en-US" w:eastAsia="zh-CN"/>
              </w:rPr>
              <w:t>二级保护区</w:t>
            </w:r>
            <w:r>
              <w:rPr>
                <w:rFonts w:hint="default" w:ascii="Times New Roman" w:hAnsi="Times New Roman" w:cs="Times New Roman"/>
                <w:spacing w:val="-4"/>
                <w:sz w:val="24"/>
                <w:szCs w:val="24"/>
                <w:lang w:val="en-US" w:eastAsia="zh-CN"/>
              </w:rPr>
              <w:t>最近距离约1.84km，本项目区</w:t>
            </w:r>
            <w:r>
              <w:rPr>
                <w:rFonts w:hint="default" w:ascii="Times New Roman" w:hAnsi="Times New Roman" w:cs="Times New Roman"/>
                <w:color w:val="auto"/>
                <w:spacing w:val="-1"/>
                <w:kern w:val="2"/>
                <w:sz w:val="24"/>
                <w:szCs w:val="24"/>
                <w:lang w:val="en-US" w:eastAsia="zh-CN" w:bidi="ar-SA"/>
              </w:rPr>
              <w:t>位于</w:t>
            </w:r>
            <w:r>
              <w:rPr>
                <w:rFonts w:hint="eastAsia" w:ascii="Times New Roman" w:hAnsi="Times New Roman" w:cs="Times New Roman"/>
                <w:color w:val="auto"/>
                <w:spacing w:val="-1"/>
                <w:kern w:val="2"/>
                <w:sz w:val="24"/>
                <w:szCs w:val="24"/>
                <w:lang w:val="en-US" w:eastAsia="zh-CN" w:bidi="ar-SA"/>
              </w:rPr>
              <w:t>康龙煤矿</w:t>
            </w:r>
            <w:r>
              <w:rPr>
                <w:rFonts w:hint="default" w:ascii="Times New Roman" w:hAnsi="Times New Roman" w:cs="Times New Roman"/>
                <w:color w:val="auto"/>
                <w:spacing w:val="-1"/>
                <w:kern w:val="2"/>
                <w:sz w:val="24"/>
                <w:szCs w:val="24"/>
                <w:lang w:val="en-US" w:eastAsia="zh-CN" w:bidi="ar-SA"/>
              </w:rPr>
              <w:t>，</w:t>
            </w:r>
            <w:r>
              <w:rPr>
                <w:rFonts w:hint="default" w:ascii="Times New Roman" w:hAnsi="Times New Roman" w:eastAsia="宋体" w:cs="Times New Roman"/>
                <w:color w:val="auto"/>
                <w:sz w:val="24"/>
                <w:szCs w:val="24"/>
                <w:highlight w:val="none"/>
                <w:lang w:val="en-US" w:eastAsia="zh-CN"/>
              </w:rPr>
              <w:t>项目产生的</w:t>
            </w:r>
            <w:r>
              <w:rPr>
                <w:rFonts w:hint="default" w:ascii="Times New Roman" w:hAnsi="Times New Roman" w:cs="Times New Roman"/>
                <w:color w:val="auto"/>
                <w:sz w:val="24"/>
                <w:szCs w:val="24"/>
                <w:highlight w:val="none"/>
                <w:lang w:val="en-US" w:eastAsia="zh-CN"/>
              </w:rPr>
              <w:t>生活废水</w:t>
            </w:r>
            <w:r>
              <w:rPr>
                <w:rFonts w:hint="default" w:ascii="Times New Roman" w:hAnsi="Times New Roman" w:cs="Times New Roman"/>
                <w:color w:val="auto"/>
                <w:kern w:val="0"/>
                <w:sz w:val="24"/>
                <w:szCs w:val="24"/>
                <w:highlight w:val="none"/>
                <w:lang w:val="en-US" w:eastAsia="zh-CN"/>
              </w:rPr>
              <w:t>依托康龙煤矿</w:t>
            </w:r>
            <w:r>
              <w:rPr>
                <w:rFonts w:hint="default" w:ascii="Times New Roman" w:hAnsi="Times New Roman" w:cs="Times New Roman"/>
                <w:color w:val="auto"/>
                <w:spacing w:val="-1"/>
                <w:kern w:val="2"/>
                <w:sz w:val="24"/>
                <w:szCs w:val="24"/>
                <w:lang w:val="en-US" w:eastAsia="zh-CN" w:bidi="ar-SA"/>
              </w:rPr>
              <w:t>行政福利生活场地</w:t>
            </w:r>
            <w:r>
              <w:rPr>
                <w:rFonts w:hint="default" w:ascii="Times New Roman" w:hAnsi="Times New Roman" w:cs="Times New Roman"/>
                <w:color w:val="auto"/>
                <w:kern w:val="0"/>
                <w:sz w:val="24"/>
                <w:szCs w:val="24"/>
                <w:highlight w:val="none"/>
                <w:lang w:val="en-US" w:eastAsia="zh-CN"/>
              </w:rPr>
              <w:t>已建地埋式污水处理设备处理后用于绿化</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不外排，项目生活污水</w:t>
            </w:r>
            <w:r>
              <w:rPr>
                <w:rFonts w:hint="default" w:ascii="Times New Roman" w:hAnsi="Times New Roman" w:eastAsia="宋体" w:cs="Times New Roman"/>
                <w:color w:val="auto"/>
                <w:sz w:val="24"/>
                <w:szCs w:val="24"/>
                <w:highlight w:val="none"/>
                <w:lang w:val="en-US" w:eastAsia="zh-CN"/>
              </w:rPr>
              <w:t>对</w:t>
            </w:r>
            <w:r>
              <w:rPr>
                <w:rFonts w:hint="default" w:ascii="Times New Roman" w:hAnsi="Times New Roman" w:cs="Times New Roman"/>
                <w:color w:val="auto"/>
                <w:sz w:val="24"/>
                <w:szCs w:val="24"/>
                <w:highlight w:val="none"/>
                <w:lang w:val="en-US" w:eastAsia="zh-CN"/>
              </w:rPr>
              <w:t>甘河子水库水源地环境影响较小</w:t>
            </w:r>
            <w:r>
              <w:rPr>
                <w:rFonts w:hint="default" w:ascii="Times New Roman" w:hAnsi="Times New Roman" w:eastAsia="宋体" w:cs="Times New Roman"/>
                <w:color w:val="auto"/>
                <w:sz w:val="24"/>
                <w:szCs w:val="24"/>
                <w:highlight w:val="none"/>
                <w:lang w:val="en-US" w:eastAsia="zh-CN"/>
              </w:rPr>
              <w:t>。</w:t>
            </w:r>
          </w:p>
          <w:p w14:paraId="44261272">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6" w:firstLineChars="200"/>
              <w:textAlignment w:val="auto"/>
              <w:rPr>
                <w:rFonts w:hint="default" w:ascii="Times New Roman" w:hAnsi="Times New Roman" w:cs="Times New Roman"/>
                <w:sz w:val="24"/>
                <w:szCs w:val="24"/>
              </w:rPr>
            </w:pPr>
            <w:r>
              <w:rPr>
                <w:rFonts w:hint="default" w:ascii="Times New Roman" w:hAnsi="Times New Roman" w:cs="Times New Roman"/>
                <w:spacing w:val="-1"/>
                <w:sz w:val="24"/>
                <w:szCs w:val="24"/>
              </w:rPr>
              <w:t>（</w:t>
            </w:r>
            <w:r>
              <w:rPr>
                <w:rFonts w:hint="default" w:ascii="Times New Roman" w:hAnsi="Times New Roman" w:eastAsia="宋体" w:cs="Times New Roman"/>
                <w:spacing w:val="-1"/>
                <w:sz w:val="24"/>
                <w:szCs w:val="24"/>
                <w:lang w:val="en-US" w:eastAsia="zh-CN"/>
              </w:rPr>
              <w:t>2</w:t>
            </w:r>
            <w:r>
              <w:rPr>
                <w:rFonts w:hint="default" w:ascii="Times New Roman" w:hAnsi="Times New Roman" w:cs="Times New Roman"/>
                <w:spacing w:val="-1"/>
                <w:sz w:val="24"/>
                <w:szCs w:val="24"/>
              </w:rPr>
              <w:t>）火区取水量对区域水资源利用的影响分析</w:t>
            </w:r>
          </w:p>
          <w:p w14:paraId="47DEE0C3">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textAlignment w:val="auto"/>
              <w:rPr>
                <w:rFonts w:hint="default" w:ascii="Times New Roman" w:hAnsi="Times New Roman" w:eastAsia="宋体" w:cs="Times New Roman"/>
                <w:spacing w:val="-1"/>
                <w:sz w:val="24"/>
                <w:szCs w:val="24"/>
                <w:lang w:eastAsia="zh-CN"/>
              </w:rPr>
            </w:pPr>
            <w:r>
              <w:rPr>
                <w:rFonts w:hint="default" w:ascii="Times New Roman" w:hAnsi="Times New Roman" w:cs="Times New Roman"/>
                <w:spacing w:val="-5"/>
                <w:sz w:val="24"/>
                <w:szCs w:val="24"/>
              </w:rPr>
              <w:t>本项目灭火用水总量为火区注水量、注浆用水量和钻探用水量三部分之和，总量为</w:t>
            </w:r>
            <w:r>
              <w:rPr>
                <w:rFonts w:hint="default" w:ascii="Times New Roman" w:hAnsi="Times New Roman" w:cs="Times New Roman"/>
                <w:spacing w:val="-29"/>
                <w:sz w:val="24"/>
                <w:szCs w:val="24"/>
              </w:rPr>
              <w:t xml:space="preserve"> </w:t>
            </w:r>
            <w:r>
              <w:rPr>
                <w:rFonts w:hint="default" w:ascii="Times New Roman" w:hAnsi="Times New Roman" w:eastAsia="宋体" w:cs="Times New Roman"/>
                <w:spacing w:val="-5"/>
                <w:sz w:val="24"/>
                <w:szCs w:val="24"/>
                <w:lang w:val="en-US" w:eastAsia="zh-CN"/>
              </w:rPr>
              <w:t>25460</w:t>
            </w:r>
            <w:r>
              <w:rPr>
                <w:rFonts w:hint="default" w:ascii="Times New Roman" w:hAnsi="Times New Roman" w:eastAsia="Times New Roman" w:cs="Times New Roman"/>
                <w:spacing w:val="-5"/>
                <w:sz w:val="24"/>
                <w:szCs w:val="24"/>
              </w:rPr>
              <w:t>m</w:t>
            </w:r>
            <w:r>
              <w:rPr>
                <w:rFonts w:hint="default" w:ascii="Times New Roman" w:hAnsi="Times New Roman" w:eastAsia="宋体" w:cs="Times New Roman"/>
                <w:spacing w:val="-5"/>
                <w:sz w:val="24"/>
                <w:szCs w:val="24"/>
                <w:vertAlign w:val="superscript"/>
                <w:lang w:val="en-US" w:eastAsia="zh-CN"/>
              </w:rPr>
              <w:t>3</w:t>
            </w:r>
            <w:r>
              <w:rPr>
                <w:rFonts w:hint="default" w:ascii="Times New Roman" w:hAnsi="Times New Roman" w:cs="Times New Roman"/>
                <w:spacing w:val="-5"/>
                <w:sz w:val="24"/>
                <w:szCs w:val="24"/>
              </w:rPr>
              <w:t>，</w:t>
            </w:r>
            <w:r>
              <w:rPr>
                <w:rFonts w:hint="default" w:ascii="Times New Roman" w:hAnsi="Times New Roman" w:eastAsia="宋体" w:cs="Times New Roman"/>
                <w:spacing w:val="-1"/>
                <w:sz w:val="24"/>
                <w:szCs w:val="24"/>
                <w:lang w:val="en-US" w:eastAsia="zh-CN"/>
              </w:rPr>
              <w:t>矿界范围外西北侧有一坑积水，总水量约20万m</w:t>
            </w:r>
            <w:r>
              <w:rPr>
                <w:rFonts w:hint="default" w:ascii="Times New Roman" w:hAnsi="Times New Roman" w:eastAsia="宋体" w:cs="Times New Roman"/>
                <w:spacing w:val="-1"/>
                <w:sz w:val="24"/>
                <w:szCs w:val="24"/>
                <w:vertAlign w:val="superscript"/>
                <w:lang w:val="en-US" w:eastAsia="zh-CN"/>
              </w:rPr>
              <w:t>3</w:t>
            </w:r>
            <w:r>
              <w:rPr>
                <w:rFonts w:hint="default" w:ascii="Times New Roman" w:hAnsi="Times New Roman" w:eastAsia="宋体" w:cs="Times New Roman"/>
                <w:spacing w:val="-1"/>
                <w:sz w:val="24"/>
                <w:szCs w:val="24"/>
                <w:lang w:val="en-US" w:eastAsia="zh-CN"/>
              </w:rPr>
              <w:t>，</w:t>
            </w:r>
            <w:r>
              <w:rPr>
                <w:rFonts w:hint="default" w:ascii="Times New Roman" w:hAnsi="Times New Roman" w:eastAsia="宋体" w:cs="Times New Roman"/>
                <w:spacing w:val="-1"/>
                <w:sz w:val="24"/>
                <w:szCs w:val="24"/>
              </w:rPr>
              <w:t>可满足火区灭火需求</w:t>
            </w:r>
            <w:r>
              <w:rPr>
                <w:rFonts w:hint="default" w:ascii="Times New Roman" w:hAnsi="Times New Roman" w:eastAsia="宋体" w:cs="Times New Roman"/>
                <w:spacing w:val="-1"/>
                <w:sz w:val="24"/>
                <w:szCs w:val="24"/>
                <w:lang w:eastAsia="zh-CN"/>
              </w:rPr>
              <w:t>。</w:t>
            </w:r>
            <w:r>
              <w:rPr>
                <w:rFonts w:hint="default" w:ascii="Times New Roman" w:hAnsi="Times New Roman" w:eastAsia="宋体" w:cs="Times New Roman"/>
                <w:spacing w:val="-1"/>
                <w:sz w:val="24"/>
                <w:szCs w:val="24"/>
              </w:rPr>
              <w:t>本项目施工期取用</w:t>
            </w:r>
            <w:r>
              <w:rPr>
                <w:rFonts w:hint="default" w:ascii="Times New Roman" w:hAnsi="Times New Roman" w:eastAsia="宋体" w:cs="Times New Roman"/>
                <w:spacing w:val="-1"/>
                <w:sz w:val="24"/>
                <w:szCs w:val="24"/>
                <w:lang w:val="en-US" w:eastAsia="zh-CN"/>
              </w:rPr>
              <w:t>矿界范围外西北坑积水，</w:t>
            </w:r>
            <w:r>
              <w:rPr>
                <w:rFonts w:hint="default" w:ascii="Times New Roman" w:hAnsi="Times New Roman" w:eastAsia="宋体" w:cs="Times New Roman"/>
                <w:spacing w:val="-1"/>
                <w:sz w:val="24"/>
                <w:szCs w:val="24"/>
              </w:rPr>
              <w:t>对地表水水资源利用影响较小</w:t>
            </w:r>
            <w:r>
              <w:rPr>
                <w:rFonts w:hint="default" w:ascii="Times New Roman" w:hAnsi="Times New Roman" w:eastAsia="宋体" w:cs="Times New Roman"/>
                <w:spacing w:val="-1"/>
                <w:sz w:val="24"/>
                <w:szCs w:val="24"/>
                <w:lang w:eastAsia="zh-CN"/>
              </w:rPr>
              <w:t>。</w:t>
            </w:r>
          </w:p>
          <w:p w14:paraId="2A992D89">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6" w:firstLineChars="200"/>
              <w:textAlignment w:val="auto"/>
              <w:rPr>
                <w:rFonts w:hint="default" w:ascii="Times New Roman" w:hAnsi="Times New Roman" w:eastAsia="宋体" w:cs="Times New Roman"/>
                <w:spacing w:val="-1"/>
                <w:sz w:val="24"/>
                <w:szCs w:val="24"/>
                <w:lang w:val="en-US" w:eastAsia="zh-CN"/>
              </w:rPr>
            </w:pPr>
            <w:r>
              <w:rPr>
                <w:rFonts w:hint="eastAsia" w:ascii="Times New Roman" w:hAnsi="Times New Roman" w:cs="Times New Roman"/>
                <w:spacing w:val="-1"/>
                <w:sz w:val="24"/>
                <w:szCs w:val="24"/>
                <w:lang w:eastAsia="zh-CN"/>
              </w:rPr>
              <w:t>（</w:t>
            </w:r>
            <w:r>
              <w:rPr>
                <w:rFonts w:hint="eastAsia" w:ascii="Times New Roman" w:hAnsi="Times New Roman" w:cs="Times New Roman"/>
                <w:spacing w:val="-1"/>
                <w:sz w:val="24"/>
                <w:szCs w:val="24"/>
                <w:lang w:val="en-US" w:eastAsia="zh-CN"/>
              </w:rPr>
              <w:t>3</w:t>
            </w:r>
            <w:r>
              <w:rPr>
                <w:rFonts w:hint="eastAsia" w:ascii="Times New Roman" w:hAnsi="Times New Roman" w:cs="Times New Roman"/>
                <w:spacing w:val="-1"/>
                <w:sz w:val="24"/>
                <w:szCs w:val="24"/>
                <w:lang w:eastAsia="zh-CN"/>
              </w:rPr>
              <w:t>）</w:t>
            </w:r>
            <w:r>
              <w:rPr>
                <w:rFonts w:hint="eastAsia" w:ascii="Times New Roman" w:hAnsi="Times New Roman" w:cs="Times New Roman"/>
                <w:spacing w:val="-1"/>
                <w:sz w:val="24"/>
                <w:szCs w:val="24"/>
                <w:lang w:val="en-US" w:eastAsia="zh-CN"/>
              </w:rPr>
              <w:t>施工废水对区域地表水环境影响分析</w:t>
            </w:r>
          </w:p>
          <w:p w14:paraId="2EC8184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6"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spacing w:val="-1"/>
                <w:sz w:val="24"/>
                <w:szCs w:val="24"/>
                <w:lang w:val="en-US" w:eastAsia="zh-CN"/>
              </w:rPr>
              <w:t>项目施工废水主要包括注浆站制浆设备清洗及注浆工程结束后清洗管道产生的泥浆废水，钻探设备清洗产生的清洗废水，主要污染因子为</w:t>
            </w:r>
            <w:r>
              <w:rPr>
                <w:rFonts w:hint="default" w:ascii="Times New Roman" w:hAnsi="Times New Roman" w:cs="Times New Roman"/>
                <w:color w:val="auto"/>
                <w:sz w:val="24"/>
                <w:szCs w:val="24"/>
                <w:highlight w:val="none"/>
              </w:rPr>
              <w:t>SS、COD、BOD</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、氨氮等</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设沉淀池沉淀后用于施工场地洒水降尘，不外排，项目施工废水</w:t>
            </w:r>
            <w:r>
              <w:rPr>
                <w:rFonts w:hint="default" w:ascii="Times New Roman" w:hAnsi="Times New Roman" w:eastAsia="宋体" w:cs="Times New Roman"/>
                <w:color w:val="auto"/>
                <w:sz w:val="24"/>
                <w:szCs w:val="24"/>
                <w:highlight w:val="none"/>
                <w:lang w:val="en-US" w:eastAsia="zh-CN"/>
              </w:rPr>
              <w:t>对</w:t>
            </w:r>
            <w:r>
              <w:rPr>
                <w:rFonts w:hint="default" w:ascii="Times New Roman" w:hAnsi="Times New Roman" w:cs="Times New Roman"/>
                <w:color w:val="auto"/>
                <w:sz w:val="24"/>
                <w:szCs w:val="24"/>
                <w:highlight w:val="none"/>
                <w:lang w:val="en-US" w:eastAsia="zh-CN"/>
              </w:rPr>
              <w:t>甘河子水库水源地环境影响较小</w:t>
            </w:r>
            <w:r>
              <w:rPr>
                <w:rFonts w:hint="default" w:ascii="Times New Roman" w:hAnsi="Times New Roman" w:eastAsia="宋体" w:cs="Times New Roman"/>
                <w:color w:val="auto"/>
                <w:sz w:val="24"/>
                <w:szCs w:val="24"/>
                <w:highlight w:val="none"/>
                <w:lang w:val="en-US" w:eastAsia="zh-CN"/>
              </w:rPr>
              <w:t>。</w:t>
            </w:r>
          </w:p>
          <w:p w14:paraId="17CC36BF">
            <w:pPr>
              <w:keepNext w:val="0"/>
              <w:keepLines w:val="0"/>
              <w:suppressLineNumbers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r>
              <w:rPr>
                <w:rFonts w:hint="eastAsia" w:cs="Times New Roman"/>
                <w:b/>
                <w:bCs/>
                <w:color w:val="auto"/>
                <w:sz w:val="24"/>
                <w:szCs w:val="24"/>
                <w:lang w:val="en-US" w:eastAsia="zh-CN"/>
              </w:rPr>
              <w:t>4、施工期</w:t>
            </w:r>
            <w:r>
              <w:rPr>
                <w:rFonts w:hint="eastAsia" w:ascii="Times New Roman" w:hAnsi="Times New Roman" w:cs="Times New Roman"/>
                <w:b/>
                <w:bCs/>
                <w:color w:val="auto"/>
                <w:sz w:val="24"/>
                <w:szCs w:val="24"/>
              </w:rPr>
              <w:t>声环境影响</w:t>
            </w:r>
          </w:p>
          <w:p w14:paraId="6C057518">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本项目主要噪声</w:t>
            </w:r>
            <w:r>
              <w:rPr>
                <w:rFonts w:hint="eastAsia" w:ascii="Times New Roman" w:hAnsi="Times New Roman" w:eastAsia="宋体" w:cs="Times New Roman"/>
                <w:bCs/>
                <w:color w:val="auto"/>
                <w:sz w:val="24"/>
                <w:szCs w:val="24"/>
                <w:highlight w:val="none"/>
                <w:lang w:eastAsia="zh-CN"/>
              </w:rPr>
              <w:t>来</w:t>
            </w:r>
            <w:r>
              <w:rPr>
                <w:rFonts w:hint="default" w:ascii="Times New Roman" w:hAnsi="Times New Roman" w:eastAsia="宋体" w:cs="Times New Roman"/>
                <w:bCs/>
                <w:color w:val="auto"/>
                <w:sz w:val="24"/>
                <w:szCs w:val="24"/>
                <w:highlight w:val="none"/>
              </w:rPr>
              <w:t>源</w:t>
            </w:r>
            <w:r>
              <w:rPr>
                <w:rFonts w:hint="eastAsia" w:cs="Times New Roman"/>
                <w:bCs/>
                <w:color w:val="auto"/>
                <w:sz w:val="24"/>
                <w:szCs w:val="24"/>
                <w:highlight w:val="none"/>
                <w:lang w:val="en-US" w:eastAsia="zh-CN"/>
              </w:rPr>
              <w:t>于推土机、</w:t>
            </w:r>
            <w:r>
              <w:rPr>
                <w:rFonts w:hint="eastAsia" w:ascii="Times New Roman" w:hAnsi="Times New Roman" w:eastAsia="宋体" w:cs="Times New Roman"/>
                <w:bCs/>
                <w:color w:val="auto"/>
                <w:sz w:val="24"/>
                <w:szCs w:val="24"/>
                <w:highlight w:val="none"/>
                <w:lang w:val="en-US" w:eastAsia="zh-CN"/>
              </w:rPr>
              <w:t>挖掘机、</w:t>
            </w:r>
            <w:r>
              <w:rPr>
                <w:rFonts w:hint="default" w:ascii="Times New Roman" w:hAnsi="Times New Roman" w:eastAsia="宋体" w:cs="Times New Roman"/>
                <w:bCs/>
                <w:color w:val="auto"/>
                <w:sz w:val="24"/>
                <w:szCs w:val="24"/>
                <w:highlight w:val="none"/>
              </w:rPr>
              <w:t>钻机等机械设备运行时产生，</w:t>
            </w:r>
            <w:r>
              <w:rPr>
                <w:rFonts w:hint="default" w:ascii="Times New Roman" w:hAnsi="Times New Roman" w:eastAsia="宋体" w:cs="Times New Roman"/>
                <w:bCs/>
                <w:color w:val="auto"/>
                <w:sz w:val="24"/>
                <w:szCs w:val="24"/>
                <w:highlight w:val="none"/>
                <w:lang w:val="en-US" w:eastAsia="zh-CN"/>
              </w:rPr>
              <w:t>主要施工设备噪声源强见表4-</w:t>
            </w:r>
            <w:r>
              <w:rPr>
                <w:rFonts w:hint="eastAsia" w:ascii="Times New Roman" w:hAnsi="Times New Roman" w:eastAsia="宋体" w:cs="Times New Roman"/>
                <w:bCs/>
                <w:color w:val="auto"/>
                <w:sz w:val="24"/>
                <w:szCs w:val="24"/>
                <w:highlight w:val="none"/>
                <w:lang w:val="en-US" w:eastAsia="zh-CN"/>
              </w:rPr>
              <w:t>2</w:t>
            </w:r>
            <w:r>
              <w:rPr>
                <w:rFonts w:hint="default" w:ascii="Times New Roman" w:hAnsi="Times New Roman" w:eastAsia="宋体" w:cs="Times New Roman"/>
                <w:bCs/>
                <w:color w:val="auto"/>
                <w:sz w:val="24"/>
                <w:szCs w:val="24"/>
                <w:highlight w:val="none"/>
              </w:rPr>
              <w:t>。</w:t>
            </w:r>
          </w:p>
          <w:p w14:paraId="18A259FF">
            <w:pPr>
              <w:keepNext w:val="0"/>
              <w:keepLines w:val="0"/>
              <w:pageBreakBefore w:val="0"/>
              <w:suppressLineNumbers w:val="0"/>
              <w:kinsoku/>
              <w:wordWrap/>
              <w:overflowPunct/>
              <w:autoSpaceDE w:val="0"/>
              <w:autoSpaceDN w:val="0"/>
              <w:bidi w:val="0"/>
              <w:adjustRightInd/>
              <w:snapToGrid/>
              <w:spacing w:before="0" w:beforeAutospacing="0" w:after="0" w:afterAutospacing="0"/>
              <w:ind w:left="0" w:right="0"/>
              <w:jc w:val="center"/>
              <w:textAlignment w:val="baseline"/>
              <w:rPr>
                <w:rFonts w:hint="eastAsia" w:ascii="Times New Roman" w:hAnsi="Times New Roman" w:eastAsia="宋体"/>
                <w:b/>
                <w:caps w:val="0"/>
                <w:color w:val="auto"/>
                <w:szCs w:val="21"/>
                <w:highlight w:val="none"/>
              </w:rPr>
            </w:pPr>
            <w:r>
              <w:rPr>
                <w:rFonts w:hint="default" w:ascii="Times New Roman" w:hAnsi="Times New Roman" w:eastAsia="宋体"/>
                <w:b/>
                <w:caps w:val="0"/>
                <w:color w:val="auto"/>
                <w:szCs w:val="21"/>
                <w:highlight w:val="none"/>
              </w:rPr>
              <w:t>表</w:t>
            </w:r>
            <w:r>
              <w:rPr>
                <w:rFonts w:hint="eastAsia" w:ascii="Times New Roman" w:hAnsi="Times New Roman" w:eastAsia="宋体"/>
                <w:b/>
                <w:caps w:val="0"/>
                <w:color w:val="auto"/>
                <w:szCs w:val="21"/>
                <w:highlight w:val="none"/>
              </w:rPr>
              <w:t>4-</w:t>
            </w:r>
            <w:r>
              <w:rPr>
                <w:rFonts w:hint="eastAsia" w:ascii="Times New Roman" w:hAnsi="Times New Roman" w:eastAsia="宋体"/>
                <w:b/>
                <w:caps w:val="0"/>
                <w:color w:val="auto"/>
                <w:szCs w:val="21"/>
                <w:highlight w:val="none"/>
                <w:lang w:val="en-US" w:eastAsia="zh-CN"/>
              </w:rPr>
              <w:t>2</w:t>
            </w:r>
            <w:r>
              <w:rPr>
                <w:rFonts w:hint="default" w:ascii="Times New Roman" w:hAnsi="Times New Roman" w:eastAsia="宋体"/>
                <w:b/>
                <w:caps w:val="0"/>
                <w:color w:val="auto"/>
                <w:szCs w:val="21"/>
                <w:highlight w:val="none"/>
              </w:rPr>
              <w:t xml:space="preserve">    主要设备噪声源强    </w:t>
            </w:r>
          </w:p>
          <w:tbl>
            <w:tblPr>
              <w:tblStyle w:val="26"/>
              <w:tblW w:w="8109" w:type="dxa"/>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2263"/>
              <w:gridCol w:w="1200"/>
              <w:gridCol w:w="1680"/>
              <w:gridCol w:w="1770"/>
              <w:gridCol w:w="1196"/>
            </w:tblGrid>
            <w:tr w14:paraId="063B1CF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PrEx>
              <w:trPr>
                <w:trHeight w:val="23" w:hRule="atLeast"/>
                <w:jc w:val="center"/>
              </w:trPr>
              <w:tc>
                <w:tcPr>
                  <w:tcW w:w="2263" w:type="dxa"/>
                  <w:noWrap w:val="0"/>
                  <w:vAlign w:val="center"/>
                </w:tcPr>
                <w:p w14:paraId="22BB6464">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eastAsia" w:ascii="Times New Roman" w:hAnsi="Times New Roman" w:eastAsia="宋体"/>
                      <w:caps w:val="0"/>
                      <w:color w:val="auto"/>
                      <w:highlight w:val="none"/>
                    </w:rPr>
                  </w:pPr>
                  <w:r>
                    <w:rPr>
                      <w:rFonts w:hint="default" w:ascii="Times New Roman" w:hAnsi="Times New Roman" w:eastAsia="宋体"/>
                      <w:caps w:val="0"/>
                      <w:color w:val="auto"/>
                      <w:highlight w:val="none"/>
                    </w:rPr>
                    <w:t>主要产噪设备</w:t>
                  </w:r>
                </w:p>
              </w:tc>
              <w:tc>
                <w:tcPr>
                  <w:tcW w:w="1200" w:type="dxa"/>
                  <w:noWrap w:val="0"/>
                  <w:vAlign w:val="center"/>
                </w:tcPr>
                <w:p w14:paraId="720501FB">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eastAsia" w:ascii="Times New Roman" w:hAnsi="Times New Roman" w:eastAsia="宋体"/>
                      <w:caps w:val="0"/>
                      <w:color w:val="auto"/>
                      <w:highlight w:val="none"/>
                    </w:rPr>
                  </w:pPr>
                  <w:r>
                    <w:rPr>
                      <w:rFonts w:hint="eastAsia" w:ascii="Times New Roman" w:hAnsi="Times New Roman" w:eastAsia="宋体"/>
                      <w:caps w:val="0"/>
                      <w:color w:val="auto"/>
                      <w:highlight w:val="none"/>
                    </w:rPr>
                    <w:t>数量</w:t>
                  </w:r>
                </w:p>
              </w:tc>
              <w:tc>
                <w:tcPr>
                  <w:tcW w:w="1680" w:type="dxa"/>
                  <w:noWrap w:val="0"/>
                  <w:vAlign w:val="center"/>
                </w:tcPr>
                <w:p w14:paraId="224360F6">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eastAsia" w:ascii="Times New Roman" w:hAnsi="Times New Roman" w:eastAsia="宋体"/>
                      <w:caps w:val="0"/>
                      <w:color w:val="auto"/>
                      <w:highlight w:val="none"/>
                      <w:lang w:eastAsia="zh-CN"/>
                    </w:rPr>
                  </w:pPr>
                  <w:r>
                    <w:rPr>
                      <w:rFonts w:hint="default" w:ascii="Times New Roman" w:hAnsi="Times New Roman" w:eastAsia="宋体"/>
                      <w:caps w:val="0"/>
                      <w:color w:val="auto"/>
                      <w:highlight w:val="none"/>
                    </w:rPr>
                    <w:t>噪声级</w:t>
                  </w:r>
                  <w:r>
                    <w:rPr>
                      <w:rFonts w:hint="default" w:ascii="Times New Roman" w:hAnsi="Times New Roman" w:cs="Times New Roman"/>
                      <w:b w:val="0"/>
                      <w:bCs w:val="0"/>
                      <w:color w:val="auto"/>
                      <w:sz w:val="21"/>
                      <w:szCs w:val="21"/>
                      <w:lang w:eastAsia="zh-CN"/>
                    </w:rPr>
                    <w:t>（</w:t>
                  </w:r>
                  <w:r>
                    <w:rPr>
                      <w:rFonts w:hint="default" w:ascii="Times New Roman" w:hAnsi="Times New Roman" w:eastAsia="宋体" w:cs="Times New Roman"/>
                      <w:b w:val="0"/>
                      <w:bCs w:val="0"/>
                      <w:color w:val="auto"/>
                      <w:kern w:val="2"/>
                      <w:sz w:val="21"/>
                      <w:szCs w:val="21"/>
                      <w:lang w:val="en-US" w:eastAsia="zh-CN" w:bidi="ar-SA"/>
                    </w:rPr>
                    <w:t>dB(A)</w:t>
                  </w:r>
                  <w:r>
                    <w:rPr>
                      <w:rFonts w:hint="default" w:ascii="Times New Roman" w:hAnsi="Times New Roman" w:cs="Times New Roman"/>
                      <w:b w:val="0"/>
                      <w:bCs w:val="0"/>
                      <w:color w:val="auto"/>
                      <w:sz w:val="21"/>
                      <w:szCs w:val="21"/>
                      <w:lang w:eastAsia="zh-CN"/>
                    </w:rPr>
                    <w:t>）</w:t>
                  </w:r>
                </w:p>
              </w:tc>
              <w:tc>
                <w:tcPr>
                  <w:tcW w:w="1770" w:type="dxa"/>
                  <w:noWrap w:val="0"/>
                  <w:vAlign w:val="center"/>
                </w:tcPr>
                <w:p w14:paraId="325ABBCF">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aps w:val="0"/>
                      <w:color w:val="auto"/>
                      <w:highlight w:val="none"/>
                    </w:rPr>
                  </w:pPr>
                  <w:r>
                    <w:rPr>
                      <w:rFonts w:hint="default" w:ascii="Times New Roman" w:hAnsi="Times New Roman" w:eastAsia="宋体"/>
                      <w:caps w:val="0"/>
                      <w:color w:val="auto"/>
                      <w:highlight w:val="none"/>
                    </w:rPr>
                    <w:t>治理措施</w:t>
                  </w:r>
                </w:p>
              </w:tc>
              <w:tc>
                <w:tcPr>
                  <w:tcW w:w="1196" w:type="dxa"/>
                  <w:noWrap w:val="0"/>
                  <w:vAlign w:val="center"/>
                </w:tcPr>
                <w:p w14:paraId="25E47EAB">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aps w:val="0"/>
                      <w:color w:val="auto"/>
                      <w:highlight w:val="none"/>
                    </w:rPr>
                  </w:pPr>
                  <w:r>
                    <w:rPr>
                      <w:rFonts w:hint="eastAsia" w:ascii="Times New Roman" w:hAnsi="Times New Roman" w:eastAsia="宋体"/>
                      <w:b w:val="0"/>
                      <w:bCs w:val="0"/>
                      <w:caps w:val="0"/>
                      <w:color w:val="auto"/>
                      <w:sz w:val="21"/>
                      <w:szCs w:val="21"/>
                      <w:highlight w:val="none"/>
                      <w:vertAlign w:val="baseline"/>
                      <w:lang w:val="en-US" w:eastAsia="zh-CN"/>
                    </w:rPr>
                    <w:t>运行时段</w:t>
                  </w:r>
                </w:p>
              </w:tc>
            </w:tr>
            <w:tr w14:paraId="3B9A17A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2263" w:type="dxa"/>
                  <w:noWrap w:val="0"/>
                  <w:vAlign w:val="center"/>
                </w:tcPr>
                <w:p w14:paraId="5601861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aps w:val="0"/>
                      <w:color w:val="auto"/>
                      <w:highlight w:val="none"/>
                      <w:lang w:val="en-US" w:eastAsia="zh-CN"/>
                    </w:rPr>
                  </w:pPr>
                  <w:r>
                    <w:rPr>
                      <w:rFonts w:hint="eastAsia" w:ascii="宋体" w:hAnsi="宋体" w:eastAsia="宋体" w:cs="宋体"/>
                      <w:i w:val="0"/>
                      <w:iCs w:val="0"/>
                      <w:color w:val="000000"/>
                      <w:kern w:val="0"/>
                      <w:sz w:val="21"/>
                      <w:szCs w:val="21"/>
                      <w:u w:val="none"/>
                      <w:lang w:val="en-US" w:eastAsia="zh-CN" w:bidi="ar"/>
                    </w:rPr>
                    <w:t>推土机</w:t>
                  </w:r>
                </w:p>
              </w:tc>
              <w:tc>
                <w:tcPr>
                  <w:tcW w:w="1200" w:type="dxa"/>
                  <w:noWrap w:val="0"/>
                  <w:vAlign w:val="center"/>
                </w:tcPr>
                <w:p w14:paraId="7F8315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highlight w:val="none"/>
                      <w:lang w:val="en-US"/>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Times New Roman" w:hAnsi="Times New Roman" w:eastAsia="宋体" w:cs="Times New Roman"/>
                      <w:i w:val="0"/>
                      <w:iCs w:val="0"/>
                      <w:color w:val="000000"/>
                      <w:kern w:val="0"/>
                      <w:sz w:val="21"/>
                      <w:szCs w:val="21"/>
                      <w:u w:val="none"/>
                      <w:lang w:val="en-US" w:eastAsia="zh-CN" w:bidi="ar"/>
                    </w:rPr>
                    <w:t>台</w:t>
                  </w:r>
                </w:p>
              </w:tc>
              <w:tc>
                <w:tcPr>
                  <w:tcW w:w="1680" w:type="dxa"/>
                  <w:noWrap w:val="0"/>
                  <w:vAlign w:val="center"/>
                </w:tcPr>
                <w:p w14:paraId="22B9D0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1770" w:type="dxa"/>
                  <w:vMerge w:val="restart"/>
                  <w:noWrap w:val="0"/>
                  <w:vAlign w:val="center"/>
                </w:tcPr>
                <w:p w14:paraId="57229C73">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aps w:val="0"/>
                      <w:color w:val="auto"/>
                      <w:highlight w:val="none"/>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降低声源</w:t>
                  </w:r>
                  <w:r>
                    <w:rPr>
                      <w:rFonts w:hint="eastAsia" w:cs="Times New Roman"/>
                      <w:i w:val="0"/>
                      <w:iCs w:val="0"/>
                      <w:caps w:val="0"/>
                      <w:color w:val="auto"/>
                      <w:spacing w:val="0"/>
                      <w:sz w:val="21"/>
                      <w:szCs w:val="21"/>
                      <w:shd w:val="clear" w:color="auto" w:fill="FFFFFF"/>
                      <w:lang w:val="en-US" w:eastAsia="zh-CN"/>
                    </w:rPr>
                    <w:t>噪声</w:t>
                  </w:r>
                  <w:r>
                    <w:rPr>
                      <w:rFonts w:hint="eastAsia" w:ascii="Times New Roman" w:hAnsi="Times New Roman" w:eastAsia="宋体" w:cs="Times New Roman"/>
                      <w:i w:val="0"/>
                      <w:iCs w:val="0"/>
                      <w:caps w:val="0"/>
                      <w:color w:val="auto"/>
                      <w:spacing w:val="0"/>
                      <w:sz w:val="21"/>
                      <w:szCs w:val="21"/>
                      <w:shd w:val="clear" w:color="auto" w:fill="FFFFFF"/>
                      <w:lang w:val="en-US" w:eastAsia="zh-CN"/>
                    </w:rPr>
                    <w:t>，夜间不生产</w:t>
                  </w:r>
                </w:p>
              </w:tc>
              <w:tc>
                <w:tcPr>
                  <w:tcW w:w="1196" w:type="dxa"/>
                  <w:noWrap w:val="0"/>
                  <w:vAlign w:val="center"/>
                </w:tcPr>
                <w:p w14:paraId="523A835A">
                  <w:pPr>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s="Times New Roman"/>
                      <w:caps w:val="0"/>
                      <w:color w:val="auto"/>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昼间</w:t>
                  </w:r>
                </w:p>
              </w:tc>
            </w:tr>
            <w:tr w14:paraId="727F64D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2263" w:type="dxa"/>
                  <w:noWrap w:val="0"/>
                  <w:vAlign w:val="center"/>
                </w:tcPr>
                <w:p w14:paraId="4D4C34C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aps w:val="0"/>
                      <w:color w:val="auto"/>
                      <w:highlight w:val="none"/>
                      <w:lang w:val="en-US" w:eastAsia="zh-CN"/>
                    </w:rPr>
                  </w:pPr>
                  <w:r>
                    <w:rPr>
                      <w:rFonts w:hint="eastAsia" w:ascii="宋体" w:hAnsi="宋体" w:eastAsia="宋体" w:cs="宋体"/>
                      <w:i w:val="0"/>
                      <w:iCs w:val="0"/>
                      <w:color w:val="000000"/>
                      <w:kern w:val="0"/>
                      <w:sz w:val="21"/>
                      <w:szCs w:val="21"/>
                      <w:u w:val="none"/>
                      <w:lang w:val="en-US" w:eastAsia="zh-CN" w:bidi="ar"/>
                    </w:rPr>
                    <w:t>挖掘机</w:t>
                  </w:r>
                </w:p>
              </w:tc>
              <w:tc>
                <w:tcPr>
                  <w:tcW w:w="1200" w:type="dxa"/>
                  <w:noWrap w:val="0"/>
                  <w:vAlign w:val="center"/>
                </w:tcPr>
                <w:p w14:paraId="254F7B8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aps w:val="0"/>
                      <w:color w:val="auto"/>
                      <w:highlight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Times New Roman" w:hAnsi="Times New Roman" w:eastAsia="宋体" w:cs="Times New Roman"/>
                      <w:i w:val="0"/>
                      <w:iCs w:val="0"/>
                      <w:color w:val="000000"/>
                      <w:kern w:val="0"/>
                      <w:sz w:val="21"/>
                      <w:szCs w:val="21"/>
                      <w:u w:val="none"/>
                      <w:lang w:val="en-US" w:eastAsia="zh-CN" w:bidi="ar"/>
                    </w:rPr>
                    <w:t>台</w:t>
                  </w:r>
                </w:p>
              </w:tc>
              <w:tc>
                <w:tcPr>
                  <w:tcW w:w="1680" w:type="dxa"/>
                  <w:noWrap w:val="0"/>
                  <w:vAlign w:val="center"/>
                </w:tcPr>
                <w:p w14:paraId="6CEB78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1770" w:type="dxa"/>
                  <w:vMerge w:val="continue"/>
                  <w:noWrap w:val="0"/>
                  <w:vAlign w:val="center"/>
                </w:tcPr>
                <w:p w14:paraId="17FEA657">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aps w:val="0"/>
                      <w:color w:val="auto"/>
                      <w:highlight w:val="none"/>
                    </w:rPr>
                  </w:pPr>
                </w:p>
              </w:tc>
              <w:tc>
                <w:tcPr>
                  <w:tcW w:w="1196" w:type="dxa"/>
                  <w:noWrap w:val="0"/>
                  <w:vAlign w:val="center"/>
                </w:tcPr>
                <w:p w14:paraId="67707D0A">
                  <w:pPr>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s="Times New Roman"/>
                      <w:caps w:val="0"/>
                      <w:color w:val="auto"/>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昼间</w:t>
                  </w:r>
                </w:p>
              </w:tc>
            </w:tr>
            <w:tr w14:paraId="4443E88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263" w:type="dxa"/>
                  <w:noWrap w:val="0"/>
                  <w:vAlign w:val="center"/>
                </w:tcPr>
                <w:p w14:paraId="1D84C6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装载机</w:t>
                  </w:r>
                </w:p>
              </w:tc>
              <w:tc>
                <w:tcPr>
                  <w:tcW w:w="1200" w:type="dxa"/>
                  <w:noWrap w:val="0"/>
                  <w:vAlign w:val="center"/>
                </w:tcPr>
                <w:p w14:paraId="4BDAA28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aps w:val="0"/>
                      <w:color w:val="auto"/>
                      <w:highlight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Times New Roman" w:hAnsi="Times New Roman" w:eastAsia="宋体" w:cs="Times New Roman"/>
                      <w:i w:val="0"/>
                      <w:iCs w:val="0"/>
                      <w:color w:val="000000"/>
                      <w:kern w:val="0"/>
                      <w:sz w:val="21"/>
                      <w:szCs w:val="21"/>
                      <w:u w:val="none"/>
                      <w:lang w:val="en-US" w:eastAsia="zh-CN" w:bidi="ar"/>
                    </w:rPr>
                    <w:t>台</w:t>
                  </w:r>
                </w:p>
              </w:tc>
              <w:tc>
                <w:tcPr>
                  <w:tcW w:w="1680" w:type="dxa"/>
                  <w:noWrap w:val="0"/>
                  <w:vAlign w:val="center"/>
                </w:tcPr>
                <w:p w14:paraId="79210F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1770" w:type="dxa"/>
                  <w:vMerge w:val="continue"/>
                  <w:noWrap w:val="0"/>
                  <w:vAlign w:val="center"/>
                </w:tcPr>
                <w:p w14:paraId="648CCC0E">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aps w:val="0"/>
                      <w:color w:val="auto"/>
                      <w:highlight w:val="none"/>
                      <w:lang w:val="en-US" w:eastAsia="zh-CN"/>
                    </w:rPr>
                  </w:pPr>
                </w:p>
              </w:tc>
              <w:tc>
                <w:tcPr>
                  <w:tcW w:w="1196" w:type="dxa"/>
                  <w:noWrap w:val="0"/>
                  <w:vAlign w:val="center"/>
                </w:tcPr>
                <w:p w14:paraId="57FA264D">
                  <w:pPr>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s="Times New Roman"/>
                      <w:caps w:val="0"/>
                      <w:color w:val="auto"/>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昼间</w:t>
                  </w:r>
                </w:p>
              </w:tc>
            </w:tr>
            <w:tr w14:paraId="59E3450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2263" w:type="dxa"/>
                  <w:noWrap w:val="0"/>
                  <w:vAlign w:val="center"/>
                </w:tcPr>
                <w:p w14:paraId="609C3C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自卸汽车</w:t>
                  </w:r>
                </w:p>
              </w:tc>
              <w:tc>
                <w:tcPr>
                  <w:tcW w:w="1200" w:type="dxa"/>
                  <w:noWrap w:val="0"/>
                  <w:vAlign w:val="center"/>
                </w:tcPr>
                <w:p w14:paraId="53E8C5C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aps w:val="0"/>
                      <w:color w:val="auto"/>
                      <w:highlight w:val="none"/>
                    </w:rPr>
                  </w:pP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Times New Roman" w:hAnsi="Times New Roman" w:eastAsia="宋体" w:cs="Times New Roman"/>
                      <w:i w:val="0"/>
                      <w:iCs w:val="0"/>
                      <w:color w:val="000000"/>
                      <w:kern w:val="0"/>
                      <w:sz w:val="21"/>
                      <w:szCs w:val="21"/>
                      <w:u w:val="none"/>
                      <w:lang w:val="en-US" w:eastAsia="zh-CN" w:bidi="ar"/>
                    </w:rPr>
                    <w:t>台</w:t>
                  </w:r>
                </w:p>
              </w:tc>
              <w:tc>
                <w:tcPr>
                  <w:tcW w:w="1680" w:type="dxa"/>
                  <w:noWrap w:val="0"/>
                  <w:vAlign w:val="center"/>
                </w:tcPr>
                <w:p w14:paraId="754CA5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1770" w:type="dxa"/>
                  <w:vMerge w:val="continue"/>
                  <w:noWrap w:val="0"/>
                  <w:vAlign w:val="center"/>
                </w:tcPr>
                <w:p w14:paraId="3E721BC5">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aps w:val="0"/>
                      <w:color w:val="auto"/>
                      <w:highlight w:val="none"/>
                    </w:rPr>
                  </w:pPr>
                </w:p>
              </w:tc>
              <w:tc>
                <w:tcPr>
                  <w:tcW w:w="1196" w:type="dxa"/>
                  <w:noWrap w:val="0"/>
                  <w:vAlign w:val="center"/>
                </w:tcPr>
                <w:p w14:paraId="50ADF7B8">
                  <w:pPr>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s="Times New Roman"/>
                      <w:caps w:val="0"/>
                      <w:color w:val="auto"/>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昼间</w:t>
                  </w:r>
                </w:p>
              </w:tc>
            </w:tr>
            <w:tr w14:paraId="7414994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2263" w:type="dxa"/>
                  <w:noWrap w:val="0"/>
                  <w:vAlign w:val="center"/>
                </w:tcPr>
                <w:p w14:paraId="76C1BA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潜孔钻机</w:t>
                  </w:r>
                </w:p>
              </w:tc>
              <w:tc>
                <w:tcPr>
                  <w:tcW w:w="1200" w:type="dxa"/>
                  <w:noWrap w:val="0"/>
                  <w:vAlign w:val="center"/>
                </w:tcPr>
                <w:p w14:paraId="079F5D8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aps w:val="0"/>
                      <w:color w:val="auto"/>
                      <w:highlight w:val="none"/>
                    </w:rPr>
                  </w:pP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Times New Roman" w:hAnsi="Times New Roman" w:eastAsia="宋体" w:cs="Times New Roman"/>
                      <w:i w:val="0"/>
                      <w:iCs w:val="0"/>
                      <w:color w:val="000000"/>
                      <w:kern w:val="0"/>
                      <w:sz w:val="21"/>
                      <w:szCs w:val="21"/>
                      <w:u w:val="none"/>
                      <w:lang w:val="en-US" w:eastAsia="zh-CN" w:bidi="ar"/>
                    </w:rPr>
                    <w:t>台</w:t>
                  </w:r>
                </w:p>
              </w:tc>
              <w:tc>
                <w:tcPr>
                  <w:tcW w:w="1680" w:type="dxa"/>
                  <w:noWrap w:val="0"/>
                  <w:vAlign w:val="center"/>
                </w:tcPr>
                <w:p w14:paraId="56982A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1770" w:type="dxa"/>
                  <w:vMerge w:val="continue"/>
                  <w:noWrap w:val="0"/>
                  <w:vAlign w:val="center"/>
                </w:tcPr>
                <w:p w14:paraId="031B9B87">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aps w:val="0"/>
                      <w:color w:val="auto"/>
                      <w:highlight w:val="none"/>
                    </w:rPr>
                  </w:pPr>
                </w:p>
              </w:tc>
              <w:tc>
                <w:tcPr>
                  <w:tcW w:w="1196" w:type="dxa"/>
                  <w:noWrap w:val="0"/>
                  <w:vAlign w:val="center"/>
                </w:tcPr>
                <w:p w14:paraId="2B6D4EFA">
                  <w:pPr>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s="Times New Roman"/>
                      <w:caps w:val="0"/>
                      <w:color w:val="auto"/>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昼间</w:t>
                  </w:r>
                </w:p>
              </w:tc>
            </w:tr>
            <w:tr w14:paraId="32DF062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2263" w:type="dxa"/>
                  <w:noWrap w:val="0"/>
                  <w:vAlign w:val="center"/>
                </w:tcPr>
                <w:p w14:paraId="51C153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泥浆搅拌机</w:t>
                  </w:r>
                </w:p>
              </w:tc>
              <w:tc>
                <w:tcPr>
                  <w:tcW w:w="1200" w:type="dxa"/>
                  <w:noWrap w:val="0"/>
                  <w:vAlign w:val="center"/>
                </w:tcPr>
                <w:p w14:paraId="6018EB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Times New Roman" w:hAnsi="Times New Roman" w:eastAsia="宋体" w:cs="Times New Roman"/>
                      <w:i w:val="0"/>
                      <w:iCs w:val="0"/>
                      <w:color w:val="000000"/>
                      <w:kern w:val="0"/>
                      <w:sz w:val="21"/>
                      <w:szCs w:val="21"/>
                      <w:u w:val="none"/>
                      <w:lang w:val="en-US" w:eastAsia="zh-CN" w:bidi="ar"/>
                    </w:rPr>
                    <w:t>台</w:t>
                  </w:r>
                </w:p>
              </w:tc>
              <w:tc>
                <w:tcPr>
                  <w:tcW w:w="1680" w:type="dxa"/>
                  <w:noWrap w:val="0"/>
                  <w:vAlign w:val="center"/>
                </w:tcPr>
                <w:p w14:paraId="7A5F3A0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aps w:val="0"/>
                      <w:color w:val="auto"/>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1770" w:type="dxa"/>
                  <w:vMerge w:val="continue"/>
                  <w:noWrap w:val="0"/>
                  <w:vAlign w:val="center"/>
                </w:tcPr>
                <w:p w14:paraId="26E76A8F">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aps w:val="0"/>
                      <w:color w:val="auto"/>
                      <w:highlight w:val="none"/>
                    </w:rPr>
                  </w:pPr>
                </w:p>
              </w:tc>
              <w:tc>
                <w:tcPr>
                  <w:tcW w:w="1196" w:type="dxa"/>
                  <w:noWrap w:val="0"/>
                  <w:vAlign w:val="center"/>
                </w:tcPr>
                <w:p w14:paraId="690F8AE0">
                  <w:pPr>
                    <w:keepNext w:val="0"/>
                    <w:keepLines w:val="0"/>
                    <w:pageBreakBefore w:val="0"/>
                    <w:suppressLineNumbers w:val="0"/>
                    <w:kinsoku/>
                    <w:wordWrap/>
                    <w:overflowPunct/>
                    <w:bidi w:val="0"/>
                    <w:adjustRightInd/>
                    <w:snapToGrid/>
                    <w:spacing w:before="0" w:beforeAutospacing="0" w:after="0" w:afterAutospacing="0"/>
                    <w:ind w:left="0" w:right="0"/>
                    <w:jc w:val="center"/>
                    <w:rPr>
                      <w:rFonts w:hint="eastAsia" w:ascii="Times New Roman" w:hAnsi="Times New Roman" w:eastAsia="宋体" w:cs="Times New Roman"/>
                      <w:caps w:val="0"/>
                      <w:color w:val="auto"/>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昼间</w:t>
                  </w:r>
                </w:p>
              </w:tc>
            </w:tr>
            <w:tr w14:paraId="23363C8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2263" w:type="dxa"/>
                  <w:noWrap w:val="0"/>
                  <w:vAlign w:val="center"/>
                </w:tcPr>
                <w:p w14:paraId="0132B1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泥浆泵</w:t>
                  </w:r>
                </w:p>
              </w:tc>
              <w:tc>
                <w:tcPr>
                  <w:tcW w:w="1200" w:type="dxa"/>
                  <w:noWrap w:val="0"/>
                  <w:vAlign w:val="center"/>
                </w:tcPr>
                <w:p w14:paraId="3C36E9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Times New Roman" w:hAnsi="Times New Roman" w:eastAsia="宋体" w:cs="Times New Roman"/>
                      <w:i w:val="0"/>
                      <w:iCs w:val="0"/>
                      <w:color w:val="000000"/>
                      <w:kern w:val="0"/>
                      <w:sz w:val="21"/>
                      <w:szCs w:val="21"/>
                      <w:u w:val="none"/>
                      <w:lang w:val="en-US" w:eastAsia="zh-CN" w:bidi="ar"/>
                    </w:rPr>
                    <w:t>台</w:t>
                  </w:r>
                </w:p>
              </w:tc>
              <w:tc>
                <w:tcPr>
                  <w:tcW w:w="1680" w:type="dxa"/>
                  <w:noWrap w:val="0"/>
                  <w:vAlign w:val="center"/>
                </w:tcPr>
                <w:p w14:paraId="5FE392D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aps w:val="0"/>
                      <w:color w:val="auto"/>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1770" w:type="dxa"/>
                  <w:vMerge w:val="continue"/>
                  <w:noWrap w:val="0"/>
                  <w:vAlign w:val="center"/>
                </w:tcPr>
                <w:p w14:paraId="17BCBF61">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aps w:val="0"/>
                      <w:color w:val="auto"/>
                      <w:highlight w:val="none"/>
                    </w:rPr>
                  </w:pPr>
                </w:p>
              </w:tc>
              <w:tc>
                <w:tcPr>
                  <w:tcW w:w="1196" w:type="dxa"/>
                  <w:noWrap w:val="0"/>
                  <w:vAlign w:val="center"/>
                </w:tcPr>
                <w:p w14:paraId="50E0EA9E">
                  <w:pPr>
                    <w:keepNext w:val="0"/>
                    <w:keepLines w:val="0"/>
                    <w:pageBreakBefore w:val="0"/>
                    <w:suppressLineNumbers w:val="0"/>
                    <w:kinsoku/>
                    <w:wordWrap/>
                    <w:overflowPunct/>
                    <w:bidi w:val="0"/>
                    <w:adjustRightInd/>
                    <w:snapToGrid/>
                    <w:spacing w:before="0" w:beforeAutospacing="0" w:after="0" w:afterAutospacing="0"/>
                    <w:ind w:left="0" w:right="0"/>
                    <w:jc w:val="center"/>
                    <w:rPr>
                      <w:rFonts w:hint="eastAsia" w:ascii="Times New Roman" w:hAnsi="Times New Roman" w:eastAsia="宋体" w:cs="Times New Roman"/>
                      <w:caps w:val="0"/>
                      <w:color w:val="auto"/>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昼间</w:t>
                  </w:r>
                </w:p>
              </w:tc>
            </w:tr>
            <w:tr w14:paraId="3B901D4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2263" w:type="dxa"/>
                  <w:noWrap w:val="0"/>
                  <w:vAlign w:val="center"/>
                </w:tcPr>
                <w:p w14:paraId="60B263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aps w:val="0"/>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卡车</w:t>
                  </w:r>
                </w:p>
              </w:tc>
              <w:tc>
                <w:tcPr>
                  <w:tcW w:w="1200" w:type="dxa"/>
                  <w:noWrap w:val="0"/>
                  <w:vAlign w:val="center"/>
                </w:tcPr>
                <w:p w14:paraId="57D078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lang w:val="en-US" w:eastAsia="zh-CN" w:bidi="ar"/>
                    </w:rPr>
                    <w:t>台</w:t>
                  </w:r>
                </w:p>
              </w:tc>
              <w:tc>
                <w:tcPr>
                  <w:tcW w:w="1680" w:type="dxa"/>
                  <w:noWrap w:val="0"/>
                  <w:vAlign w:val="center"/>
                </w:tcPr>
                <w:p w14:paraId="59A7816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aps w:val="0"/>
                      <w:color w:val="auto"/>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1770" w:type="dxa"/>
                  <w:vMerge w:val="continue"/>
                  <w:noWrap w:val="0"/>
                  <w:vAlign w:val="center"/>
                </w:tcPr>
                <w:p w14:paraId="36B692B8">
                  <w:pPr>
                    <w:pStyle w:val="107"/>
                    <w:keepNext w:val="0"/>
                    <w:keepLines w:val="0"/>
                    <w:pageBreakBefore w:val="0"/>
                    <w:suppressLineNumbers w:val="0"/>
                    <w:kinsoku/>
                    <w:wordWrap/>
                    <w:overflowPunct/>
                    <w:bidi w:val="0"/>
                    <w:adjustRightInd/>
                    <w:snapToGrid/>
                    <w:spacing w:before="0" w:beforeAutospacing="0" w:after="0" w:afterAutospacing="0"/>
                    <w:ind w:left="0" w:right="0"/>
                    <w:jc w:val="center"/>
                    <w:rPr>
                      <w:rFonts w:hint="default" w:ascii="Times New Roman" w:hAnsi="Times New Roman" w:eastAsia="宋体"/>
                      <w:caps w:val="0"/>
                      <w:color w:val="auto"/>
                      <w:highlight w:val="none"/>
                    </w:rPr>
                  </w:pPr>
                </w:p>
              </w:tc>
              <w:tc>
                <w:tcPr>
                  <w:tcW w:w="1196" w:type="dxa"/>
                  <w:noWrap w:val="0"/>
                  <w:vAlign w:val="center"/>
                </w:tcPr>
                <w:p w14:paraId="142111D2">
                  <w:pPr>
                    <w:keepNext w:val="0"/>
                    <w:keepLines w:val="0"/>
                    <w:pageBreakBefore w:val="0"/>
                    <w:suppressLineNumbers w:val="0"/>
                    <w:kinsoku/>
                    <w:wordWrap/>
                    <w:overflowPunct/>
                    <w:bidi w:val="0"/>
                    <w:adjustRightInd/>
                    <w:snapToGrid/>
                    <w:spacing w:before="0" w:beforeAutospacing="0" w:after="0" w:afterAutospacing="0"/>
                    <w:ind w:left="0" w:right="0"/>
                    <w:jc w:val="center"/>
                    <w:rPr>
                      <w:rFonts w:hint="eastAsia" w:ascii="Times New Roman" w:hAnsi="Times New Roman" w:eastAsia="宋体" w:cs="Times New Roman"/>
                      <w:caps w:val="0"/>
                      <w:color w:val="auto"/>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昼间</w:t>
                  </w:r>
                </w:p>
              </w:tc>
            </w:tr>
          </w:tbl>
          <w:p w14:paraId="763A870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0" w:firstLineChars="200"/>
              <w:textAlignment w:val="auto"/>
              <w:rPr>
                <w:rFonts w:hint="default" w:ascii="Times New Roman" w:hAnsi="Times New Roman" w:cs="Times New Roman"/>
                <w:bCs/>
                <w:color w:val="auto"/>
                <w:sz w:val="24"/>
              </w:rPr>
            </w:pPr>
            <w:r>
              <w:rPr>
                <w:rFonts w:hint="default" w:ascii="Times New Roman" w:hAnsi="Times New Roman" w:cs="Times New Roman"/>
                <w:bCs/>
                <w:color w:val="auto"/>
                <w:sz w:val="24"/>
              </w:rPr>
              <w:t>根据项目设备声源特征和声学环境的特点，同时根据业主提供资料，视设备声源为点源，声场为半自由声场，依据《环境影响评价技术导则声环境》，选用无指向性声源几何发散衰减预测模式预测厂界噪声。</w:t>
            </w:r>
          </w:p>
          <w:p w14:paraId="2CA0A0F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（1）点声源预测模式</w:t>
            </w:r>
          </w:p>
          <w:p w14:paraId="1AD61098">
            <w:pPr>
              <w:keepNext w:val="0"/>
              <w:keepLines w:val="0"/>
              <w:suppressLineNumbers w:val="0"/>
              <w:adjustRightInd w:val="0"/>
              <w:snapToGrid w:val="0"/>
              <w:spacing w:before="0" w:beforeAutospacing="0" w:after="0" w:afterAutospacing="0" w:line="360" w:lineRule="auto"/>
              <w:ind w:left="0" w:right="0" w:firstLine="480" w:firstLineChars="200"/>
              <w:jc w:val="center"/>
              <w:rPr>
                <w:rFonts w:hint="default" w:ascii="Times New Roman" w:hAnsi="Times New Roman" w:cs="Times New Roman"/>
                <w:bCs/>
                <w:color w:val="auto"/>
                <w:sz w:val="24"/>
              </w:rPr>
            </w:pPr>
            <w:r>
              <w:rPr>
                <w:rFonts w:hint="default" w:ascii="Times New Roman" w:hAnsi="Times New Roman" w:cs="Times New Roman"/>
                <w:bCs/>
                <w:color w:val="auto"/>
                <w:sz w:val="24"/>
              </w:rPr>
              <w:t>LA(r)=LWA–20lg(r/r</w:t>
            </w:r>
            <w:r>
              <w:rPr>
                <w:rFonts w:hint="default" w:ascii="Times New Roman" w:hAnsi="Times New Roman" w:cs="Times New Roman"/>
                <w:bCs/>
                <w:color w:val="auto"/>
                <w:sz w:val="24"/>
                <w:vertAlign w:val="subscript"/>
              </w:rPr>
              <w:t>0</w:t>
            </w:r>
            <w:r>
              <w:rPr>
                <w:rFonts w:hint="default" w:ascii="Times New Roman" w:hAnsi="Times New Roman" w:cs="Times New Roman"/>
                <w:bCs/>
                <w:color w:val="auto"/>
                <w:sz w:val="24"/>
              </w:rPr>
              <w:t>)</w:t>
            </w:r>
          </w:p>
          <w:p w14:paraId="30B39F9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式中：LA(r)——距噪声源r处的声级（dB(A)）；</w:t>
            </w:r>
          </w:p>
          <w:p w14:paraId="487D242F">
            <w:pPr>
              <w:keepNext w:val="0"/>
              <w:keepLines w:val="0"/>
              <w:suppressLineNumbers w:val="0"/>
              <w:adjustRightInd w:val="0"/>
              <w:snapToGrid w:val="0"/>
              <w:spacing w:before="0" w:beforeAutospacing="0" w:after="0" w:afterAutospacing="0" w:line="360" w:lineRule="auto"/>
              <w:ind w:left="0" w:right="0" w:firstLine="1200" w:firstLineChars="500"/>
              <w:rPr>
                <w:rFonts w:hint="default" w:ascii="Times New Roman" w:hAnsi="Times New Roman" w:cs="Times New Roman"/>
                <w:bCs/>
                <w:color w:val="auto"/>
                <w:sz w:val="24"/>
              </w:rPr>
            </w:pPr>
            <w:r>
              <w:rPr>
                <w:rFonts w:hint="default" w:ascii="Times New Roman" w:hAnsi="Times New Roman" w:cs="Times New Roman"/>
                <w:bCs/>
                <w:color w:val="auto"/>
                <w:sz w:val="24"/>
              </w:rPr>
              <w:t>LWA——点声源的A声级（dB(A)）；</w:t>
            </w:r>
          </w:p>
          <w:p w14:paraId="4BE19D57">
            <w:pPr>
              <w:keepNext w:val="0"/>
              <w:keepLines w:val="0"/>
              <w:suppressLineNumbers w:val="0"/>
              <w:adjustRightInd w:val="0"/>
              <w:snapToGrid w:val="0"/>
              <w:spacing w:before="0" w:beforeAutospacing="0" w:after="0" w:afterAutospacing="0" w:line="360" w:lineRule="auto"/>
              <w:ind w:left="0" w:right="0" w:firstLine="1200" w:firstLineChars="500"/>
              <w:rPr>
                <w:rFonts w:hint="default" w:ascii="Times New Roman" w:hAnsi="Times New Roman" w:cs="Times New Roman"/>
                <w:bCs/>
                <w:color w:val="auto"/>
                <w:sz w:val="24"/>
              </w:rPr>
            </w:pPr>
            <w:r>
              <w:rPr>
                <w:rFonts w:hint="default" w:ascii="Times New Roman" w:hAnsi="Times New Roman" w:cs="Times New Roman"/>
                <w:bCs/>
                <w:color w:val="auto"/>
                <w:sz w:val="24"/>
              </w:rPr>
              <w:t>r——预测点与声源之间的距离（m）；</w:t>
            </w:r>
          </w:p>
          <w:p w14:paraId="4F858E9E">
            <w:pPr>
              <w:keepNext w:val="0"/>
              <w:keepLines w:val="0"/>
              <w:suppressLineNumbers w:val="0"/>
              <w:adjustRightInd w:val="0"/>
              <w:snapToGrid w:val="0"/>
              <w:spacing w:before="0" w:beforeAutospacing="0" w:after="0" w:afterAutospacing="0" w:line="360" w:lineRule="auto"/>
              <w:ind w:left="0" w:right="0" w:firstLine="1200" w:firstLineChars="500"/>
              <w:rPr>
                <w:rFonts w:hint="default" w:ascii="Times New Roman" w:hAnsi="Times New Roman" w:cs="Times New Roman"/>
                <w:bCs/>
                <w:color w:val="auto"/>
                <w:sz w:val="24"/>
              </w:rPr>
            </w:pPr>
            <w:r>
              <w:rPr>
                <w:rFonts w:hint="default" w:ascii="Times New Roman" w:hAnsi="Times New Roman" w:cs="Times New Roman"/>
                <w:bCs/>
                <w:color w:val="auto"/>
                <w:sz w:val="24"/>
              </w:rPr>
              <w:t>r</w:t>
            </w:r>
            <w:r>
              <w:rPr>
                <w:rFonts w:hint="default" w:ascii="Times New Roman" w:hAnsi="Times New Roman" w:cs="Times New Roman"/>
                <w:bCs/>
                <w:color w:val="auto"/>
                <w:sz w:val="24"/>
                <w:vertAlign w:val="subscript"/>
              </w:rPr>
              <w:t>0</w:t>
            </w:r>
            <w:r>
              <w:rPr>
                <w:rFonts w:hint="default" w:ascii="Times New Roman" w:hAnsi="Times New Roman" w:cs="Times New Roman"/>
                <w:bCs/>
                <w:color w:val="auto"/>
                <w:sz w:val="24"/>
              </w:rPr>
              <w:t>——参考处与声源之间的距离（m）；</w:t>
            </w:r>
          </w:p>
          <w:p w14:paraId="18439AB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（2）多声源叠加模式式中：</w:t>
            </w:r>
          </w:p>
          <w:p w14:paraId="6DADE2DD">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drawing>
                <wp:inline distT="0" distB="0" distL="114300" distR="114300">
                  <wp:extent cx="1457325" cy="619125"/>
                  <wp:effectExtent l="0" t="0" r="9525" b="9525"/>
                  <wp:docPr id="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
                          <pic:cNvPicPr>
                            <a:picLocks noChangeAspect="1"/>
                          </pic:cNvPicPr>
                        </pic:nvPicPr>
                        <pic:blipFill>
                          <a:blip r:embed="rId21"/>
                          <a:stretch>
                            <a:fillRect/>
                          </a:stretch>
                        </pic:blipFill>
                        <pic:spPr>
                          <a:xfrm>
                            <a:off x="0" y="0"/>
                            <a:ext cx="1457325" cy="619125"/>
                          </a:xfrm>
                          <a:prstGeom prst="rect">
                            <a:avLst/>
                          </a:prstGeom>
                          <a:noFill/>
                          <a:ln>
                            <a:noFill/>
                          </a:ln>
                        </pic:spPr>
                      </pic:pic>
                    </a:graphicData>
                  </a:graphic>
                </wp:inline>
              </w:drawing>
            </w:r>
          </w:p>
          <w:p w14:paraId="345E529E">
            <w:pPr>
              <w:pStyle w:val="58"/>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cs="Times New Roman"/>
                <w:color w:val="auto"/>
              </w:rPr>
            </w:pPr>
            <w:r>
              <w:rPr>
                <w:rFonts w:hint="default" w:ascii="Times New Roman" w:hAnsi="Times New Roman" w:cs="Times New Roman"/>
                <w:bCs/>
                <w:color w:val="auto"/>
                <w:sz w:val="24"/>
              </w:rPr>
              <w:t>式中：</w:t>
            </w:r>
            <w:r>
              <w:rPr>
                <w:rFonts w:hint="default" w:ascii="Times New Roman" w:hAnsi="Times New Roman" w:cs="Times New Roman"/>
                <w:color w:val="auto"/>
              </w:rPr>
              <w:t>L</w:t>
            </w:r>
            <w:r>
              <w:rPr>
                <w:rFonts w:hint="default" w:ascii="Times New Roman" w:hAnsi="Times New Roman" w:cs="Times New Roman"/>
                <w:color w:val="auto"/>
                <w:vertAlign w:val="subscript"/>
              </w:rPr>
              <w:t>0</w:t>
            </w:r>
            <w:r>
              <w:rPr>
                <w:rFonts w:hint="default" w:ascii="Times New Roman" w:hAnsi="Times New Roman" w:cs="Times New Roman"/>
                <w:color w:val="auto"/>
              </w:rPr>
              <w:t>——叠加后总声压级，dB(A)；</w:t>
            </w:r>
          </w:p>
          <w:p w14:paraId="08EF746F">
            <w:pPr>
              <w:pStyle w:val="58"/>
              <w:keepNext w:val="0"/>
              <w:keepLines w:val="0"/>
              <w:suppressLineNumbers w:val="0"/>
              <w:spacing w:before="0" w:beforeAutospacing="0" w:after="0" w:afterAutospacing="0" w:line="360" w:lineRule="auto"/>
              <w:ind w:left="0" w:right="0" w:firstLine="1200" w:firstLineChars="500"/>
              <w:jc w:val="both"/>
              <w:rPr>
                <w:rFonts w:hint="default" w:ascii="Times New Roman" w:hAnsi="Times New Roman" w:cs="Times New Roman"/>
                <w:color w:val="auto"/>
              </w:rPr>
            </w:pPr>
            <w:r>
              <w:rPr>
                <w:rFonts w:hint="default" w:ascii="Times New Roman" w:hAnsi="Times New Roman" w:cs="Times New Roman"/>
                <w:color w:val="auto"/>
              </w:rPr>
              <w:t>n——声源级数；</w:t>
            </w:r>
          </w:p>
          <w:p w14:paraId="2442D72D">
            <w:pPr>
              <w:pStyle w:val="58"/>
              <w:keepNext w:val="0"/>
              <w:keepLines w:val="0"/>
              <w:suppressLineNumbers w:val="0"/>
              <w:spacing w:before="0" w:beforeAutospacing="0" w:after="0" w:afterAutospacing="0" w:line="360" w:lineRule="auto"/>
              <w:ind w:left="0" w:right="0" w:firstLine="1200" w:firstLineChars="500"/>
              <w:jc w:val="both"/>
              <w:rPr>
                <w:rFonts w:hint="default" w:ascii="Times New Roman" w:hAnsi="Times New Roman" w:cs="Times New Roman"/>
                <w:color w:val="auto"/>
              </w:rPr>
            </w:pPr>
            <w:r>
              <w:rPr>
                <w:rFonts w:hint="default" w:ascii="Times New Roman" w:hAnsi="Times New Roman" w:cs="Times New Roman"/>
                <w:color w:val="auto"/>
              </w:rPr>
              <w:t>Li——各声源对某点的声压值，dB(A)。</w:t>
            </w:r>
          </w:p>
          <w:p w14:paraId="2EC2A4A3">
            <w:pPr>
              <w:pStyle w:val="58"/>
              <w:keepNext w:val="0"/>
              <w:keepLines w:val="0"/>
              <w:suppressLineNumbers w:val="0"/>
              <w:adjustRightInd/>
              <w:spacing w:before="0" w:beforeAutospacing="0" w:after="0" w:afterAutospacing="0" w:line="360" w:lineRule="auto"/>
              <w:ind w:left="0" w:right="0"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（3）预测结果分析</w:t>
            </w:r>
          </w:p>
          <w:p w14:paraId="7CC193FA">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各类机械设备在不同距离处的噪声值见表</w:t>
            </w:r>
            <w:r>
              <w:rPr>
                <w:rFonts w:hint="eastAsia" w:ascii="Times New Roman" w:hAnsi="Times New Roman" w:eastAsia="宋体" w:cs="Times New Roman"/>
                <w:color w:val="auto"/>
                <w:sz w:val="24"/>
                <w:szCs w:val="24"/>
                <w:lang w:val="en-US" w:eastAsia="zh-CN"/>
              </w:rPr>
              <w:t>4-3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本项目夜间不施工，</w:t>
            </w:r>
            <w:r>
              <w:rPr>
                <w:rFonts w:hint="default" w:ascii="Times New Roman" w:hAnsi="Times New Roman" w:eastAsia="宋体" w:cs="Times New Roman"/>
                <w:b w:val="0"/>
                <w:bCs w:val="0"/>
                <w:color w:val="auto"/>
                <w:sz w:val="24"/>
                <w:szCs w:val="24"/>
                <w:lang w:val="en-US" w:eastAsia="zh-CN"/>
              </w:rPr>
              <w:t>根据声环境影响预测结果可以看出，运营期机械噪声在无降噪措施情况下，各声源噪声经衰减后，其昼间贡献值在</w:t>
            </w:r>
            <w:r>
              <w:rPr>
                <w:rFonts w:hint="eastAsia" w:ascii="Times New Roman" w:hAnsi="Times New Roman" w:eastAsia="宋体" w:cs="Times New Roman"/>
                <w:b w:val="0"/>
                <w:bCs w:val="0"/>
                <w:color w:val="auto"/>
                <w:sz w:val="24"/>
                <w:szCs w:val="24"/>
                <w:lang w:val="en-US" w:eastAsia="zh-CN"/>
              </w:rPr>
              <w:t>100</w:t>
            </w:r>
            <w:r>
              <w:rPr>
                <w:rFonts w:hint="default" w:ascii="Times New Roman" w:hAnsi="Times New Roman" w:eastAsia="宋体" w:cs="Times New Roman"/>
                <w:b w:val="0"/>
                <w:bCs w:val="0"/>
                <w:color w:val="auto"/>
                <w:sz w:val="24"/>
                <w:szCs w:val="24"/>
                <w:lang w:val="en-US" w:eastAsia="zh-CN"/>
              </w:rPr>
              <w:t>m范围外</w:t>
            </w:r>
            <w:r>
              <w:rPr>
                <w:rFonts w:hint="eastAsia" w:ascii="Times New Roman" w:hAnsi="Times New Roman" w:cs="Times New Roman"/>
                <w:color w:val="auto"/>
                <w:sz w:val="24"/>
                <w:szCs w:val="24"/>
                <w:lang w:val="en-US" w:eastAsia="zh-CN"/>
              </w:rPr>
              <w:t>能够达到</w:t>
            </w:r>
            <w:r>
              <w:rPr>
                <w:rFonts w:hint="default" w:ascii="Times New Roman" w:hAnsi="Times New Roman" w:cs="Times New Roman"/>
                <w:color w:val="auto"/>
                <w:sz w:val="24"/>
                <w:szCs w:val="24"/>
              </w:rPr>
              <w:t>《建筑施工噪声排放标准》（GB12523-20</w:t>
            </w:r>
            <w:r>
              <w:rPr>
                <w:rFonts w:hint="eastAsia" w:ascii="Times New Roman" w:hAnsi="Times New Roman" w:cs="Times New Roman"/>
                <w:color w:val="auto"/>
                <w:sz w:val="24"/>
                <w:szCs w:val="24"/>
                <w:lang w:val="en-US" w:eastAsia="zh-CN"/>
              </w:rPr>
              <w:t>25</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规定限值要求（昼间70</w:t>
            </w:r>
            <w:r>
              <w:rPr>
                <w:rFonts w:hint="default" w:ascii="Times New Roman" w:hAnsi="Times New Roman" w:eastAsia="宋体" w:cs="Times New Roman"/>
                <w:b w:val="0"/>
                <w:bCs w:val="0"/>
                <w:color w:val="auto"/>
                <w:kern w:val="2"/>
                <w:sz w:val="24"/>
                <w:szCs w:val="24"/>
                <w:lang w:val="en-US" w:eastAsia="zh-CN" w:bidi="ar-SA"/>
              </w:rPr>
              <w:t>dB(A)</w:t>
            </w:r>
            <w:r>
              <w:rPr>
                <w:rFonts w:hint="eastAsia" w:ascii="Times New Roman" w:hAnsi="Times New Roman" w:cs="Times New Roman"/>
                <w:color w:val="auto"/>
                <w:sz w:val="24"/>
                <w:szCs w:val="24"/>
                <w:lang w:val="en-US" w:eastAsia="zh-CN"/>
              </w:rPr>
              <w:t>）。</w:t>
            </w:r>
          </w:p>
          <w:p w14:paraId="37B6EF4B">
            <w:pPr>
              <w:pStyle w:val="46"/>
              <w:keepNext w:val="0"/>
              <w:keepLines w:val="0"/>
              <w:suppressLineNumbers w:val="0"/>
              <w:spacing w:before="0" w:beforeAutospacing="0" w:after="0" w:afterAutospacing="0"/>
              <w:ind w:left="0" w:right="0"/>
              <w:rPr>
                <w:rFonts w:hint="default" w:ascii="Times New Roman" w:hAnsi="Times New Roman" w:eastAsia="宋体" w:cs="Times New Roman"/>
                <w:b/>
                <w:bCs/>
                <w:color w:val="auto"/>
                <w:kern w:val="2"/>
                <w:sz w:val="21"/>
                <w:szCs w:val="24"/>
                <w:lang w:val="en-US" w:eastAsia="zh-CN" w:bidi="ar-SA"/>
              </w:rPr>
            </w:pPr>
            <w:r>
              <w:rPr>
                <w:rFonts w:hint="default" w:ascii="Times New Roman" w:hAnsi="Times New Roman" w:eastAsia="宋体" w:cs="Times New Roman"/>
                <w:b/>
                <w:bCs/>
                <w:color w:val="auto"/>
                <w:kern w:val="2"/>
                <w:sz w:val="21"/>
                <w:szCs w:val="24"/>
                <w:lang w:val="en-US" w:eastAsia="zh-CN" w:bidi="ar-SA"/>
              </w:rPr>
              <w:t>表4-</w:t>
            </w:r>
            <w:r>
              <w:rPr>
                <w:rFonts w:hint="eastAsia" w:ascii="Times New Roman" w:hAnsi="Times New Roman" w:eastAsia="宋体" w:cs="Times New Roman"/>
                <w:b/>
                <w:bCs/>
                <w:color w:val="auto"/>
                <w:kern w:val="2"/>
                <w:sz w:val="21"/>
                <w:szCs w:val="24"/>
                <w:lang w:val="en-US" w:eastAsia="zh-CN" w:bidi="ar-SA"/>
              </w:rPr>
              <w:t>3</w:t>
            </w:r>
            <w:r>
              <w:rPr>
                <w:rFonts w:hint="default" w:ascii="Times New Roman" w:hAnsi="Times New Roman" w:eastAsia="宋体" w:cs="Times New Roman"/>
                <w:b/>
                <w:bCs/>
                <w:color w:val="auto"/>
                <w:kern w:val="2"/>
                <w:sz w:val="21"/>
                <w:szCs w:val="24"/>
                <w:lang w:val="en-US" w:eastAsia="zh-CN" w:bidi="ar-SA"/>
              </w:rPr>
              <w:t xml:space="preserve">   各类噪声源不同距离处的噪声值</w:t>
            </w:r>
          </w:p>
          <w:tbl>
            <w:tblPr>
              <w:tblStyle w:val="26"/>
              <w:tblW w:w="815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927"/>
              <w:gridCol w:w="743"/>
              <w:gridCol w:w="751"/>
              <w:gridCol w:w="751"/>
              <w:gridCol w:w="751"/>
              <w:gridCol w:w="751"/>
              <w:gridCol w:w="886"/>
              <w:gridCol w:w="900"/>
            </w:tblGrid>
            <w:tr w14:paraId="426FE5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0" w:type="pct"/>
                  <w:vMerge w:val="restart"/>
                  <w:tcBorders>
                    <w:top w:val="single" w:color="auto" w:sz="4" w:space="0"/>
                    <w:left w:val="single" w:color="auto" w:sz="0" w:space="0"/>
                    <w:tl2br w:val="nil"/>
                    <w:tr2bl w:val="nil"/>
                  </w:tcBorders>
                  <w:noWrap w:val="0"/>
                  <w:vAlign w:val="center"/>
                </w:tcPr>
                <w:p w14:paraId="0C1699A5">
                  <w:pPr>
                    <w:pStyle w:val="58"/>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设备类型</w:t>
                  </w:r>
                </w:p>
              </w:tc>
              <w:tc>
                <w:tcPr>
                  <w:tcW w:w="3959" w:type="pct"/>
                  <w:gridSpan w:val="8"/>
                  <w:tcBorders>
                    <w:top w:val="single" w:color="auto" w:sz="4" w:space="0"/>
                    <w:right w:val="single" w:color="auto" w:sz="4" w:space="0"/>
                    <w:tl2br w:val="nil"/>
                    <w:tr2bl w:val="nil"/>
                  </w:tcBorders>
                  <w:noWrap w:val="0"/>
                  <w:vAlign w:val="center"/>
                </w:tcPr>
                <w:p w14:paraId="1418D748">
                  <w:pPr>
                    <w:pStyle w:val="58"/>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rPr>
                      <w:rFonts w:hint="default" w:ascii="Times New Roman" w:hAnsi="Times New Roman" w:cs="Times New Roman"/>
                      <w:b w:val="0"/>
                      <w:bCs/>
                      <w:color w:val="auto"/>
                      <w:sz w:val="21"/>
                      <w:szCs w:val="21"/>
                    </w:rPr>
                  </w:pPr>
                  <w:r>
                    <w:rPr>
                      <w:rFonts w:hint="default" w:ascii="Times New Roman" w:hAnsi="Times New Roman" w:cs="Times New Roman"/>
                      <w:b w:val="0"/>
                      <w:bCs w:val="0"/>
                      <w:color w:val="auto"/>
                      <w:sz w:val="21"/>
                      <w:szCs w:val="21"/>
                      <w:lang w:val="en-US" w:eastAsia="zh-CN"/>
                    </w:rPr>
                    <w:t>不同距离</w:t>
                  </w:r>
                  <w:r>
                    <w:rPr>
                      <w:rFonts w:hint="default" w:ascii="Times New Roman" w:hAnsi="Times New Roman" w:cs="Times New Roman"/>
                      <w:b w:val="0"/>
                      <w:bCs/>
                      <w:color w:val="auto"/>
                      <w:sz w:val="21"/>
                      <w:szCs w:val="21"/>
                    </w:rPr>
                    <w:t>噪声预测值</w:t>
                  </w:r>
                  <w:r>
                    <w:rPr>
                      <w:rFonts w:hint="default" w:ascii="Times New Roman" w:hAnsi="Times New Roman" w:cs="Times New Roman"/>
                      <w:b w:val="0"/>
                      <w:bCs w:val="0"/>
                      <w:color w:val="auto"/>
                      <w:sz w:val="21"/>
                      <w:szCs w:val="21"/>
                      <w:lang w:eastAsia="zh-CN"/>
                    </w:rPr>
                    <w:t>（</w:t>
                  </w:r>
                  <w:r>
                    <w:rPr>
                      <w:rFonts w:hint="default" w:ascii="Times New Roman" w:hAnsi="Times New Roman" w:eastAsia="宋体" w:cs="Times New Roman"/>
                      <w:b w:val="0"/>
                      <w:bCs w:val="0"/>
                      <w:color w:val="auto"/>
                      <w:kern w:val="2"/>
                      <w:sz w:val="21"/>
                      <w:szCs w:val="21"/>
                      <w:lang w:val="en-US" w:eastAsia="zh-CN" w:bidi="ar-SA"/>
                    </w:rPr>
                    <w:t>dB(A)</w:t>
                  </w:r>
                  <w:r>
                    <w:rPr>
                      <w:rFonts w:hint="default" w:ascii="Times New Roman" w:hAnsi="Times New Roman" w:cs="Times New Roman"/>
                      <w:b w:val="0"/>
                      <w:bCs w:val="0"/>
                      <w:color w:val="auto"/>
                      <w:sz w:val="21"/>
                      <w:szCs w:val="21"/>
                      <w:lang w:eastAsia="zh-CN"/>
                    </w:rPr>
                    <w:t>）</w:t>
                  </w:r>
                </w:p>
              </w:tc>
            </w:tr>
            <w:tr w14:paraId="0FDC00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0" w:type="pct"/>
                  <w:vMerge w:val="continue"/>
                  <w:tcBorders>
                    <w:left w:val="single" w:color="auto" w:sz="4" w:space="0"/>
                    <w:tl2br w:val="nil"/>
                    <w:tr2bl w:val="nil"/>
                  </w:tcBorders>
                  <w:noWrap w:val="0"/>
                  <w:vAlign w:val="center"/>
                </w:tcPr>
                <w:p w14:paraId="4D22CC5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cs="Times New Roman"/>
                      <w:b w:val="0"/>
                      <w:bCs/>
                      <w:color w:val="auto"/>
                      <w:sz w:val="21"/>
                      <w:szCs w:val="21"/>
                    </w:rPr>
                  </w:pPr>
                </w:p>
              </w:tc>
              <w:tc>
                <w:tcPr>
                  <w:tcW w:w="568" w:type="pct"/>
                  <w:tcBorders>
                    <w:tl2br w:val="nil"/>
                    <w:tr2bl w:val="nil"/>
                  </w:tcBorders>
                  <w:noWrap w:val="0"/>
                  <w:vAlign w:val="center"/>
                </w:tcPr>
                <w:p w14:paraId="7F8D6EE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1m</w:t>
                  </w:r>
                </w:p>
              </w:tc>
              <w:tc>
                <w:tcPr>
                  <w:tcW w:w="455" w:type="pct"/>
                  <w:tcBorders>
                    <w:tl2br w:val="nil"/>
                    <w:tr2bl w:val="nil"/>
                  </w:tcBorders>
                  <w:noWrap w:val="0"/>
                  <w:vAlign w:val="center"/>
                </w:tcPr>
                <w:p w14:paraId="0CD2B2F6">
                  <w:pPr>
                    <w:pStyle w:val="58"/>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5m</w:t>
                  </w:r>
                </w:p>
              </w:tc>
              <w:tc>
                <w:tcPr>
                  <w:tcW w:w="460" w:type="pct"/>
                  <w:tcBorders>
                    <w:tl2br w:val="nil"/>
                    <w:tr2bl w:val="nil"/>
                  </w:tcBorders>
                  <w:noWrap w:val="0"/>
                  <w:vAlign w:val="center"/>
                </w:tcPr>
                <w:p w14:paraId="3627DE91">
                  <w:pPr>
                    <w:pStyle w:val="58"/>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10m</w:t>
                  </w:r>
                </w:p>
              </w:tc>
              <w:tc>
                <w:tcPr>
                  <w:tcW w:w="460" w:type="pct"/>
                  <w:tcBorders>
                    <w:tl2br w:val="nil"/>
                    <w:tr2bl w:val="nil"/>
                  </w:tcBorders>
                  <w:noWrap w:val="0"/>
                  <w:vAlign w:val="center"/>
                </w:tcPr>
                <w:p w14:paraId="7A73D33F">
                  <w:pPr>
                    <w:pStyle w:val="58"/>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20m</w:t>
                  </w:r>
                </w:p>
              </w:tc>
              <w:tc>
                <w:tcPr>
                  <w:tcW w:w="460" w:type="pct"/>
                  <w:tcBorders>
                    <w:tl2br w:val="nil"/>
                    <w:tr2bl w:val="nil"/>
                  </w:tcBorders>
                  <w:noWrap w:val="0"/>
                  <w:vAlign w:val="center"/>
                </w:tcPr>
                <w:p w14:paraId="26E315F4">
                  <w:pPr>
                    <w:pStyle w:val="58"/>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40m</w:t>
                  </w:r>
                </w:p>
              </w:tc>
              <w:tc>
                <w:tcPr>
                  <w:tcW w:w="460" w:type="pct"/>
                  <w:tcBorders>
                    <w:tl2br w:val="nil"/>
                    <w:tr2bl w:val="nil"/>
                  </w:tcBorders>
                  <w:noWrap w:val="0"/>
                  <w:vAlign w:val="center"/>
                </w:tcPr>
                <w:p w14:paraId="255019BC">
                  <w:pPr>
                    <w:pStyle w:val="58"/>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50m</w:t>
                  </w:r>
                </w:p>
              </w:tc>
              <w:tc>
                <w:tcPr>
                  <w:tcW w:w="543" w:type="pct"/>
                  <w:tcBorders>
                    <w:tl2br w:val="nil"/>
                    <w:tr2bl w:val="nil"/>
                  </w:tcBorders>
                  <w:noWrap w:val="0"/>
                  <w:vAlign w:val="center"/>
                </w:tcPr>
                <w:p w14:paraId="36A05C97">
                  <w:pPr>
                    <w:pStyle w:val="58"/>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100m</w:t>
                  </w:r>
                </w:p>
              </w:tc>
              <w:tc>
                <w:tcPr>
                  <w:tcW w:w="551" w:type="pct"/>
                  <w:tcBorders>
                    <w:right w:val="single" w:color="auto" w:sz="4" w:space="0"/>
                    <w:tl2br w:val="nil"/>
                    <w:tr2bl w:val="nil"/>
                  </w:tcBorders>
                  <w:noWrap w:val="0"/>
                  <w:vAlign w:val="center"/>
                </w:tcPr>
                <w:p w14:paraId="1DBAF484">
                  <w:pPr>
                    <w:pStyle w:val="58"/>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200m</w:t>
                  </w:r>
                </w:p>
              </w:tc>
            </w:tr>
            <w:tr w14:paraId="1C7E8B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7" w:type="dxa"/>
                  <w:tcBorders>
                    <w:left w:val="single" w:color="auto" w:sz="4" w:space="0"/>
                    <w:tl2br w:val="nil"/>
                    <w:tr2bl w:val="nil"/>
                  </w:tcBorders>
                  <w:noWrap w:val="0"/>
                  <w:vAlign w:val="center"/>
                </w:tcPr>
                <w:p w14:paraId="408516CF">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bCs/>
                      <w:color w:val="auto"/>
                      <w:sz w:val="21"/>
                      <w:szCs w:val="21"/>
                    </w:rPr>
                  </w:pPr>
                  <w:r>
                    <w:rPr>
                      <w:rFonts w:hint="eastAsia" w:ascii="宋体" w:hAnsi="宋体" w:eastAsia="宋体" w:cs="宋体"/>
                      <w:i w:val="0"/>
                      <w:iCs w:val="0"/>
                      <w:color w:val="000000"/>
                      <w:kern w:val="0"/>
                      <w:sz w:val="21"/>
                      <w:szCs w:val="21"/>
                      <w:u w:val="none"/>
                      <w:lang w:val="en-US" w:eastAsia="zh-CN" w:bidi="ar"/>
                    </w:rPr>
                    <w:t>推土机</w:t>
                  </w:r>
                </w:p>
              </w:tc>
              <w:tc>
                <w:tcPr>
                  <w:tcW w:w="927" w:type="dxa"/>
                  <w:tcBorders>
                    <w:tl2br w:val="nil"/>
                    <w:tr2bl w:val="nil"/>
                  </w:tcBorders>
                  <w:noWrap w:val="0"/>
                  <w:vAlign w:val="center"/>
                </w:tcPr>
                <w:p w14:paraId="02844C45">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90 </w:t>
                  </w:r>
                </w:p>
              </w:tc>
              <w:tc>
                <w:tcPr>
                  <w:tcW w:w="743" w:type="dxa"/>
                  <w:tcBorders>
                    <w:tl2br w:val="nil"/>
                    <w:tr2bl w:val="nil"/>
                  </w:tcBorders>
                  <w:noWrap w:val="0"/>
                  <w:vAlign w:val="center"/>
                </w:tcPr>
                <w:p w14:paraId="5CEBE8C7">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76 </w:t>
                  </w:r>
                </w:p>
              </w:tc>
              <w:tc>
                <w:tcPr>
                  <w:tcW w:w="751" w:type="dxa"/>
                  <w:tcBorders>
                    <w:tl2br w:val="nil"/>
                    <w:tr2bl w:val="nil"/>
                  </w:tcBorders>
                  <w:noWrap w:val="0"/>
                  <w:vAlign w:val="center"/>
                </w:tcPr>
                <w:p w14:paraId="4B6C4C5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70 </w:t>
                  </w:r>
                </w:p>
              </w:tc>
              <w:tc>
                <w:tcPr>
                  <w:tcW w:w="751" w:type="dxa"/>
                  <w:tcBorders>
                    <w:tl2br w:val="nil"/>
                    <w:tr2bl w:val="nil"/>
                  </w:tcBorders>
                  <w:noWrap w:val="0"/>
                  <w:vAlign w:val="center"/>
                </w:tcPr>
                <w:p w14:paraId="67D11273">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64 </w:t>
                  </w:r>
                </w:p>
              </w:tc>
              <w:tc>
                <w:tcPr>
                  <w:tcW w:w="751" w:type="dxa"/>
                  <w:tcBorders>
                    <w:tl2br w:val="nil"/>
                    <w:tr2bl w:val="nil"/>
                  </w:tcBorders>
                  <w:noWrap w:val="0"/>
                  <w:vAlign w:val="center"/>
                </w:tcPr>
                <w:p w14:paraId="610317E7">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58 </w:t>
                  </w:r>
                </w:p>
              </w:tc>
              <w:tc>
                <w:tcPr>
                  <w:tcW w:w="751" w:type="dxa"/>
                  <w:tcBorders>
                    <w:tl2br w:val="nil"/>
                    <w:tr2bl w:val="nil"/>
                  </w:tcBorders>
                  <w:noWrap w:val="0"/>
                  <w:vAlign w:val="center"/>
                </w:tcPr>
                <w:p w14:paraId="15C2983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56 </w:t>
                  </w:r>
                </w:p>
              </w:tc>
              <w:tc>
                <w:tcPr>
                  <w:tcW w:w="886" w:type="dxa"/>
                  <w:tcBorders>
                    <w:tl2br w:val="nil"/>
                    <w:tr2bl w:val="nil"/>
                  </w:tcBorders>
                  <w:noWrap w:val="0"/>
                  <w:vAlign w:val="center"/>
                </w:tcPr>
                <w:p w14:paraId="5E9B955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50 </w:t>
                  </w:r>
                </w:p>
              </w:tc>
              <w:tc>
                <w:tcPr>
                  <w:tcW w:w="900" w:type="dxa"/>
                  <w:tcBorders>
                    <w:right w:val="single" w:color="auto" w:sz="4" w:space="0"/>
                    <w:tl2br w:val="nil"/>
                    <w:tr2bl w:val="nil"/>
                  </w:tcBorders>
                  <w:noWrap w:val="0"/>
                  <w:vAlign w:val="center"/>
                </w:tcPr>
                <w:p w14:paraId="467D573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44 </w:t>
                  </w:r>
                </w:p>
              </w:tc>
            </w:tr>
            <w:tr w14:paraId="7AD32B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7" w:type="dxa"/>
                  <w:tcBorders>
                    <w:left w:val="single" w:color="auto" w:sz="4" w:space="0"/>
                    <w:tl2br w:val="nil"/>
                    <w:tr2bl w:val="nil"/>
                  </w:tcBorders>
                  <w:noWrap w:val="0"/>
                  <w:vAlign w:val="center"/>
                </w:tcPr>
                <w:p w14:paraId="4D440F10">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bCs/>
                      <w:color w:val="auto"/>
                      <w:sz w:val="21"/>
                      <w:szCs w:val="21"/>
                    </w:rPr>
                  </w:pPr>
                  <w:r>
                    <w:rPr>
                      <w:rFonts w:hint="eastAsia" w:ascii="宋体" w:hAnsi="宋体" w:eastAsia="宋体" w:cs="宋体"/>
                      <w:i w:val="0"/>
                      <w:iCs w:val="0"/>
                      <w:color w:val="000000"/>
                      <w:kern w:val="0"/>
                      <w:sz w:val="21"/>
                      <w:szCs w:val="21"/>
                      <w:u w:val="none"/>
                      <w:lang w:val="en-US" w:eastAsia="zh-CN" w:bidi="ar"/>
                    </w:rPr>
                    <w:t>挖掘机</w:t>
                  </w:r>
                </w:p>
              </w:tc>
              <w:tc>
                <w:tcPr>
                  <w:tcW w:w="927" w:type="dxa"/>
                  <w:tcBorders>
                    <w:tl2br w:val="nil"/>
                    <w:tr2bl w:val="nil"/>
                  </w:tcBorders>
                  <w:noWrap w:val="0"/>
                  <w:vAlign w:val="center"/>
                </w:tcPr>
                <w:p w14:paraId="65EAF127">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95 </w:t>
                  </w:r>
                </w:p>
              </w:tc>
              <w:tc>
                <w:tcPr>
                  <w:tcW w:w="743" w:type="dxa"/>
                  <w:tcBorders>
                    <w:tl2br w:val="nil"/>
                    <w:tr2bl w:val="nil"/>
                  </w:tcBorders>
                  <w:noWrap w:val="0"/>
                  <w:vAlign w:val="center"/>
                </w:tcPr>
                <w:p w14:paraId="5AB97A7F">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81 </w:t>
                  </w:r>
                </w:p>
              </w:tc>
              <w:tc>
                <w:tcPr>
                  <w:tcW w:w="751" w:type="dxa"/>
                  <w:tcBorders>
                    <w:tl2br w:val="nil"/>
                    <w:tr2bl w:val="nil"/>
                  </w:tcBorders>
                  <w:noWrap w:val="0"/>
                  <w:vAlign w:val="center"/>
                </w:tcPr>
                <w:p w14:paraId="3206EF7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75 </w:t>
                  </w:r>
                </w:p>
              </w:tc>
              <w:tc>
                <w:tcPr>
                  <w:tcW w:w="751" w:type="dxa"/>
                  <w:tcBorders>
                    <w:tl2br w:val="nil"/>
                    <w:tr2bl w:val="nil"/>
                  </w:tcBorders>
                  <w:noWrap w:val="0"/>
                  <w:vAlign w:val="center"/>
                </w:tcPr>
                <w:p w14:paraId="2F778251">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69 </w:t>
                  </w:r>
                </w:p>
              </w:tc>
              <w:tc>
                <w:tcPr>
                  <w:tcW w:w="751" w:type="dxa"/>
                  <w:tcBorders>
                    <w:tl2br w:val="nil"/>
                    <w:tr2bl w:val="nil"/>
                  </w:tcBorders>
                  <w:noWrap w:val="0"/>
                  <w:vAlign w:val="center"/>
                </w:tcPr>
                <w:p w14:paraId="20FAD161">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63 </w:t>
                  </w:r>
                </w:p>
              </w:tc>
              <w:tc>
                <w:tcPr>
                  <w:tcW w:w="751" w:type="dxa"/>
                  <w:tcBorders>
                    <w:tl2br w:val="nil"/>
                    <w:tr2bl w:val="nil"/>
                  </w:tcBorders>
                  <w:noWrap w:val="0"/>
                  <w:vAlign w:val="center"/>
                </w:tcPr>
                <w:p w14:paraId="11C06171">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61 </w:t>
                  </w:r>
                </w:p>
              </w:tc>
              <w:tc>
                <w:tcPr>
                  <w:tcW w:w="886" w:type="dxa"/>
                  <w:tcBorders>
                    <w:tl2br w:val="nil"/>
                    <w:tr2bl w:val="nil"/>
                  </w:tcBorders>
                  <w:noWrap w:val="0"/>
                  <w:vAlign w:val="center"/>
                </w:tcPr>
                <w:p w14:paraId="1AC4F5B9">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55 </w:t>
                  </w:r>
                </w:p>
              </w:tc>
              <w:tc>
                <w:tcPr>
                  <w:tcW w:w="900" w:type="dxa"/>
                  <w:tcBorders>
                    <w:right w:val="single" w:color="auto" w:sz="4" w:space="0"/>
                    <w:tl2br w:val="nil"/>
                    <w:tr2bl w:val="nil"/>
                  </w:tcBorders>
                  <w:noWrap w:val="0"/>
                  <w:vAlign w:val="center"/>
                </w:tcPr>
                <w:p w14:paraId="51493FE0">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49 </w:t>
                  </w:r>
                </w:p>
              </w:tc>
            </w:tr>
            <w:tr w14:paraId="292AE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7" w:type="dxa"/>
                  <w:tcBorders>
                    <w:left w:val="single" w:color="auto" w:sz="4" w:space="0"/>
                    <w:tl2br w:val="nil"/>
                    <w:tr2bl w:val="nil"/>
                  </w:tcBorders>
                  <w:noWrap w:val="0"/>
                  <w:vAlign w:val="center"/>
                </w:tcPr>
                <w:p w14:paraId="197BC39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bCs/>
                      <w:color w:val="auto"/>
                      <w:sz w:val="21"/>
                      <w:szCs w:val="21"/>
                    </w:rPr>
                  </w:pPr>
                  <w:r>
                    <w:rPr>
                      <w:rFonts w:hint="eastAsia" w:ascii="宋体" w:hAnsi="宋体" w:eastAsia="宋体" w:cs="宋体"/>
                      <w:i w:val="0"/>
                      <w:iCs w:val="0"/>
                      <w:color w:val="000000"/>
                      <w:kern w:val="0"/>
                      <w:sz w:val="21"/>
                      <w:szCs w:val="21"/>
                      <w:u w:val="none"/>
                      <w:lang w:val="en-US" w:eastAsia="zh-CN" w:bidi="ar"/>
                    </w:rPr>
                    <w:t>装载机</w:t>
                  </w:r>
                </w:p>
              </w:tc>
              <w:tc>
                <w:tcPr>
                  <w:tcW w:w="927" w:type="dxa"/>
                  <w:tcBorders>
                    <w:tl2br w:val="nil"/>
                    <w:tr2bl w:val="nil"/>
                  </w:tcBorders>
                  <w:noWrap w:val="0"/>
                  <w:vAlign w:val="center"/>
                </w:tcPr>
                <w:p w14:paraId="7617126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95 </w:t>
                  </w:r>
                </w:p>
              </w:tc>
              <w:tc>
                <w:tcPr>
                  <w:tcW w:w="743" w:type="dxa"/>
                  <w:tcBorders>
                    <w:tl2br w:val="nil"/>
                    <w:tr2bl w:val="nil"/>
                  </w:tcBorders>
                  <w:noWrap w:val="0"/>
                  <w:vAlign w:val="center"/>
                </w:tcPr>
                <w:p w14:paraId="1A06AA3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81 </w:t>
                  </w:r>
                </w:p>
              </w:tc>
              <w:tc>
                <w:tcPr>
                  <w:tcW w:w="751" w:type="dxa"/>
                  <w:tcBorders>
                    <w:tl2br w:val="nil"/>
                    <w:tr2bl w:val="nil"/>
                  </w:tcBorders>
                  <w:noWrap w:val="0"/>
                  <w:vAlign w:val="center"/>
                </w:tcPr>
                <w:p w14:paraId="205BE6F0">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75 </w:t>
                  </w:r>
                </w:p>
              </w:tc>
              <w:tc>
                <w:tcPr>
                  <w:tcW w:w="751" w:type="dxa"/>
                  <w:tcBorders>
                    <w:tl2br w:val="nil"/>
                    <w:tr2bl w:val="nil"/>
                  </w:tcBorders>
                  <w:noWrap w:val="0"/>
                  <w:vAlign w:val="center"/>
                </w:tcPr>
                <w:p w14:paraId="06596244">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69 </w:t>
                  </w:r>
                </w:p>
              </w:tc>
              <w:tc>
                <w:tcPr>
                  <w:tcW w:w="751" w:type="dxa"/>
                  <w:tcBorders>
                    <w:tl2br w:val="nil"/>
                    <w:tr2bl w:val="nil"/>
                  </w:tcBorders>
                  <w:noWrap w:val="0"/>
                  <w:vAlign w:val="center"/>
                </w:tcPr>
                <w:p w14:paraId="6E6AB5C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63 </w:t>
                  </w:r>
                </w:p>
              </w:tc>
              <w:tc>
                <w:tcPr>
                  <w:tcW w:w="751" w:type="dxa"/>
                  <w:tcBorders>
                    <w:tl2br w:val="nil"/>
                    <w:tr2bl w:val="nil"/>
                  </w:tcBorders>
                  <w:noWrap w:val="0"/>
                  <w:vAlign w:val="center"/>
                </w:tcPr>
                <w:p w14:paraId="750DC553">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61 </w:t>
                  </w:r>
                </w:p>
              </w:tc>
              <w:tc>
                <w:tcPr>
                  <w:tcW w:w="886" w:type="dxa"/>
                  <w:tcBorders>
                    <w:tl2br w:val="nil"/>
                    <w:tr2bl w:val="nil"/>
                  </w:tcBorders>
                  <w:noWrap w:val="0"/>
                  <w:vAlign w:val="center"/>
                </w:tcPr>
                <w:p w14:paraId="1915416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55 </w:t>
                  </w:r>
                </w:p>
              </w:tc>
              <w:tc>
                <w:tcPr>
                  <w:tcW w:w="900" w:type="dxa"/>
                  <w:tcBorders>
                    <w:right w:val="single" w:color="auto" w:sz="4" w:space="0"/>
                    <w:tl2br w:val="nil"/>
                    <w:tr2bl w:val="nil"/>
                  </w:tcBorders>
                  <w:noWrap w:val="0"/>
                  <w:vAlign w:val="center"/>
                </w:tcPr>
                <w:p w14:paraId="2ABA6A66">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49 </w:t>
                  </w:r>
                </w:p>
              </w:tc>
            </w:tr>
            <w:tr w14:paraId="1F81DC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7" w:type="dxa"/>
                  <w:tcBorders>
                    <w:left w:val="single" w:color="auto" w:sz="4" w:space="0"/>
                    <w:tl2br w:val="nil"/>
                    <w:tr2bl w:val="nil"/>
                  </w:tcBorders>
                  <w:noWrap w:val="0"/>
                  <w:vAlign w:val="center"/>
                </w:tcPr>
                <w:p w14:paraId="6FE72B61">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自卸汽车</w:t>
                  </w:r>
                </w:p>
              </w:tc>
              <w:tc>
                <w:tcPr>
                  <w:tcW w:w="927" w:type="dxa"/>
                  <w:tcBorders>
                    <w:tl2br w:val="nil"/>
                    <w:tr2bl w:val="nil"/>
                  </w:tcBorders>
                  <w:noWrap w:val="0"/>
                  <w:vAlign w:val="center"/>
                </w:tcPr>
                <w:p w14:paraId="7B6ADCDD">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92 </w:t>
                  </w:r>
                </w:p>
              </w:tc>
              <w:tc>
                <w:tcPr>
                  <w:tcW w:w="743" w:type="dxa"/>
                  <w:tcBorders>
                    <w:tl2br w:val="nil"/>
                    <w:tr2bl w:val="nil"/>
                  </w:tcBorders>
                  <w:noWrap w:val="0"/>
                  <w:vAlign w:val="center"/>
                </w:tcPr>
                <w:p w14:paraId="4EE3ADE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78 </w:t>
                  </w:r>
                </w:p>
              </w:tc>
              <w:tc>
                <w:tcPr>
                  <w:tcW w:w="751" w:type="dxa"/>
                  <w:tcBorders>
                    <w:tl2br w:val="nil"/>
                    <w:tr2bl w:val="nil"/>
                  </w:tcBorders>
                  <w:noWrap w:val="0"/>
                  <w:vAlign w:val="center"/>
                </w:tcPr>
                <w:p w14:paraId="5324D67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72 </w:t>
                  </w:r>
                </w:p>
              </w:tc>
              <w:tc>
                <w:tcPr>
                  <w:tcW w:w="751" w:type="dxa"/>
                  <w:tcBorders>
                    <w:tl2br w:val="nil"/>
                    <w:tr2bl w:val="nil"/>
                  </w:tcBorders>
                  <w:noWrap w:val="0"/>
                  <w:vAlign w:val="center"/>
                </w:tcPr>
                <w:p w14:paraId="7D03DD0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66 </w:t>
                  </w:r>
                </w:p>
              </w:tc>
              <w:tc>
                <w:tcPr>
                  <w:tcW w:w="751" w:type="dxa"/>
                  <w:tcBorders>
                    <w:tl2br w:val="nil"/>
                    <w:tr2bl w:val="nil"/>
                  </w:tcBorders>
                  <w:noWrap w:val="0"/>
                  <w:vAlign w:val="center"/>
                </w:tcPr>
                <w:p w14:paraId="24258715">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60 </w:t>
                  </w:r>
                </w:p>
              </w:tc>
              <w:tc>
                <w:tcPr>
                  <w:tcW w:w="751" w:type="dxa"/>
                  <w:tcBorders>
                    <w:tl2br w:val="nil"/>
                    <w:tr2bl w:val="nil"/>
                  </w:tcBorders>
                  <w:noWrap w:val="0"/>
                  <w:vAlign w:val="center"/>
                </w:tcPr>
                <w:p w14:paraId="2FC867D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58 </w:t>
                  </w:r>
                </w:p>
              </w:tc>
              <w:tc>
                <w:tcPr>
                  <w:tcW w:w="886" w:type="dxa"/>
                  <w:tcBorders>
                    <w:tl2br w:val="nil"/>
                    <w:tr2bl w:val="nil"/>
                  </w:tcBorders>
                  <w:noWrap w:val="0"/>
                  <w:vAlign w:val="center"/>
                </w:tcPr>
                <w:p w14:paraId="49BC25C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52 </w:t>
                  </w:r>
                </w:p>
              </w:tc>
              <w:tc>
                <w:tcPr>
                  <w:tcW w:w="900" w:type="dxa"/>
                  <w:tcBorders>
                    <w:right w:val="single" w:color="auto" w:sz="4" w:space="0"/>
                    <w:tl2br w:val="nil"/>
                    <w:tr2bl w:val="nil"/>
                  </w:tcBorders>
                  <w:noWrap w:val="0"/>
                  <w:vAlign w:val="center"/>
                </w:tcPr>
                <w:p w14:paraId="00B6AF5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46 </w:t>
                  </w:r>
                </w:p>
              </w:tc>
            </w:tr>
            <w:tr w14:paraId="037B44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7" w:type="dxa"/>
                  <w:tcBorders>
                    <w:left w:val="single" w:color="auto" w:sz="4" w:space="0"/>
                    <w:tl2br w:val="nil"/>
                    <w:tr2bl w:val="nil"/>
                  </w:tcBorders>
                  <w:noWrap w:val="0"/>
                  <w:vAlign w:val="center"/>
                </w:tcPr>
                <w:p w14:paraId="41F16DD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潜孔钻机</w:t>
                  </w:r>
                </w:p>
              </w:tc>
              <w:tc>
                <w:tcPr>
                  <w:tcW w:w="927" w:type="dxa"/>
                  <w:tcBorders>
                    <w:tl2br w:val="nil"/>
                    <w:tr2bl w:val="nil"/>
                  </w:tcBorders>
                  <w:noWrap w:val="0"/>
                  <w:vAlign w:val="center"/>
                </w:tcPr>
                <w:p w14:paraId="0AFAC66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97 </w:t>
                  </w:r>
                </w:p>
              </w:tc>
              <w:tc>
                <w:tcPr>
                  <w:tcW w:w="743" w:type="dxa"/>
                  <w:tcBorders>
                    <w:tl2br w:val="nil"/>
                    <w:tr2bl w:val="nil"/>
                  </w:tcBorders>
                  <w:noWrap w:val="0"/>
                  <w:vAlign w:val="center"/>
                </w:tcPr>
                <w:p w14:paraId="487344F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83 </w:t>
                  </w:r>
                </w:p>
              </w:tc>
              <w:tc>
                <w:tcPr>
                  <w:tcW w:w="751" w:type="dxa"/>
                  <w:tcBorders>
                    <w:tl2br w:val="nil"/>
                    <w:tr2bl w:val="nil"/>
                  </w:tcBorders>
                  <w:noWrap w:val="0"/>
                  <w:vAlign w:val="center"/>
                </w:tcPr>
                <w:p w14:paraId="6DC6A834">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77 </w:t>
                  </w:r>
                </w:p>
              </w:tc>
              <w:tc>
                <w:tcPr>
                  <w:tcW w:w="751" w:type="dxa"/>
                  <w:tcBorders>
                    <w:tl2br w:val="nil"/>
                    <w:tr2bl w:val="nil"/>
                  </w:tcBorders>
                  <w:noWrap w:val="0"/>
                  <w:vAlign w:val="center"/>
                </w:tcPr>
                <w:p w14:paraId="56131BE9">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71 </w:t>
                  </w:r>
                </w:p>
              </w:tc>
              <w:tc>
                <w:tcPr>
                  <w:tcW w:w="751" w:type="dxa"/>
                  <w:tcBorders>
                    <w:tl2br w:val="nil"/>
                    <w:tr2bl w:val="nil"/>
                  </w:tcBorders>
                  <w:noWrap w:val="0"/>
                  <w:vAlign w:val="center"/>
                </w:tcPr>
                <w:p w14:paraId="06766EFF">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65 </w:t>
                  </w:r>
                </w:p>
              </w:tc>
              <w:tc>
                <w:tcPr>
                  <w:tcW w:w="751" w:type="dxa"/>
                  <w:tcBorders>
                    <w:tl2br w:val="nil"/>
                    <w:tr2bl w:val="nil"/>
                  </w:tcBorders>
                  <w:noWrap w:val="0"/>
                  <w:vAlign w:val="center"/>
                </w:tcPr>
                <w:p w14:paraId="55DD2123">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63 </w:t>
                  </w:r>
                </w:p>
              </w:tc>
              <w:tc>
                <w:tcPr>
                  <w:tcW w:w="886" w:type="dxa"/>
                  <w:tcBorders>
                    <w:tl2br w:val="nil"/>
                    <w:tr2bl w:val="nil"/>
                  </w:tcBorders>
                  <w:noWrap w:val="0"/>
                  <w:vAlign w:val="center"/>
                </w:tcPr>
                <w:p w14:paraId="40336650">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57 </w:t>
                  </w:r>
                </w:p>
              </w:tc>
              <w:tc>
                <w:tcPr>
                  <w:tcW w:w="900" w:type="dxa"/>
                  <w:tcBorders>
                    <w:right w:val="single" w:color="auto" w:sz="4" w:space="0"/>
                    <w:tl2br w:val="nil"/>
                    <w:tr2bl w:val="nil"/>
                  </w:tcBorders>
                  <w:noWrap w:val="0"/>
                  <w:vAlign w:val="center"/>
                </w:tcPr>
                <w:p w14:paraId="3DD3F787">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51 </w:t>
                  </w:r>
                </w:p>
              </w:tc>
            </w:tr>
            <w:tr w14:paraId="6034D5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7" w:type="dxa"/>
                  <w:tcBorders>
                    <w:left w:val="single" w:color="auto" w:sz="4" w:space="0"/>
                    <w:tl2br w:val="nil"/>
                    <w:tr2bl w:val="nil"/>
                  </w:tcBorders>
                  <w:noWrap w:val="0"/>
                  <w:vAlign w:val="center"/>
                </w:tcPr>
                <w:p w14:paraId="787CD9A9">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泥浆搅拌机</w:t>
                  </w:r>
                </w:p>
              </w:tc>
              <w:tc>
                <w:tcPr>
                  <w:tcW w:w="927" w:type="dxa"/>
                  <w:tcBorders>
                    <w:tl2br w:val="nil"/>
                    <w:tr2bl w:val="nil"/>
                  </w:tcBorders>
                  <w:noWrap w:val="0"/>
                  <w:vAlign w:val="center"/>
                </w:tcPr>
                <w:p w14:paraId="3F52358D">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88 </w:t>
                  </w:r>
                </w:p>
              </w:tc>
              <w:tc>
                <w:tcPr>
                  <w:tcW w:w="743" w:type="dxa"/>
                  <w:tcBorders>
                    <w:tl2br w:val="nil"/>
                    <w:tr2bl w:val="nil"/>
                  </w:tcBorders>
                  <w:noWrap w:val="0"/>
                  <w:vAlign w:val="center"/>
                </w:tcPr>
                <w:p w14:paraId="700AA5E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74 </w:t>
                  </w:r>
                </w:p>
              </w:tc>
              <w:tc>
                <w:tcPr>
                  <w:tcW w:w="751" w:type="dxa"/>
                  <w:tcBorders>
                    <w:tl2br w:val="nil"/>
                    <w:tr2bl w:val="nil"/>
                  </w:tcBorders>
                  <w:noWrap w:val="0"/>
                  <w:vAlign w:val="center"/>
                </w:tcPr>
                <w:p w14:paraId="158D067F">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68 </w:t>
                  </w:r>
                </w:p>
              </w:tc>
              <w:tc>
                <w:tcPr>
                  <w:tcW w:w="751" w:type="dxa"/>
                  <w:tcBorders>
                    <w:tl2br w:val="nil"/>
                    <w:tr2bl w:val="nil"/>
                  </w:tcBorders>
                  <w:noWrap w:val="0"/>
                  <w:vAlign w:val="center"/>
                </w:tcPr>
                <w:p w14:paraId="560165C7">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62 </w:t>
                  </w:r>
                </w:p>
              </w:tc>
              <w:tc>
                <w:tcPr>
                  <w:tcW w:w="751" w:type="dxa"/>
                  <w:tcBorders>
                    <w:tl2br w:val="nil"/>
                    <w:tr2bl w:val="nil"/>
                  </w:tcBorders>
                  <w:noWrap w:val="0"/>
                  <w:vAlign w:val="center"/>
                </w:tcPr>
                <w:p w14:paraId="2173F98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56 </w:t>
                  </w:r>
                </w:p>
              </w:tc>
              <w:tc>
                <w:tcPr>
                  <w:tcW w:w="751" w:type="dxa"/>
                  <w:tcBorders>
                    <w:tl2br w:val="nil"/>
                    <w:tr2bl w:val="nil"/>
                  </w:tcBorders>
                  <w:noWrap w:val="0"/>
                  <w:vAlign w:val="center"/>
                </w:tcPr>
                <w:p w14:paraId="77C3A9B1">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54 </w:t>
                  </w:r>
                </w:p>
              </w:tc>
              <w:tc>
                <w:tcPr>
                  <w:tcW w:w="886" w:type="dxa"/>
                  <w:tcBorders>
                    <w:tl2br w:val="nil"/>
                    <w:tr2bl w:val="nil"/>
                  </w:tcBorders>
                  <w:noWrap w:val="0"/>
                  <w:vAlign w:val="center"/>
                </w:tcPr>
                <w:p w14:paraId="06FCD394">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48 </w:t>
                  </w:r>
                </w:p>
              </w:tc>
              <w:tc>
                <w:tcPr>
                  <w:tcW w:w="900" w:type="dxa"/>
                  <w:tcBorders>
                    <w:right w:val="single" w:color="auto" w:sz="4" w:space="0"/>
                    <w:tl2br w:val="nil"/>
                    <w:tr2bl w:val="nil"/>
                  </w:tcBorders>
                  <w:noWrap w:val="0"/>
                  <w:vAlign w:val="center"/>
                </w:tcPr>
                <w:p w14:paraId="4D5C4640">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42 </w:t>
                  </w:r>
                </w:p>
              </w:tc>
            </w:tr>
            <w:tr w14:paraId="3A5E7B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7" w:type="dxa"/>
                  <w:tcBorders>
                    <w:left w:val="single" w:color="auto" w:sz="4" w:space="0"/>
                    <w:tl2br w:val="nil"/>
                    <w:tr2bl w:val="nil"/>
                  </w:tcBorders>
                  <w:noWrap w:val="0"/>
                  <w:vAlign w:val="center"/>
                </w:tcPr>
                <w:p w14:paraId="051EBDD6">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泥浆泵</w:t>
                  </w:r>
                </w:p>
              </w:tc>
              <w:tc>
                <w:tcPr>
                  <w:tcW w:w="927" w:type="dxa"/>
                  <w:tcBorders>
                    <w:tl2br w:val="nil"/>
                    <w:tr2bl w:val="nil"/>
                  </w:tcBorders>
                  <w:noWrap w:val="0"/>
                  <w:vAlign w:val="center"/>
                </w:tcPr>
                <w:p w14:paraId="50FBD27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90 </w:t>
                  </w:r>
                </w:p>
              </w:tc>
              <w:tc>
                <w:tcPr>
                  <w:tcW w:w="743" w:type="dxa"/>
                  <w:tcBorders>
                    <w:tl2br w:val="nil"/>
                    <w:tr2bl w:val="nil"/>
                  </w:tcBorders>
                  <w:noWrap w:val="0"/>
                  <w:vAlign w:val="center"/>
                </w:tcPr>
                <w:p w14:paraId="19F064D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76 </w:t>
                  </w:r>
                </w:p>
              </w:tc>
              <w:tc>
                <w:tcPr>
                  <w:tcW w:w="751" w:type="dxa"/>
                  <w:tcBorders>
                    <w:tl2br w:val="nil"/>
                    <w:tr2bl w:val="nil"/>
                  </w:tcBorders>
                  <w:noWrap w:val="0"/>
                  <w:vAlign w:val="center"/>
                </w:tcPr>
                <w:p w14:paraId="7CEC745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70 </w:t>
                  </w:r>
                </w:p>
              </w:tc>
              <w:tc>
                <w:tcPr>
                  <w:tcW w:w="751" w:type="dxa"/>
                  <w:tcBorders>
                    <w:tl2br w:val="nil"/>
                    <w:tr2bl w:val="nil"/>
                  </w:tcBorders>
                  <w:noWrap w:val="0"/>
                  <w:vAlign w:val="center"/>
                </w:tcPr>
                <w:p w14:paraId="10425856">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64 </w:t>
                  </w:r>
                </w:p>
              </w:tc>
              <w:tc>
                <w:tcPr>
                  <w:tcW w:w="751" w:type="dxa"/>
                  <w:tcBorders>
                    <w:tl2br w:val="nil"/>
                    <w:tr2bl w:val="nil"/>
                  </w:tcBorders>
                  <w:noWrap w:val="0"/>
                  <w:vAlign w:val="center"/>
                </w:tcPr>
                <w:p w14:paraId="58BCAC50">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58 </w:t>
                  </w:r>
                </w:p>
              </w:tc>
              <w:tc>
                <w:tcPr>
                  <w:tcW w:w="751" w:type="dxa"/>
                  <w:tcBorders>
                    <w:tl2br w:val="nil"/>
                    <w:tr2bl w:val="nil"/>
                  </w:tcBorders>
                  <w:noWrap w:val="0"/>
                  <w:vAlign w:val="center"/>
                </w:tcPr>
                <w:p w14:paraId="782BD9F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56 </w:t>
                  </w:r>
                </w:p>
              </w:tc>
              <w:tc>
                <w:tcPr>
                  <w:tcW w:w="886" w:type="dxa"/>
                  <w:tcBorders>
                    <w:tl2br w:val="nil"/>
                    <w:tr2bl w:val="nil"/>
                  </w:tcBorders>
                  <w:noWrap w:val="0"/>
                  <w:vAlign w:val="center"/>
                </w:tcPr>
                <w:p w14:paraId="44D7176D">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50 </w:t>
                  </w:r>
                </w:p>
              </w:tc>
              <w:tc>
                <w:tcPr>
                  <w:tcW w:w="900" w:type="dxa"/>
                  <w:tcBorders>
                    <w:right w:val="single" w:color="auto" w:sz="4" w:space="0"/>
                    <w:tl2br w:val="nil"/>
                    <w:tr2bl w:val="nil"/>
                  </w:tcBorders>
                  <w:noWrap w:val="0"/>
                  <w:vAlign w:val="center"/>
                </w:tcPr>
                <w:p w14:paraId="399B9D0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44 </w:t>
                  </w:r>
                </w:p>
              </w:tc>
            </w:tr>
            <w:tr w14:paraId="1602F2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7" w:type="dxa"/>
                  <w:tcBorders>
                    <w:left w:val="single" w:color="auto" w:sz="4" w:space="0"/>
                    <w:tl2br w:val="nil"/>
                    <w:tr2bl w:val="nil"/>
                  </w:tcBorders>
                  <w:noWrap w:val="0"/>
                  <w:vAlign w:val="center"/>
                </w:tcPr>
                <w:p w14:paraId="4447180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卡车</w:t>
                  </w:r>
                </w:p>
              </w:tc>
              <w:tc>
                <w:tcPr>
                  <w:tcW w:w="927" w:type="dxa"/>
                  <w:tcBorders>
                    <w:tl2br w:val="nil"/>
                    <w:tr2bl w:val="nil"/>
                  </w:tcBorders>
                  <w:noWrap w:val="0"/>
                  <w:vAlign w:val="center"/>
                </w:tcPr>
                <w:p w14:paraId="423D654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95 </w:t>
                  </w:r>
                </w:p>
              </w:tc>
              <w:tc>
                <w:tcPr>
                  <w:tcW w:w="743" w:type="dxa"/>
                  <w:tcBorders>
                    <w:tl2br w:val="nil"/>
                    <w:tr2bl w:val="nil"/>
                  </w:tcBorders>
                  <w:noWrap w:val="0"/>
                  <w:vAlign w:val="center"/>
                </w:tcPr>
                <w:p w14:paraId="7D675915">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81 </w:t>
                  </w:r>
                </w:p>
              </w:tc>
              <w:tc>
                <w:tcPr>
                  <w:tcW w:w="751" w:type="dxa"/>
                  <w:tcBorders>
                    <w:tl2br w:val="nil"/>
                    <w:tr2bl w:val="nil"/>
                  </w:tcBorders>
                  <w:noWrap w:val="0"/>
                  <w:vAlign w:val="center"/>
                </w:tcPr>
                <w:p w14:paraId="476CA669">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75 </w:t>
                  </w:r>
                </w:p>
              </w:tc>
              <w:tc>
                <w:tcPr>
                  <w:tcW w:w="751" w:type="dxa"/>
                  <w:tcBorders>
                    <w:tl2br w:val="nil"/>
                    <w:tr2bl w:val="nil"/>
                  </w:tcBorders>
                  <w:noWrap w:val="0"/>
                  <w:vAlign w:val="center"/>
                </w:tcPr>
                <w:p w14:paraId="58B526A3">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69 </w:t>
                  </w:r>
                </w:p>
              </w:tc>
              <w:tc>
                <w:tcPr>
                  <w:tcW w:w="751" w:type="dxa"/>
                  <w:tcBorders>
                    <w:tl2br w:val="nil"/>
                    <w:tr2bl w:val="nil"/>
                  </w:tcBorders>
                  <w:noWrap w:val="0"/>
                  <w:vAlign w:val="center"/>
                </w:tcPr>
                <w:p w14:paraId="6445695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63 </w:t>
                  </w:r>
                </w:p>
              </w:tc>
              <w:tc>
                <w:tcPr>
                  <w:tcW w:w="751" w:type="dxa"/>
                  <w:tcBorders>
                    <w:tl2br w:val="nil"/>
                    <w:tr2bl w:val="nil"/>
                  </w:tcBorders>
                  <w:noWrap w:val="0"/>
                  <w:vAlign w:val="center"/>
                </w:tcPr>
                <w:p w14:paraId="2F807F07">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61 </w:t>
                  </w:r>
                </w:p>
              </w:tc>
              <w:tc>
                <w:tcPr>
                  <w:tcW w:w="886" w:type="dxa"/>
                  <w:tcBorders>
                    <w:tl2br w:val="nil"/>
                    <w:tr2bl w:val="nil"/>
                  </w:tcBorders>
                  <w:noWrap w:val="0"/>
                  <w:vAlign w:val="center"/>
                </w:tcPr>
                <w:p w14:paraId="32019C96">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55 </w:t>
                  </w:r>
                </w:p>
              </w:tc>
              <w:tc>
                <w:tcPr>
                  <w:tcW w:w="900" w:type="dxa"/>
                  <w:tcBorders>
                    <w:right w:val="single" w:color="auto" w:sz="4" w:space="0"/>
                    <w:tl2br w:val="nil"/>
                    <w:tr2bl w:val="nil"/>
                  </w:tcBorders>
                  <w:noWrap w:val="0"/>
                  <w:vAlign w:val="center"/>
                </w:tcPr>
                <w:p w14:paraId="545BD43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49 </w:t>
                  </w:r>
                </w:p>
              </w:tc>
            </w:tr>
            <w:tr w14:paraId="2EE7E2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0" w:type="pct"/>
                  <w:tcBorders>
                    <w:left w:val="single" w:color="auto" w:sz="4" w:space="0"/>
                    <w:tl2br w:val="nil"/>
                    <w:tr2bl w:val="nil"/>
                  </w:tcBorders>
                  <w:noWrap w:val="0"/>
                  <w:vAlign w:val="center"/>
                </w:tcPr>
                <w:p w14:paraId="2BFAD4C4">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叠加贡献值</w:t>
                  </w:r>
                </w:p>
              </w:tc>
              <w:tc>
                <w:tcPr>
                  <w:tcW w:w="927" w:type="dxa"/>
                  <w:tcBorders>
                    <w:tl2br w:val="nil"/>
                    <w:tr2bl w:val="nil"/>
                  </w:tcBorders>
                  <w:noWrap w:val="0"/>
                  <w:vAlign w:val="center"/>
                </w:tcPr>
                <w:p w14:paraId="48668A2F">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103 </w:t>
                  </w:r>
                </w:p>
              </w:tc>
              <w:tc>
                <w:tcPr>
                  <w:tcW w:w="743" w:type="dxa"/>
                  <w:tcBorders>
                    <w:tl2br w:val="nil"/>
                    <w:tr2bl w:val="nil"/>
                  </w:tcBorders>
                  <w:noWrap w:val="0"/>
                  <w:vAlign w:val="center"/>
                </w:tcPr>
                <w:p w14:paraId="34FF9AE5">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89 </w:t>
                  </w:r>
                </w:p>
              </w:tc>
              <w:tc>
                <w:tcPr>
                  <w:tcW w:w="751" w:type="dxa"/>
                  <w:tcBorders>
                    <w:tl2br w:val="nil"/>
                    <w:tr2bl w:val="nil"/>
                  </w:tcBorders>
                  <w:noWrap w:val="0"/>
                  <w:vAlign w:val="center"/>
                </w:tcPr>
                <w:p w14:paraId="24A73769">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83 </w:t>
                  </w:r>
                </w:p>
              </w:tc>
              <w:tc>
                <w:tcPr>
                  <w:tcW w:w="751" w:type="dxa"/>
                  <w:tcBorders>
                    <w:tl2br w:val="nil"/>
                    <w:tr2bl w:val="nil"/>
                  </w:tcBorders>
                  <w:noWrap w:val="0"/>
                  <w:vAlign w:val="center"/>
                </w:tcPr>
                <w:p w14:paraId="6A9A7299">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77 </w:t>
                  </w:r>
                </w:p>
              </w:tc>
              <w:tc>
                <w:tcPr>
                  <w:tcW w:w="751" w:type="dxa"/>
                  <w:tcBorders>
                    <w:tl2br w:val="nil"/>
                    <w:tr2bl w:val="nil"/>
                  </w:tcBorders>
                  <w:noWrap w:val="0"/>
                  <w:vAlign w:val="center"/>
                </w:tcPr>
                <w:p w14:paraId="5F0140A6">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71 </w:t>
                  </w:r>
                </w:p>
              </w:tc>
              <w:tc>
                <w:tcPr>
                  <w:tcW w:w="751" w:type="dxa"/>
                  <w:tcBorders>
                    <w:tl2br w:val="nil"/>
                    <w:tr2bl w:val="nil"/>
                  </w:tcBorders>
                  <w:noWrap w:val="0"/>
                  <w:vAlign w:val="center"/>
                </w:tcPr>
                <w:p w14:paraId="72D49A4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69 </w:t>
                  </w:r>
                </w:p>
              </w:tc>
              <w:tc>
                <w:tcPr>
                  <w:tcW w:w="886" w:type="dxa"/>
                  <w:tcBorders>
                    <w:tl2br w:val="nil"/>
                    <w:tr2bl w:val="nil"/>
                  </w:tcBorders>
                  <w:noWrap w:val="0"/>
                  <w:vAlign w:val="center"/>
                </w:tcPr>
                <w:p w14:paraId="17D4FED0">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63 </w:t>
                  </w:r>
                </w:p>
              </w:tc>
              <w:tc>
                <w:tcPr>
                  <w:tcW w:w="900" w:type="dxa"/>
                  <w:tcBorders>
                    <w:right w:val="single" w:color="auto" w:sz="4" w:space="0"/>
                    <w:tl2br w:val="nil"/>
                    <w:tr2bl w:val="nil"/>
                  </w:tcBorders>
                  <w:noWrap w:val="0"/>
                  <w:vAlign w:val="center"/>
                </w:tcPr>
                <w:p w14:paraId="1DA7ACF0">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 xml:space="preserve">57 </w:t>
                  </w:r>
                </w:p>
              </w:tc>
            </w:tr>
            <w:tr w14:paraId="675117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0" w:type="pct"/>
                  <w:tcBorders>
                    <w:left w:val="single" w:color="auto" w:sz="4" w:space="0"/>
                    <w:bottom w:val="single" w:color="auto" w:sz="4" w:space="0"/>
                    <w:tl2br w:val="nil"/>
                    <w:tr2bl w:val="nil"/>
                  </w:tcBorders>
                  <w:noWrap w:val="0"/>
                  <w:vAlign w:val="center"/>
                </w:tcPr>
                <w:p w14:paraId="5A8DA70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标准值</w:t>
                  </w:r>
                </w:p>
              </w:tc>
              <w:tc>
                <w:tcPr>
                  <w:tcW w:w="3959" w:type="pct"/>
                  <w:gridSpan w:val="8"/>
                  <w:tcBorders>
                    <w:bottom w:val="single" w:color="auto" w:sz="4" w:space="0"/>
                    <w:right w:val="single" w:color="auto" w:sz="4" w:space="0"/>
                    <w:tl2br w:val="nil"/>
                    <w:tr2bl w:val="nil"/>
                  </w:tcBorders>
                  <w:noWrap w:val="0"/>
                  <w:vAlign w:val="center"/>
                </w:tcPr>
                <w:p w14:paraId="54ABF509">
                  <w:pPr>
                    <w:pStyle w:val="58"/>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color w:val="auto"/>
                      <w:kern w:val="0"/>
                      <w:sz w:val="21"/>
                      <w:szCs w:val="21"/>
                      <w:lang w:val="en-US" w:eastAsia="zh-CN"/>
                    </w:rPr>
                    <w:t>昼间70，夜间55</w:t>
                  </w:r>
                </w:p>
              </w:tc>
            </w:tr>
          </w:tbl>
          <w:p w14:paraId="7A4CC9EF">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eastAsia" w:ascii="Times New Roman" w:hAnsi="Times New Roman" w:eastAsia="宋体" w:cs="Times New Roman"/>
                <w:b w:val="0"/>
                <w:bCs w:val="0"/>
                <w:color w:val="auto"/>
                <w:sz w:val="24"/>
                <w:szCs w:val="24"/>
                <w:lang w:val="en-US" w:eastAsia="zh-CN"/>
              </w:rPr>
              <w:t>项目区厂界外50</w:t>
            </w:r>
            <w:r>
              <w:rPr>
                <w:rFonts w:hint="default" w:ascii="Times New Roman" w:hAnsi="Times New Roman" w:eastAsia="宋体" w:cs="Times New Roman"/>
                <w:b w:val="0"/>
                <w:bCs w:val="0"/>
                <w:color w:val="auto"/>
                <w:sz w:val="24"/>
                <w:szCs w:val="24"/>
                <w:lang w:val="en-US" w:eastAsia="zh-CN"/>
              </w:rPr>
              <w:t>m范围内无居民区，项目生产设备噪声对该区域的声环境无影响，仅影响现场操作工人，因此，</w:t>
            </w:r>
            <w:r>
              <w:rPr>
                <w:rFonts w:hint="eastAsia" w:ascii="Times New Roman" w:hAnsi="Times New Roman" w:eastAsia="宋体" w:cs="Times New Roman"/>
                <w:b w:val="0"/>
                <w:bCs w:val="0"/>
                <w:color w:val="auto"/>
                <w:sz w:val="24"/>
                <w:szCs w:val="24"/>
                <w:lang w:val="en-US" w:eastAsia="zh-CN"/>
              </w:rPr>
              <w:t>适宜</w:t>
            </w:r>
            <w:r>
              <w:rPr>
                <w:rFonts w:hint="default" w:ascii="Times New Roman" w:hAnsi="Times New Roman" w:eastAsia="宋体" w:cs="Times New Roman"/>
                <w:b w:val="0"/>
                <w:bCs w:val="0"/>
                <w:color w:val="auto"/>
                <w:sz w:val="24"/>
                <w:szCs w:val="24"/>
                <w:lang w:val="en-US" w:eastAsia="zh-CN"/>
              </w:rPr>
              <w:t>采取加隔声垫或使用低噪设备并加强个人防护，减少受影响程度</w:t>
            </w:r>
            <w:r>
              <w:rPr>
                <w:rFonts w:hint="eastAsia" w:ascii="Times New Roman" w:hAnsi="Times New Roman" w:eastAsia="宋体" w:cs="Times New Roman"/>
                <w:b w:val="0"/>
                <w:bCs w:val="0"/>
                <w:color w:val="auto"/>
                <w:sz w:val="24"/>
                <w:szCs w:val="24"/>
                <w:lang w:val="en-US" w:eastAsia="zh-CN"/>
              </w:rPr>
              <w:t>；</w:t>
            </w:r>
            <w:r>
              <w:rPr>
                <w:rFonts w:hint="eastAsia" w:ascii="Times New Roman" w:hAnsi="Times New Roman" w:cs="Times New Roman"/>
                <w:color w:val="auto"/>
                <w:sz w:val="24"/>
                <w:szCs w:val="24"/>
                <w:lang w:val="en-US" w:eastAsia="zh-CN"/>
              </w:rPr>
              <w:t>项目</w:t>
            </w:r>
            <w:r>
              <w:rPr>
                <w:rFonts w:hint="default" w:ascii="Times New Roman" w:hAnsi="Times New Roman" w:cs="Times New Roman"/>
                <w:color w:val="auto"/>
                <w:sz w:val="24"/>
                <w:szCs w:val="24"/>
              </w:rPr>
              <w:t>施工期较短，产生的噪声仅暂时对局部环境造成影响，随着施工结束影响消失。</w:t>
            </w:r>
          </w:p>
          <w:p w14:paraId="1D4FA4D8">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r>
              <w:rPr>
                <w:rFonts w:hint="eastAsia" w:cs="Times New Roman"/>
                <w:b/>
                <w:bCs/>
                <w:color w:val="auto"/>
                <w:sz w:val="24"/>
                <w:szCs w:val="24"/>
                <w:lang w:val="en-US" w:eastAsia="zh-CN"/>
              </w:rPr>
              <w:t>5、</w:t>
            </w:r>
            <w:r>
              <w:rPr>
                <w:rFonts w:hint="default"/>
                <w:b/>
                <w:bCs/>
                <w:spacing w:val="-4"/>
                <w:sz w:val="24"/>
                <w:szCs w:val="24"/>
              </w:rPr>
              <w:t>施工期固体废物环境影响分析</w:t>
            </w:r>
          </w:p>
          <w:p w14:paraId="78804A5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项目施工期</w:t>
            </w:r>
            <w:r>
              <w:rPr>
                <w:rFonts w:hint="eastAsia" w:ascii="Times New Roman" w:hAnsi="Times New Roman" w:cs="Times New Roman"/>
                <w:color w:val="auto"/>
                <w:sz w:val="24"/>
                <w:szCs w:val="24"/>
              </w:rPr>
              <w:t>产生的固体废物</w:t>
            </w:r>
            <w:r>
              <w:rPr>
                <w:rFonts w:hint="default" w:ascii="Times New Roman" w:hAnsi="Times New Roman" w:cs="Times New Roman"/>
                <w:color w:val="auto"/>
                <w:sz w:val="24"/>
                <w:szCs w:val="24"/>
              </w:rPr>
              <w:t>主要为</w:t>
            </w:r>
            <w:r>
              <w:rPr>
                <w:rFonts w:hint="eastAsia" w:ascii="Times New Roman" w:hAnsi="Times New Roman" w:cs="Times New Roman"/>
                <w:color w:val="auto"/>
                <w:sz w:val="24"/>
                <w:szCs w:val="24"/>
                <w:lang w:val="en-US" w:eastAsia="zh-CN"/>
              </w:rPr>
              <w:t>剥离工程</w:t>
            </w:r>
            <w:r>
              <w:rPr>
                <w:rFonts w:hint="eastAsia" w:ascii="Times New Roman" w:hAnsi="Times New Roman" w:cs="Times New Roman"/>
                <w:color w:val="auto"/>
                <w:sz w:val="24"/>
                <w:szCs w:val="24"/>
              </w:rPr>
              <w:t>产生的土石方，</w:t>
            </w:r>
            <w:r>
              <w:rPr>
                <w:rFonts w:hint="eastAsia" w:ascii="Times New Roman" w:hAnsi="Times New Roman" w:cs="Times New Roman"/>
                <w:color w:val="auto"/>
                <w:sz w:val="24"/>
                <w:szCs w:val="24"/>
                <w:lang w:val="en-US" w:eastAsia="zh-CN"/>
              </w:rPr>
              <w:t>钻探工程</w:t>
            </w:r>
            <w:r>
              <w:rPr>
                <w:rFonts w:hint="eastAsia" w:ascii="Times New Roman" w:hAnsi="Times New Roman" w:cs="Times New Roman"/>
                <w:color w:val="auto"/>
                <w:sz w:val="24"/>
                <w:szCs w:val="24"/>
              </w:rPr>
              <w:t>产生的废弃泥浆</w:t>
            </w:r>
            <w:r>
              <w:rPr>
                <w:rFonts w:hint="eastAsia" w:cs="Times New Roman"/>
                <w:color w:val="auto"/>
                <w:sz w:val="24"/>
                <w:szCs w:val="24"/>
                <w:lang w:val="en-US" w:eastAsia="zh-CN"/>
              </w:rPr>
              <w:t>和施工</w:t>
            </w:r>
            <w:r>
              <w:rPr>
                <w:rFonts w:hint="eastAsia" w:ascii="Times New Roman" w:hAnsi="Times New Roman" w:cs="Times New Roman"/>
                <w:color w:val="auto"/>
                <w:sz w:val="24"/>
                <w:szCs w:val="24"/>
              </w:rPr>
              <w:t>人员产生的生活垃圾。</w:t>
            </w:r>
          </w:p>
          <w:p w14:paraId="72B9202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（1）土石方</w:t>
            </w:r>
          </w:p>
          <w:p w14:paraId="38E8741C">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项目1号子火区和2地子火区剥离工程量合计</w:t>
            </w:r>
            <w:r>
              <w:rPr>
                <w:rFonts w:hint="eastAsia" w:cs="Times New Roman"/>
                <w:color w:val="auto"/>
                <w:sz w:val="24"/>
                <w:szCs w:val="24"/>
                <w:lang w:val="en-US" w:eastAsia="zh-CN"/>
              </w:rPr>
              <w:t>2</w:t>
            </w:r>
            <w:r>
              <w:rPr>
                <w:rFonts w:hint="eastAsia" w:ascii="Times New Roman" w:hAnsi="Times New Roman" w:cs="Times New Roman"/>
                <w:color w:val="auto"/>
                <w:sz w:val="24"/>
                <w:szCs w:val="24"/>
              </w:rPr>
              <w:t>0</w:t>
            </w:r>
            <w:r>
              <w:rPr>
                <w:rFonts w:hint="eastAsia" w:cs="Times New Roman"/>
                <w:color w:val="auto"/>
                <w:sz w:val="24"/>
                <w:szCs w:val="24"/>
                <w:lang w:val="en-US" w:eastAsia="zh-CN"/>
              </w:rPr>
              <w:t>0</w:t>
            </w:r>
            <w:r>
              <w:rPr>
                <w:rFonts w:hint="eastAsia" w:ascii="Times New Roman" w:hAnsi="Times New Roman" w:cs="Times New Roman"/>
                <w:color w:val="auto"/>
                <w:sz w:val="24"/>
                <w:szCs w:val="24"/>
              </w:rPr>
              <w:t>00m</w:t>
            </w:r>
            <w:r>
              <w:rPr>
                <w:rFonts w:hint="eastAsia"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，3号子火区不涉及剥离工程。</w:t>
            </w:r>
            <w:r>
              <w:rPr>
                <w:rFonts w:hint="eastAsia" w:cs="Times New Roman"/>
                <w:color w:val="auto"/>
                <w:kern w:val="0"/>
                <w:sz w:val="24"/>
                <w:szCs w:val="24"/>
                <w:highlight w:val="none"/>
                <w:lang w:val="en-US" w:eastAsia="zh-CN"/>
              </w:rPr>
              <w:t>剥离工程剥离土方不外排，剥离台阶土方直接向低处甩方自然堆弃，不设置排土场</w:t>
            </w:r>
            <w:r>
              <w:rPr>
                <w:rFonts w:hint="eastAsia" w:ascii="Times New Roman" w:hAnsi="Times New Roman" w:cs="Times New Roman"/>
                <w:color w:val="auto"/>
                <w:sz w:val="24"/>
                <w:szCs w:val="24"/>
                <w:lang w:bidi="ar"/>
              </w:rPr>
              <w:t>。</w:t>
            </w:r>
            <w:r>
              <w:rPr>
                <w:rFonts w:hint="eastAsia" w:ascii="Times New Roman" w:hAnsi="Times New Roman" w:eastAsia="宋体" w:cs="Times New Roman"/>
                <w:color w:val="auto"/>
                <w:sz w:val="24"/>
                <w:szCs w:val="24"/>
                <w:lang w:val="en-US" w:eastAsia="zh-CN" w:bidi="ar"/>
              </w:rPr>
              <w:t>土石方堆放限制在火区治理范围内</w:t>
            </w:r>
            <w:r>
              <w:rPr>
                <w:rFonts w:hint="eastAsia" w:cs="Times New Roman"/>
                <w:color w:val="auto"/>
                <w:sz w:val="24"/>
                <w:szCs w:val="24"/>
                <w:lang w:val="en-US" w:eastAsia="zh-CN" w:bidi="ar"/>
              </w:rPr>
              <w:t>，</w:t>
            </w:r>
            <w:r>
              <w:rPr>
                <w:rFonts w:hint="eastAsia" w:ascii="Times New Roman" w:hAnsi="Times New Roman" w:cs="Times New Roman"/>
                <w:color w:val="auto"/>
                <w:sz w:val="24"/>
                <w:szCs w:val="24"/>
                <w:lang w:val="en-US" w:eastAsia="zh-CN"/>
              </w:rPr>
              <w:t>土石方</w:t>
            </w:r>
            <w:r>
              <w:rPr>
                <w:rFonts w:hint="eastAsia" w:ascii="Times New Roman" w:hAnsi="Times New Roman" w:cs="Times New Roman"/>
                <w:color w:val="auto"/>
                <w:sz w:val="24"/>
                <w:szCs w:val="24"/>
              </w:rPr>
              <w:t>不会对项目区及周边环境产生较大环境影响。</w:t>
            </w:r>
            <w:r>
              <w:rPr>
                <w:rFonts w:hint="eastAsia" w:ascii="Times New Roman" w:hAnsi="Times New Roman" w:eastAsia="宋体" w:cs="Times New Roman"/>
                <w:b w:val="0"/>
                <w:bCs w:val="0"/>
                <w:color w:val="auto"/>
                <w:sz w:val="24"/>
                <w:szCs w:val="24"/>
                <w:highlight w:val="none"/>
                <w:lang w:val="en-US" w:eastAsia="zh-CN"/>
              </w:rPr>
              <w:t>根据《固体废物分类与代码目录》（生态环境部</w:t>
            </w:r>
            <w:r>
              <w:rPr>
                <w:rFonts w:hint="default" w:ascii="Times New Roman" w:hAnsi="Times New Roman" w:eastAsia="宋体" w:cs="Times New Roman"/>
                <w:b w:val="0"/>
                <w:bCs w:val="0"/>
                <w:color w:val="auto"/>
                <w:kern w:val="0"/>
                <w:sz w:val="24"/>
                <w:szCs w:val="24"/>
                <w:lang w:val="en-US" w:eastAsia="zh-CN" w:bidi="ar"/>
              </w:rPr>
              <w:t>公告2024年第4号</w:t>
            </w:r>
            <w:r>
              <w:rPr>
                <w:rFonts w:hint="eastAsia" w:ascii="Times New Roman" w:hAnsi="Times New Roman" w:eastAsia="宋体" w:cs="Times New Roman"/>
                <w:b w:val="0"/>
                <w:bCs w:val="0"/>
                <w:color w:val="auto"/>
                <w:sz w:val="24"/>
                <w:szCs w:val="24"/>
                <w:highlight w:val="none"/>
                <w:lang w:val="en-US" w:eastAsia="zh-CN"/>
              </w:rPr>
              <w:t>），项目产生的土石方属于SW70工程渣土非特定行业中的“工程渣土”，废物代码为900-001-S70。</w:t>
            </w:r>
          </w:p>
          <w:p w14:paraId="19467317">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cs="Times New Roman"/>
                <w:color w:val="auto"/>
                <w:sz w:val="24"/>
                <w:szCs w:val="24"/>
              </w:rPr>
            </w:pPr>
          </w:p>
          <w:p w14:paraId="18ABBAF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w:t>
            </w:r>
            <w:r>
              <w:rPr>
                <w:rFonts w:hint="eastAsia" w:cs="Times New Roman"/>
                <w:color w:val="auto"/>
                <w:sz w:val="24"/>
                <w:szCs w:val="24"/>
                <w:lang w:val="en-US" w:eastAsia="zh-CN"/>
              </w:rPr>
              <w:t>2</w:t>
            </w:r>
            <w:r>
              <w:rPr>
                <w:rFonts w:hint="eastAsia" w:ascii="Times New Roman" w:hAnsi="Times New Roman" w:cs="Times New Roman"/>
                <w:color w:val="auto"/>
                <w:sz w:val="24"/>
                <w:szCs w:val="24"/>
              </w:rPr>
              <w:t>）生活垃圾</w:t>
            </w:r>
          </w:p>
          <w:p w14:paraId="531CFA07">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w:t>
            </w:r>
            <w:r>
              <w:rPr>
                <w:rFonts w:hint="eastAsia" w:ascii="Times New Roman" w:hAnsi="Times New Roman" w:cs="Times New Roman"/>
                <w:color w:val="auto"/>
                <w:sz w:val="24"/>
                <w:szCs w:val="24"/>
                <w:highlight w:val="none"/>
                <w:lang w:val="en-US" w:eastAsia="zh-CN"/>
              </w:rPr>
              <w:t>施工</w:t>
            </w:r>
            <w:r>
              <w:rPr>
                <w:rFonts w:hint="eastAsia" w:ascii="Times New Roman" w:hAnsi="Times New Roman" w:cs="Times New Roman"/>
                <w:color w:val="auto"/>
                <w:sz w:val="24"/>
                <w:szCs w:val="24"/>
                <w:highlight w:val="none"/>
              </w:rPr>
              <w:t>期工作</w:t>
            </w:r>
            <w:r>
              <w:rPr>
                <w:rFonts w:hint="default" w:ascii="Times New Roman" w:hAnsi="Times New Roman" w:cs="Times New Roman"/>
                <w:color w:val="auto"/>
                <w:sz w:val="24"/>
                <w:szCs w:val="24"/>
                <w:highlight w:val="none"/>
              </w:rPr>
              <w:t>人员</w:t>
            </w:r>
            <w:r>
              <w:rPr>
                <w:rFonts w:hint="eastAsia" w:ascii="Times New Roman" w:hAnsi="Times New Roman" w:cs="Times New Roman"/>
                <w:color w:val="auto"/>
                <w:sz w:val="24"/>
                <w:szCs w:val="24"/>
                <w:highlight w:val="none"/>
              </w:rPr>
              <w:t>约</w:t>
            </w:r>
            <w:r>
              <w:rPr>
                <w:rFonts w:hint="eastAsia" w:cs="Times New Roman"/>
                <w:color w:val="auto"/>
                <w:sz w:val="24"/>
                <w:szCs w:val="24"/>
                <w:highlight w:val="none"/>
                <w:lang w:val="en-US" w:eastAsia="zh-CN"/>
              </w:rPr>
              <w:t>45</w:t>
            </w:r>
            <w:r>
              <w:rPr>
                <w:rFonts w:hint="default" w:ascii="Times New Roman" w:hAnsi="Times New Roman" w:cs="Times New Roman"/>
                <w:color w:val="auto"/>
                <w:sz w:val="24"/>
                <w:szCs w:val="24"/>
                <w:highlight w:val="none"/>
              </w:rPr>
              <w:t>人，</w:t>
            </w:r>
            <w:r>
              <w:rPr>
                <w:rFonts w:hint="eastAsia" w:cs="Times New Roman"/>
                <w:color w:val="auto"/>
                <w:sz w:val="24"/>
                <w:szCs w:val="24"/>
                <w:highlight w:val="none"/>
                <w:lang w:val="en-US" w:eastAsia="zh-CN"/>
              </w:rPr>
              <w:t>外业</w:t>
            </w:r>
            <w:r>
              <w:rPr>
                <w:rFonts w:hint="eastAsia" w:ascii="Times New Roman" w:hAnsi="Times New Roman" w:cs="Times New Roman"/>
                <w:color w:val="auto"/>
                <w:sz w:val="24"/>
                <w:szCs w:val="24"/>
                <w:highlight w:val="none"/>
                <w:lang w:val="en-US" w:eastAsia="zh-CN"/>
              </w:rPr>
              <w:t>施工</w:t>
            </w:r>
            <w:r>
              <w:rPr>
                <w:rFonts w:hint="default" w:ascii="Times New Roman" w:hAnsi="Times New Roman" w:cs="Times New Roman"/>
                <w:color w:val="auto"/>
                <w:sz w:val="24"/>
                <w:szCs w:val="24"/>
                <w:highlight w:val="none"/>
              </w:rPr>
              <w:t>期</w:t>
            </w:r>
            <w:r>
              <w:rPr>
                <w:rFonts w:hint="eastAsia" w:cs="Times New Roman"/>
                <w:color w:val="auto"/>
                <w:sz w:val="24"/>
                <w:szCs w:val="24"/>
                <w:highlight w:val="none"/>
                <w:lang w:val="en-US" w:eastAsia="zh-CN"/>
              </w:rPr>
              <w:t>180</w:t>
            </w:r>
            <w:r>
              <w:rPr>
                <w:rFonts w:hint="default" w:ascii="Times New Roman" w:hAnsi="Times New Roman" w:cs="Times New Roman"/>
                <w:color w:val="auto"/>
                <w:sz w:val="24"/>
                <w:szCs w:val="24"/>
                <w:highlight w:val="none"/>
              </w:rPr>
              <w:t>天，</w:t>
            </w:r>
            <w:r>
              <w:rPr>
                <w:rFonts w:hint="default" w:ascii="Times New Roman" w:hAnsi="Times New Roman" w:cs="Times New Roman"/>
                <w:color w:val="auto"/>
                <w:sz w:val="24"/>
                <w:szCs w:val="24"/>
                <w:highlight w:val="none"/>
                <w:lang w:eastAsia="zh-CN"/>
              </w:rPr>
              <w:t>生活垃圾产生量按每人0.5kg/d计算，生活垃圾量为</w:t>
            </w:r>
            <w:r>
              <w:rPr>
                <w:rFonts w:hint="eastAsia" w:cs="Times New Roman"/>
                <w:color w:val="auto"/>
                <w:sz w:val="24"/>
                <w:szCs w:val="24"/>
                <w:highlight w:val="none"/>
                <w:lang w:val="en-US" w:eastAsia="zh-CN"/>
              </w:rPr>
              <w:t>4.05</w:t>
            </w:r>
            <w:r>
              <w:rPr>
                <w:rFonts w:hint="default" w:ascii="Times New Roman" w:hAnsi="Times New Roman" w:cs="Times New Roman"/>
                <w:color w:val="auto"/>
                <w:sz w:val="24"/>
                <w:szCs w:val="24"/>
                <w:highlight w:val="none"/>
                <w:lang w:eastAsia="zh-CN"/>
              </w:rPr>
              <w:t>t/a</w:t>
            </w:r>
            <w:r>
              <w:rPr>
                <w:rFonts w:hint="eastAsia" w:cs="Times New Roman"/>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lang w:val="en-US" w:eastAsia="zh-CN"/>
              </w:rPr>
              <w:t>根据《固体废物分类与代码目录》（生态环境部</w:t>
            </w:r>
            <w:r>
              <w:rPr>
                <w:rFonts w:hint="default" w:ascii="Times New Roman" w:hAnsi="Times New Roman" w:eastAsia="宋体" w:cs="Times New Roman"/>
                <w:b w:val="0"/>
                <w:bCs w:val="0"/>
                <w:color w:val="auto"/>
                <w:kern w:val="0"/>
                <w:sz w:val="24"/>
                <w:szCs w:val="24"/>
                <w:lang w:val="en-US" w:eastAsia="zh-CN" w:bidi="ar"/>
              </w:rPr>
              <w:t>公告2024年第4号</w:t>
            </w:r>
            <w:r>
              <w:rPr>
                <w:rFonts w:hint="eastAsia" w:ascii="Times New Roman" w:hAnsi="Times New Roman" w:eastAsia="宋体" w:cs="Times New Roman"/>
                <w:b w:val="0"/>
                <w:bCs w:val="0"/>
                <w:color w:val="auto"/>
                <w:sz w:val="24"/>
                <w:szCs w:val="24"/>
                <w:highlight w:val="none"/>
                <w:lang w:val="en-US" w:eastAsia="zh-CN"/>
              </w:rPr>
              <w:t>），属于SW64其他垃圾非特定行业中的“以上之外的生活垃圾”，废物代码为900-099-S64。</w:t>
            </w:r>
            <w:r>
              <w:rPr>
                <w:rFonts w:hint="eastAsia" w:ascii="Times New Roman" w:hAnsi="Times New Roman" w:eastAsia="宋体" w:cs="Times New Roman"/>
                <w:color w:val="auto"/>
                <w:sz w:val="24"/>
                <w:szCs w:val="24"/>
                <w:lang w:val="en-US" w:eastAsia="zh-CN"/>
              </w:rPr>
              <w:t>生活垃圾统一定点收集，委托环卫部门拉运至当地生活垃圾填埋场处理，</w:t>
            </w:r>
            <w:r>
              <w:rPr>
                <w:rFonts w:hint="default" w:ascii="Times New Roman" w:hAnsi="Times New Roman" w:eastAsia="宋体" w:cs="Times New Roman"/>
                <w:color w:val="auto"/>
                <w:sz w:val="24"/>
                <w:szCs w:val="24"/>
              </w:rPr>
              <w:t>对</w:t>
            </w:r>
            <w:r>
              <w:rPr>
                <w:rFonts w:hint="eastAsia" w:ascii="Times New Roman" w:hAnsi="Times New Roman" w:eastAsia="宋体" w:cs="Times New Roman"/>
                <w:color w:val="auto"/>
                <w:sz w:val="24"/>
                <w:szCs w:val="24"/>
              </w:rPr>
              <w:t>项目工作区及</w:t>
            </w:r>
            <w:r>
              <w:rPr>
                <w:rFonts w:hint="default" w:ascii="Times New Roman" w:hAnsi="Times New Roman" w:eastAsia="宋体" w:cs="Times New Roman"/>
                <w:color w:val="auto"/>
                <w:sz w:val="24"/>
                <w:szCs w:val="24"/>
              </w:rPr>
              <w:t>周围环境造成</w:t>
            </w:r>
            <w:r>
              <w:rPr>
                <w:rFonts w:hint="eastAsia" w:ascii="Times New Roman" w:hAnsi="Times New Roman" w:eastAsia="宋体" w:cs="Times New Roman"/>
                <w:color w:val="auto"/>
                <w:sz w:val="24"/>
                <w:szCs w:val="24"/>
              </w:rPr>
              <w:t>的</w:t>
            </w:r>
            <w:r>
              <w:rPr>
                <w:rFonts w:hint="default" w:ascii="Times New Roman" w:hAnsi="Times New Roman" w:eastAsia="宋体" w:cs="Times New Roman"/>
                <w:color w:val="auto"/>
                <w:sz w:val="24"/>
                <w:szCs w:val="24"/>
              </w:rPr>
              <w:t>影响</w:t>
            </w:r>
            <w:r>
              <w:rPr>
                <w:rFonts w:hint="eastAsia" w:ascii="Times New Roman" w:hAnsi="Times New Roman" w:eastAsia="宋体" w:cs="Times New Roman"/>
                <w:color w:val="auto"/>
                <w:sz w:val="24"/>
                <w:szCs w:val="24"/>
                <w:lang w:val="en-US" w:eastAsia="zh-CN"/>
              </w:rPr>
              <w:t>较小</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施工期产生的固体废物全部得到合理处置，不会对周边环境产生不利影响。</w:t>
            </w:r>
          </w:p>
          <w:p w14:paraId="45DEF83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w:t>
            </w:r>
            <w:r>
              <w:rPr>
                <w:rFonts w:hint="eastAsia" w:cs="Times New Roman"/>
                <w:color w:val="auto"/>
                <w:sz w:val="24"/>
                <w:szCs w:val="24"/>
                <w:lang w:val="en-US" w:eastAsia="zh-CN"/>
              </w:rPr>
              <w:t>3</w:t>
            </w:r>
            <w:r>
              <w:rPr>
                <w:rFonts w:hint="eastAsia" w:cs="Times New Roman"/>
                <w:color w:val="auto"/>
                <w:sz w:val="24"/>
                <w:szCs w:val="24"/>
                <w:lang w:eastAsia="zh-CN"/>
              </w:rPr>
              <w:t>）</w:t>
            </w:r>
            <w:r>
              <w:rPr>
                <w:rFonts w:hint="eastAsia" w:cs="Times New Roman"/>
                <w:color w:val="auto"/>
                <w:sz w:val="24"/>
                <w:szCs w:val="24"/>
                <w:lang w:val="en-US" w:eastAsia="zh-CN"/>
              </w:rPr>
              <w:t>沉淀底泥</w:t>
            </w:r>
          </w:p>
          <w:p w14:paraId="13F1D5B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kern w:val="2"/>
                <w:sz w:val="24"/>
                <w:szCs w:val="24"/>
                <w:lang w:val="en-US" w:eastAsia="zh-CN" w:bidi="ar-SA"/>
              </w:rPr>
              <w:t>项目注浆站制浆设备清洗及注浆管道清洗产生的泥浆废水、</w:t>
            </w:r>
            <w:r>
              <w:rPr>
                <w:rFonts w:hint="eastAsia" w:ascii="Times New Roman" w:hAnsi="Times New Roman" w:cs="Times New Roman"/>
                <w:spacing w:val="-1"/>
                <w:sz w:val="24"/>
                <w:szCs w:val="24"/>
                <w:lang w:val="en-US" w:eastAsia="zh-CN"/>
              </w:rPr>
              <w:t>钻探设备清洗产生的清洗废水等施工废水经沉淀池沉淀后</w:t>
            </w:r>
            <w:r>
              <w:rPr>
                <w:rFonts w:hint="eastAsia" w:ascii="Times New Roman" w:hAnsi="Times New Roman" w:eastAsia="宋体" w:cs="Times New Roman"/>
                <w:color w:val="auto"/>
                <w:kern w:val="2"/>
                <w:sz w:val="24"/>
                <w:szCs w:val="24"/>
                <w:lang w:val="en-US" w:eastAsia="zh-CN" w:bidi="ar-SA"/>
              </w:rPr>
              <w:t>用于施工场地洒水</w:t>
            </w:r>
            <w:r>
              <w:rPr>
                <w:rFonts w:hint="eastAsia" w:ascii="Times New Roman" w:hAnsi="Times New Roman" w:cs="Times New Roman"/>
                <w:spacing w:val="-1"/>
                <w:sz w:val="24"/>
                <w:szCs w:val="24"/>
                <w:lang w:val="en-US" w:eastAsia="zh-CN"/>
              </w:rPr>
              <w:t>，</w:t>
            </w:r>
            <w:r>
              <w:rPr>
                <w:rFonts w:hint="eastAsia" w:cs="Times New Roman"/>
                <w:color w:val="auto"/>
                <w:sz w:val="24"/>
                <w:szCs w:val="24"/>
                <w:lang w:val="en-US" w:eastAsia="zh-CN"/>
              </w:rPr>
              <w:t>底泥暂存于沉淀池内，底泥主要为泥沙，施工结束后沉淀池内底泥用于场地平整。</w:t>
            </w:r>
          </w:p>
          <w:p w14:paraId="4753561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w:t>
            </w:r>
            <w:r>
              <w:rPr>
                <w:rFonts w:hint="eastAsia" w:cs="Times New Roman"/>
                <w:color w:val="auto"/>
                <w:sz w:val="24"/>
                <w:szCs w:val="24"/>
                <w:lang w:val="en-US" w:eastAsia="zh-CN"/>
              </w:rPr>
              <w:t>4</w:t>
            </w:r>
            <w:r>
              <w:rPr>
                <w:rFonts w:hint="eastAsia" w:ascii="Times New Roman" w:hAnsi="Times New Roman" w:cs="Times New Roman"/>
                <w:color w:val="auto"/>
                <w:sz w:val="24"/>
                <w:szCs w:val="24"/>
              </w:rPr>
              <w:t>）危险废物</w:t>
            </w:r>
          </w:p>
          <w:p w14:paraId="20A5CD98">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b w:val="0"/>
                <w:bCs/>
                <w:color w:val="auto"/>
                <w:kern w:val="2"/>
                <w:sz w:val="24"/>
                <w:szCs w:val="24"/>
                <w:highlight w:val="none"/>
                <w:vertAlign w:val="baseline"/>
                <w:lang w:val="en-US" w:eastAsia="zh-CN" w:bidi="ar-SA"/>
              </w:rPr>
            </w:pPr>
            <w:r>
              <w:rPr>
                <w:rFonts w:hint="eastAsia" w:ascii="Times New Roman" w:hAnsi="Times New Roman" w:cs="Times New Roman"/>
                <w:color w:val="auto"/>
                <w:sz w:val="24"/>
                <w:szCs w:val="24"/>
                <w:lang w:val="en-US" w:eastAsia="zh-CN"/>
              </w:rPr>
              <w:t>项目区无维修设施，钻探</w:t>
            </w:r>
            <w:r>
              <w:rPr>
                <w:rFonts w:hint="default" w:ascii="Times New Roman" w:hAnsi="Times New Roman" w:cs="Times New Roman"/>
                <w:color w:val="auto"/>
                <w:sz w:val="24"/>
                <w:szCs w:val="24"/>
              </w:rPr>
              <w:t>设备、</w:t>
            </w:r>
            <w:r>
              <w:rPr>
                <w:rFonts w:hint="eastAsia" w:cs="Times New Roman"/>
                <w:color w:val="auto"/>
                <w:sz w:val="24"/>
                <w:szCs w:val="24"/>
                <w:lang w:val="en-US" w:eastAsia="zh-CN"/>
              </w:rPr>
              <w:t>注浆设备</w:t>
            </w:r>
            <w:r>
              <w:rPr>
                <w:rFonts w:hint="eastAsia" w:ascii="Times New Roman" w:hAnsi="Times New Roman" w:cs="Times New Roman"/>
                <w:color w:val="auto"/>
                <w:sz w:val="24"/>
                <w:szCs w:val="24"/>
                <w:lang w:val="en-US" w:eastAsia="zh-CN"/>
              </w:rPr>
              <w:t>等出现故障后，运至甘河子镇进行维修，不在项目区维修，</w:t>
            </w:r>
            <w:r>
              <w:rPr>
                <w:rFonts w:hint="eastAsia" w:cs="Times New Roman"/>
                <w:color w:val="auto"/>
                <w:sz w:val="24"/>
                <w:szCs w:val="24"/>
                <w:lang w:val="en-US" w:eastAsia="zh-CN"/>
              </w:rPr>
              <w:t>项目不产生废矿物油等危险废物；</w:t>
            </w:r>
            <w:r>
              <w:rPr>
                <w:rFonts w:hint="eastAsia" w:ascii="Times New Roman" w:hAnsi="Times New Roman" w:eastAsia="宋体" w:cs="Times New Roman"/>
                <w:b w:val="0"/>
                <w:bCs/>
                <w:color w:val="auto"/>
                <w:kern w:val="2"/>
                <w:sz w:val="24"/>
                <w:szCs w:val="24"/>
                <w:highlight w:val="none"/>
                <w:vertAlign w:val="baseline"/>
                <w:lang w:val="en-US" w:eastAsia="zh-CN" w:bidi="ar-SA"/>
              </w:rPr>
              <w:t>挖掘机、装载机等机械设备及柴油发电机用油，由当地供油公司负责运输，废油桶由供油公司回收利用，不在项目区贮存。</w:t>
            </w:r>
          </w:p>
          <w:p w14:paraId="2284736A">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cs="Times New Roman"/>
                <w:b/>
                <w:bCs/>
                <w:color w:val="auto"/>
                <w:sz w:val="24"/>
                <w:highlight w:val="none"/>
                <w:lang w:val="en-US" w:eastAsia="zh-CN"/>
              </w:rPr>
            </w:pPr>
            <w:r>
              <w:rPr>
                <w:rFonts w:hint="eastAsia" w:ascii="Times New Roman" w:hAnsi="Times New Roman" w:cs="Times New Roman"/>
                <w:b/>
                <w:bCs/>
                <w:color w:val="auto"/>
                <w:sz w:val="24"/>
                <w:highlight w:val="none"/>
                <w:lang w:val="en-US" w:eastAsia="zh-CN"/>
              </w:rPr>
              <w:t>6、</w:t>
            </w:r>
            <w:r>
              <w:rPr>
                <w:rFonts w:hint="default" w:ascii="Times New Roman" w:hAnsi="Times New Roman" w:cs="Times New Roman"/>
                <w:b/>
                <w:bCs/>
                <w:color w:val="auto"/>
                <w:sz w:val="24"/>
                <w:highlight w:val="none"/>
                <w:lang w:val="en-US" w:eastAsia="zh-CN"/>
              </w:rPr>
              <w:t>施工期地下水及土壤环境影响分析</w:t>
            </w:r>
          </w:p>
          <w:p w14:paraId="753BEE2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（1）项目区所在区域水文地质条件</w:t>
            </w:r>
          </w:p>
          <w:p w14:paraId="68AC1236">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项目所在区域位于博格达山北麓低山丘陵地带，地势南高北低，东高西低。天山之博格达山北麓海拔3600m以上山岳冰川发育，降水较多，气候寒湿，终年积雪，冰雪融水构成区域内地表</w:t>
            </w:r>
            <w:r>
              <w:rPr>
                <w:rFonts w:hint="eastAsia" w:cs="Times New Roman"/>
                <w:color w:val="auto"/>
                <w:sz w:val="24"/>
                <w:szCs w:val="24"/>
                <w:lang w:val="en-US" w:eastAsia="zh-CN"/>
              </w:rPr>
              <w:t>径流</w:t>
            </w:r>
            <w:r>
              <w:rPr>
                <w:rFonts w:hint="eastAsia" w:ascii="Times New Roman" w:hAnsi="Times New Roman" w:eastAsia="宋体" w:cs="Times New Roman"/>
                <w:color w:val="auto"/>
                <w:sz w:val="24"/>
                <w:szCs w:val="24"/>
                <w:lang w:val="en-US" w:eastAsia="zh-CN"/>
              </w:rPr>
              <w:t>的主要补给源，也是地下水的间接补给源。井田内含水层可按其含水特性分为下侏罗统八道湾组含煤岩系含（隔）水层、烧变岩裂隙水含水层以及第四系冲洪积松散岩类孔隙透水含（不含）水层。</w:t>
            </w:r>
          </w:p>
          <w:p w14:paraId="58C2E82D">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井田地处准噶尔盆地东南缘之博格达山北麓低山～丘陵地带，地表植被稀疏。地层呈东西向延伸，地形切割剧烈，沟谷发育。基岩大部裸露地表，第四系零星分布。该区气候属大陆性干旱～</w:t>
            </w:r>
            <w:r>
              <w:rPr>
                <w:rFonts w:hint="eastAsia" w:cs="Times New Roman"/>
                <w:color w:val="auto"/>
                <w:sz w:val="24"/>
                <w:szCs w:val="24"/>
                <w:lang w:val="en-US" w:eastAsia="zh-CN"/>
              </w:rPr>
              <w:t>半干旱气候</w:t>
            </w:r>
            <w:r>
              <w:rPr>
                <w:rFonts w:hint="eastAsia" w:ascii="Times New Roman" w:hAnsi="Times New Roman" w:eastAsia="宋体" w:cs="Times New Roman"/>
                <w:color w:val="auto"/>
                <w:sz w:val="24"/>
                <w:szCs w:val="24"/>
                <w:lang w:val="en-US" w:eastAsia="zh-CN"/>
              </w:rPr>
              <w:t>，夏季炎热少雨，冬季干燥寒冷干燥、降水量</w:t>
            </w:r>
            <w:r>
              <w:rPr>
                <w:rFonts w:hint="eastAsia" w:cs="Times New Roman"/>
                <w:color w:val="auto"/>
                <w:sz w:val="24"/>
                <w:szCs w:val="24"/>
                <w:lang w:val="en-US" w:eastAsia="zh-CN"/>
              </w:rPr>
              <w:t>少</w:t>
            </w:r>
            <w:r>
              <w:rPr>
                <w:rFonts w:hint="eastAsia" w:ascii="Times New Roman" w:hAnsi="Times New Roman" w:eastAsia="宋体" w:cs="Times New Roman"/>
                <w:color w:val="auto"/>
                <w:sz w:val="24"/>
                <w:szCs w:val="24"/>
                <w:lang w:val="en-US" w:eastAsia="zh-CN"/>
              </w:rPr>
              <w:t>而蒸发量极大，大气降水对地下水的补给量很少。地表主要河流为井田东界外的甘河子河，该河由南向北横切全部地层，上游常年有水，在河流经过含煤地层段修建有防渗明渠将水引入下游，6～8月份水量最大，一般0.035～0.085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/s，最大洪流量可达0.50m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s，12月至翌年2月为封冻期。博格达山山岳冰川及北坡的冰雪融水，构成区外地表水的主要补充来源，也构成本区地下水的间接补给来源。井田东部边界外的甘河子河水在流迳本区过程中，有一部分通过渗透补给地下含水层，因此本区河流是地下水含水层的主要补给来源。又因本区含煤岩系上部烧变岩石较为破碎，空间裂隙极其发育，具有一定的储水空间，也是良好的透水通道。</w:t>
            </w:r>
          </w:p>
          <w:p w14:paraId="7BA43947">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）钻探工程建设对土壤及地下水环境影响</w:t>
            </w:r>
          </w:p>
          <w:p w14:paraId="2E59F503">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由于各地层岩性、孔隙度不同，对于孔隙度大的地层，在钻探过程中可能会发生钻井液漏失的现象，若漏失地层与含水层之间存在较多的断裂或裂隙，漏失的钻井液就有可能顺着岩层断裂、裂隙进入地下水，造成地下水污染。另外，固井过程中固井液的漏失对地下水也有一定的影响。本项目导管段钻井阶段利用清水泥浆钻井，在套管的保护下能有效地保护浅层地下水；每开钻探结束后通过固井作业封隔地层与套管之间的环形空间，也可降低污染物进入地层的风险；在钻井过</w:t>
            </w:r>
            <w:r>
              <w:rPr>
                <w:rFonts w:hint="eastAsia" w:cs="Times New Roman"/>
                <w:color w:val="auto"/>
                <w:sz w:val="24"/>
                <w:highlight w:val="none"/>
                <w:lang w:val="en-US" w:eastAsia="zh-CN"/>
              </w:rPr>
              <w:t>程中</w:t>
            </w:r>
            <w:r>
              <w:rPr>
                <w:rFonts w:hint="eastAsia" w:ascii="Times New Roman" w:hAnsi="Times New Roman" w:eastAsia="宋体" w:cs="Times New Roman"/>
                <w:color w:val="auto"/>
                <w:sz w:val="24"/>
                <w:highlight w:val="none"/>
                <w:lang w:val="en-US" w:eastAsia="zh-CN"/>
              </w:rPr>
              <w:t>对泥浆进行实时监测，一旦有漏失发生，立即采取堵漏措施。因此，本项目钻井过程对地下水环境的影响较小。</w:t>
            </w:r>
          </w:p>
          <w:p w14:paraId="5B410A09">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在自然状态下，由于存在隔水层，浅层水与深层水很难相互沟通混合。如果隔水层被人为破坏形成孔洞，浅层污染水就会下渗污染深层水，造成地下水串层污染。因此工程施工时必须做好防治地下水串层的措施，项目钻至隔水层，采用速凝水泥迅速封堵隔水层孔洞，防止地下水串层污染。</w:t>
            </w:r>
          </w:p>
          <w:p w14:paraId="4E323870">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综上，通过采取以上防治措施，钻探工程不会对井场周边土壤及地下水环境造成影响。</w:t>
            </w:r>
          </w:p>
          <w:p w14:paraId="3F77DCC7">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textAlignment w:val="auto"/>
              <w:rPr>
                <w:rFonts w:hint="default"/>
                <w:sz w:val="24"/>
                <w:szCs w:val="24"/>
              </w:rPr>
            </w:pPr>
            <w:r>
              <w:rPr>
                <w:rFonts w:hint="default"/>
                <w:spacing w:val="-2"/>
                <w:sz w:val="24"/>
                <w:szCs w:val="24"/>
              </w:rPr>
              <w:t>（</w:t>
            </w:r>
            <w:r>
              <w:rPr>
                <w:rFonts w:hint="eastAsia" w:ascii="Times New Roman" w:hAnsi="Times New Roman" w:eastAsia="宋体" w:cs="Times New Roman"/>
                <w:spacing w:val="-2"/>
                <w:sz w:val="24"/>
                <w:szCs w:val="24"/>
                <w:lang w:val="en-US" w:eastAsia="zh-CN"/>
              </w:rPr>
              <w:t>3</w:t>
            </w:r>
            <w:r>
              <w:rPr>
                <w:rFonts w:hint="default"/>
                <w:spacing w:val="-2"/>
                <w:sz w:val="24"/>
                <w:szCs w:val="24"/>
              </w:rPr>
              <w:t>）注水</w:t>
            </w:r>
            <w:r>
              <w:rPr>
                <w:rFonts w:hint="eastAsia"/>
                <w:spacing w:val="-2"/>
                <w:sz w:val="24"/>
                <w:szCs w:val="24"/>
                <w:lang w:eastAsia="zh-CN"/>
              </w:rPr>
              <w:t>、</w:t>
            </w:r>
            <w:r>
              <w:rPr>
                <w:rFonts w:hint="eastAsia"/>
                <w:spacing w:val="-2"/>
                <w:sz w:val="24"/>
                <w:szCs w:val="24"/>
                <w:lang w:val="en-US" w:eastAsia="zh-CN"/>
              </w:rPr>
              <w:t>注浆</w:t>
            </w:r>
            <w:r>
              <w:rPr>
                <w:rFonts w:hint="default"/>
                <w:spacing w:val="-2"/>
                <w:sz w:val="24"/>
                <w:szCs w:val="24"/>
              </w:rPr>
              <w:t>工程对地下水环境的影响</w:t>
            </w:r>
          </w:p>
          <w:p w14:paraId="3B7E69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spacing w:val="-2"/>
                <w:sz w:val="24"/>
                <w:szCs w:val="24"/>
                <w:lang w:val="en-US" w:eastAsia="zh-CN"/>
              </w:rPr>
              <w:t>本项目属于生态环境恢复治理工程，治理过程中无生产废水排放。</w:t>
            </w:r>
            <w:r>
              <w:rPr>
                <w:rFonts w:hint="eastAsia"/>
                <w:spacing w:val="-3"/>
                <w:sz w:val="24"/>
                <w:szCs w:val="24"/>
                <w:lang w:val="en-US" w:eastAsia="zh-CN"/>
              </w:rPr>
              <w:t>本项目1号子火区</w:t>
            </w:r>
            <w:r>
              <w:rPr>
                <w:rFonts w:hint="eastAsia" w:cs="Times New Roman"/>
                <w:color w:val="auto"/>
                <w:sz w:val="24"/>
                <w:szCs w:val="24"/>
                <w:lang w:val="en-US" w:eastAsia="zh-CN"/>
              </w:rPr>
              <w:t>注水</w:t>
            </w:r>
            <w:r>
              <w:rPr>
                <w:rFonts w:hint="eastAsia" w:cs="Times New Roman"/>
                <w:color w:val="auto"/>
                <w:spacing w:val="-1"/>
                <w:sz w:val="24"/>
                <w:szCs w:val="24"/>
                <w:highlight w:val="none"/>
                <w:lang w:val="en-US" w:eastAsia="zh-CN"/>
              </w:rPr>
              <w:t>程量399</w:t>
            </w:r>
            <w:r>
              <w:rPr>
                <w:rFonts w:hint="eastAsia"/>
                <w:spacing w:val="-3"/>
                <w:sz w:val="24"/>
                <w:szCs w:val="24"/>
                <w:lang w:val="en-US" w:eastAsia="zh-CN"/>
              </w:rPr>
              <w:t>m</w:t>
            </w:r>
            <w:r>
              <w:rPr>
                <w:rFonts w:hint="eastAsia"/>
                <w:spacing w:val="-3"/>
                <w:sz w:val="24"/>
                <w:szCs w:val="24"/>
                <w:vertAlign w:val="superscript"/>
                <w:lang w:val="en-US" w:eastAsia="zh-CN"/>
              </w:rPr>
              <w:t>3</w:t>
            </w:r>
            <w:r>
              <w:rPr>
                <w:rFonts w:hint="eastAsia" w:cs="Times New Roman"/>
                <w:color w:val="auto"/>
                <w:spacing w:val="-1"/>
                <w:sz w:val="24"/>
                <w:szCs w:val="24"/>
                <w:highlight w:val="none"/>
                <w:lang w:val="en-US" w:eastAsia="zh-CN"/>
              </w:rPr>
              <w:t>，</w:t>
            </w:r>
            <w:r>
              <w:rPr>
                <w:rFonts w:hint="eastAsia"/>
                <w:spacing w:val="-3"/>
                <w:sz w:val="24"/>
                <w:szCs w:val="24"/>
                <w:lang w:val="en-US" w:eastAsia="zh-CN"/>
              </w:rPr>
              <w:t>2地子火区</w:t>
            </w:r>
            <w:r>
              <w:rPr>
                <w:rFonts w:hint="eastAsia" w:cs="Times New Roman"/>
                <w:color w:val="auto"/>
                <w:sz w:val="24"/>
                <w:szCs w:val="24"/>
                <w:lang w:val="en-US" w:eastAsia="zh-CN"/>
              </w:rPr>
              <w:t>注水</w:t>
            </w:r>
            <w:r>
              <w:rPr>
                <w:rFonts w:hint="eastAsia" w:cs="Times New Roman"/>
                <w:color w:val="auto"/>
                <w:spacing w:val="-1"/>
                <w:sz w:val="24"/>
                <w:szCs w:val="24"/>
                <w:highlight w:val="none"/>
                <w:lang w:val="en-US" w:eastAsia="zh-CN"/>
              </w:rPr>
              <w:t>工程量1256</w:t>
            </w:r>
            <w:r>
              <w:rPr>
                <w:rFonts w:hint="eastAsia"/>
                <w:spacing w:val="-3"/>
                <w:sz w:val="24"/>
                <w:szCs w:val="24"/>
                <w:lang w:val="en-US" w:eastAsia="zh-CN"/>
              </w:rPr>
              <w:t>m</w:t>
            </w:r>
            <w:r>
              <w:rPr>
                <w:rFonts w:hint="eastAsia"/>
                <w:spacing w:val="-3"/>
                <w:sz w:val="24"/>
                <w:szCs w:val="24"/>
                <w:vertAlign w:val="superscript"/>
                <w:lang w:val="en-US" w:eastAsia="zh-CN"/>
              </w:rPr>
              <w:t>3</w:t>
            </w:r>
            <w:r>
              <w:rPr>
                <w:rFonts w:hint="eastAsia" w:cs="Times New Roman"/>
                <w:color w:val="auto"/>
                <w:spacing w:val="-1"/>
                <w:sz w:val="24"/>
                <w:szCs w:val="24"/>
                <w:highlight w:val="none"/>
                <w:lang w:val="en-US" w:eastAsia="zh-CN"/>
              </w:rPr>
              <w:t>，</w:t>
            </w:r>
            <w:r>
              <w:rPr>
                <w:rFonts w:hint="eastAsia"/>
                <w:spacing w:val="-3"/>
                <w:sz w:val="24"/>
                <w:szCs w:val="24"/>
                <w:lang w:val="en-US" w:eastAsia="zh-CN"/>
              </w:rPr>
              <w:t>3号子火区</w:t>
            </w:r>
            <w:r>
              <w:rPr>
                <w:rFonts w:hint="eastAsia" w:cs="Times New Roman"/>
                <w:color w:val="auto"/>
                <w:sz w:val="24"/>
                <w:szCs w:val="24"/>
                <w:lang w:val="en-US" w:eastAsia="zh-CN"/>
              </w:rPr>
              <w:t>注水</w:t>
            </w:r>
            <w:r>
              <w:rPr>
                <w:rFonts w:hint="eastAsia" w:cs="Times New Roman"/>
                <w:color w:val="auto"/>
                <w:spacing w:val="-1"/>
                <w:sz w:val="24"/>
                <w:szCs w:val="24"/>
                <w:highlight w:val="none"/>
                <w:lang w:val="en-US" w:eastAsia="zh-CN"/>
              </w:rPr>
              <w:t>工程量106</w:t>
            </w:r>
            <w:r>
              <w:rPr>
                <w:rFonts w:hint="eastAsia"/>
                <w:spacing w:val="-3"/>
                <w:sz w:val="24"/>
                <w:szCs w:val="24"/>
                <w:lang w:val="en-US" w:eastAsia="zh-CN"/>
              </w:rPr>
              <w:t>m</w:t>
            </w:r>
            <w:r>
              <w:rPr>
                <w:rFonts w:hint="eastAsia"/>
                <w:spacing w:val="-3"/>
                <w:sz w:val="24"/>
                <w:szCs w:val="24"/>
                <w:vertAlign w:val="superscript"/>
                <w:lang w:val="en-US" w:eastAsia="zh-CN"/>
              </w:rPr>
              <w:t>3</w:t>
            </w:r>
            <w:r>
              <w:rPr>
                <w:rFonts w:hint="eastAsia" w:cs="Times New Roman"/>
                <w:color w:val="auto"/>
                <w:spacing w:val="-1"/>
                <w:sz w:val="24"/>
                <w:szCs w:val="24"/>
                <w:highlight w:val="none"/>
                <w:lang w:val="en-US" w:eastAsia="zh-CN"/>
              </w:rPr>
              <w:t>，</w:t>
            </w:r>
            <w:r>
              <w:rPr>
                <w:rFonts w:hint="eastAsia"/>
                <w:spacing w:val="-2"/>
                <w:sz w:val="24"/>
                <w:szCs w:val="24"/>
                <w:lang w:val="en-US" w:eastAsia="zh-CN"/>
              </w:rPr>
              <w:t>总</w:t>
            </w:r>
            <w:r>
              <w:rPr>
                <w:rFonts w:hint="default"/>
                <w:spacing w:val="-2"/>
                <w:sz w:val="24"/>
                <w:szCs w:val="24"/>
              </w:rPr>
              <w:t>注水</w:t>
            </w:r>
            <w:r>
              <w:rPr>
                <w:rFonts w:hint="default" w:ascii="宋体" w:hAnsi="宋体" w:eastAsia="宋体" w:cs="宋体"/>
                <w:spacing w:val="-1"/>
                <w:sz w:val="24"/>
                <w:szCs w:val="24"/>
              </w:rPr>
              <w:t>量为</w:t>
            </w:r>
            <w:r>
              <w:rPr>
                <w:rFonts w:hint="default" w:ascii="Times New Roman" w:hAnsi="Times New Roman" w:eastAsia="宋体" w:cs="Times New Roman"/>
                <w:spacing w:val="-1"/>
                <w:sz w:val="24"/>
                <w:szCs w:val="24"/>
                <w:lang w:val="en-US" w:eastAsia="zh-CN"/>
              </w:rPr>
              <w:t>1760</w:t>
            </w:r>
            <w:r>
              <w:rPr>
                <w:rFonts w:hint="default" w:ascii="Times New Roman" w:hAnsi="Times New Roman" w:eastAsia="宋体" w:cs="Times New Roman"/>
                <w:spacing w:val="-1"/>
                <w:sz w:val="24"/>
                <w:szCs w:val="24"/>
              </w:rPr>
              <w:t>m</w:t>
            </w:r>
            <w:r>
              <w:rPr>
                <w:rFonts w:hint="default" w:ascii="Times New Roman" w:hAnsi="Times New Roman" w:eastAsia="宋体" w:cs="Times New Roman"/>
                <w:spacing w:val="-1"/>
                <w:sz w:val="24"/>
                <w:szCs w:val="24"/>
                <w:vertAlign w:val="superscript"/>
              </w:rPr>
              <w:t>3</w:t>
            </w:r>
            <w:r>
              <w:rPr>
                <w:rFonts w:hint="eastAsia" w:cs="Times New Roman"/>
                <w:spacing w:val="-1"/>
                <w:sz w:val="24"/>
                <w:szCs w:val="24"/>
                <w:lang w:eastAsia="zh-CN"/>
              </w:rPr>
              <w:t>。</w:t>
            </w:r>
            <w:r>
              <w:rPr>
                <w:rFonts w:hint="eastAsia"/>
                <w:spacing w:val="-3"/>
                <w:sz w:val="24"/>
                <w:szCs w:val="24"/>
                <w:lang w:val="en-US" w:eastAsia="zh-CN"/>
              </w:rPr>
              <w:t>1号子火区</w:t>
            </w:r>
            <w:r>
              <w:rPr>
                <w:rFonts w:hint="eastAsia" w:cs="Times New Roman"/>
                <w:color w:val="auto"/>
                <w:sz w:val="24"/>
                <w:szCs w:val="24"/>
                <w:lang w:val="en-US" w:eastAsia="zh-CN"/>
              </w:rPr>
              <w:t>注浆</w:t>
            </w:r>
            <w:r>
              <w:rPr>
                <w:rFonts w:hint="eastAsia" w:cs="Times New Roman"/>
                <w:color w:val="auto"/>
                <w:spacing w:val="-1"/>
                <w:sz w:val="24"/>
                <w:szCs w:val="24"/>
                <w:highlight w:val="none"/>
                <w:lang w:val="en-US" w:eastAsia="zh-CN"/>
              </w:rPr>
              <w:t>工程量9098</w:t>
            </w:r>
            <w:r>
              <w:rPr>
                <w:rFonts w:hint="eastAsia"/>
                <w:spacing w:val="-3"/>
                <w:sz w:val="24"/>
                <w:szCs w:val="24"/>
                <w:lang w:val="en-US" w:eastAsia="zh-CN"/>
              </w:rPr>
              <w:t>m</w:t>
            </w:r>
            <w:r>
              <w:rPr>
                <w:rFonts w:hint="eastAsia"/>
                <w:spacing w:val="-3"/>
                <w:sz w:val="24"/>
                <w:szCs w:val="24"/>
                <w:vertAlign w:val="superscript"/>
                <w:lang w:val="en-US" w:eastAsia="zh-CN"/>
              </w:rPr>
              <w:t>3</w:t>
            </w:r>
            <w:r>
              <w:rPr>
                <w:rFonts w:hint="eastAsia" w:cs="Times New Roman"/>
                <w:color w:val="auto"/>
                <w:spacing w:val="-1"/>
                <w:sz w:val="24"/>
                <w:szCs w:val="24"/>
                <w:highlight w:val="none"/>
                <w:lang w:val="en-US" w:eastAsia="zh-CN"/>
              </w:rPr>
              <w:t>，</w:t>
            </w:r>
            <w:r>
              <w:rPr>
                <w:rFonts w:hint="eastAsia"/>
                <w:spacing w:val="-3"/>
                <w:sz w:val="24"/>
                <w:szCs w:val="24"/>
                <w:lang w:val="en-US" w:eastAsia="zh-CN"/>
              </w:rPr>
              <w:t>2地子火区</w:t>
            </w:r>
            <w:r>
              <w:rPr>
                <w:rFonts w:hint="eastAsia" w:cs="Times New Roman"/>
                <w:color w:val="auto"/>
                <w:sz w:val="24"/>
                <w:szCs w:val="24"/>
                <w:lang w:val="en-US" w:eastAsia="zh-CN"/>
              </w:rPr>
              <w:t>注浆</w:t>
            </w:r>
            <w:r>
              <w:rPr>
                <w:rFonts w:hint="eastAsia" w:cs="Times New Roman"/>
                <w:color w:val="auto"/>
                <w:spacing w:val="-1"/>
                <w:sz w:val="24"/>
                <w:szCs w:val="24"/>
                <w:highlight w:val="none"/>
                <w:lang w:val="en-US" w:eastAsia="zh-CN"/>
              </w:rPr>
              <w:t>工程量9960</w:t>
            </w:r>
            <w:r>
              <w:rPr>
                <w:rFonts w:hint="eastAsia"/>
                <w:spacing w:val="-3"/>
                <w:sz w:val="24"/>
                <w:szCs w:val="24"/>
                <w:lang w:val="en-US" w:eastAsia="zh-CN"/>
              </w:rPr>
              <w:t>m</w:t>
            </w:r>
            <w:r>
              <w:rPr>
                <w:rFonts w:hint="eastAsia"/>
                <w:spacing w:val="-3"/>
                <w:sz w:val="24"/>
                <w:szCs w:val="24"/>
                <w:vertAlign w:val="superscript"/>
                <w:lang w:val="en-US" w:eastAsia="zh-CN"/>
              </w:rPr>
              <w:t>3</w:t>
            </w:r>
            <w:r>
              <w:rPr>
                <w:rFonts w:hint="eastAsia" w:cs="Times New Roman"/>
                <w:color w:val="auto"/>
                <w:spacing w:val="-1"/>
                <w:sz w:val="24"/>
                <w:szCs w:val="24"/>
                <w:highlight w:val="none"/>
                <w:lang w:val="en-US" w:eastAsia="zh-CN"/>
              </w:rPr>
              <w:t>，</w:t>
            </w:r>
            <w:r>
              <w:rPr>
                <w:rFonts w:hint="eastAsia"/>
                <w:spacing w:val="-3"/>
                <w:sz w:val="24"/>
                <w:szCs w:val="24"/>
                <w:lang w:val="en-US" w:eastAsia="zh-CN"/>
              </w:rPr>
              <w:t>3号子火区</w:t>
            </w:r>
            <w:r>
              <w:rPr>
                <w:rFonts w:hint="eastAsia" w:cs="Times New Roman"/>
                <w:color w:val="auto"/>
                <w:sz w:val="24"/>
                <w:szCs w:val="24"/>
                <w:lang w:val="en-US" w:eastAsia="zh-CN"/>
              </w:rPr>
              <w:t>注浆</w:t>
            </w:r>
            <w:r>
              <w:rPr>
                <w:rFonts w:hint="eastAsia" w:cs="Times New Roman"/>
                <w:color w:val="auto"/>
                <w:spacing w:val="-1"/>
                <w:sz w:val="24"/>
                <w:szCs w:val="24"/>
                <w:highlight w:val="none"/>
                <w:lang w:val="en-US" w:eastAsia="zh-CN"/>
              </w:rPr>
              <w:t>工程量2628</w:t>
            </w:r>
            <w:r>
              <w:rPr>
                <w:rFonts w:hint="eastAsia"/>
                <w:spacing w:val="-3"/>
                <w:sz w:val="24"/>
                <w:szCs w:val="24"/>
                <w:lang w:val="en-US" w:eastAsia="zh-CN"/>
              </w:rPr>
              <w:t>m</w:t>
            </w:r>
            <w:r>
              <w:rPr>
                <w:rFonts w:hint="eastAsia"/>
                <w:spacing w:val="-3"/>
                <w:sz w:val="24"/>
                <w:szCs w:val="24"/>
                <w:vertAlign w:val="superscript"/>
                <w:lang w:val="en-US" w:eastAsia="zh-CN"/>
              </w:rPr>
              <w:t>3</w:t>
            </w:r>
            <w:r>
              <w:rPr>
                <w:rFonts w:hint="eastAsia" w:cs="Times New Roman"/>
                <w:color w:val="auto"/>
                <w:spacing w:val="-1"/>
                <w:sz w:val="24"/>
                <w:szCs w:val="24"/>
                <w:highlight w:val="none"/>
                <w:lang w:val="en-US" w:eastAsia="zh-CN"/>
              </w:rPr>
              <w:t>，</w:t>
            </w:r>
            <w:r>
              <w:rPr>
                <w:rFonts w:hint="eastAsia"/>
                <w:spacing w:val="-2"/>
                <w:sz w:val="24"/>
                <w:szCs w:val="24"/>
                <w:lang w:val="en-US" w:eastAsia="zh-CN"/>
              </w:rPr>
              <w:t>总</w:t>
            </w:r>
            <w:r>
              <w:rPr>
                <w:rFonts w:hint="eastAsia" w:cs="Times New Roman"/>
                <w:color w:val="auto"/>
                <w:sz w:val="24"/>
                <w:szCs w:val="24"/>
                <w:lang w:val="en-US" w:eastAsia="zh-CN"/>
              </w:rPr>
              <w:t>注浆量</w:t>
            </w:r>
            <w:r>
              <w:rPr>
                <w:rFonts w:hint="default" w:ascii="宋体" w:hAnsi="宋体" w:eastAsia="宋体" w:cs="宋体"/>
                <w:spacing w:val="-1"/>
                <w:sz w:val="24"/>
                <w:szCs w:val="24"/>
              </w:rPr>
              <w:t>为</w:t>
            </w:r>
            <w:r>
              <w:rPr>
                <w:rFonts w:hint="eastAsia" w:cs="Times New Roman"/>
                <w:b w:val="0"/>
                <w:bCs w:val="0"/>
                <w:color w:val="auto"/>
                <w:sz w:val="24"/>
                <w:szCs w:val="24"/>
                <w:vertAlign w:val="baseline"/>
                <w:lang w:val="en-US" w:eastAsia="zh-CN"/>
              </w:rPr>
              <w:t>21686</w:t>
            </w:r>
            <w:r>
              <w:rPr>
                <w:rFonts w:hint="default" w:ascii="Times New Roman" w:hAnsi="Times New Roman" w:eastAsia="宋体" w:cs="Times New Roman"/>
                <w:spacing w:val="-1"/>
                <w:sz w:val="24"/>
                <w:szCs w:val="24"/>
              </w:rPr>
              <w:t>m</w:t>
            </w:r>
            <w:r>
              <w:rPr>
                <w:rFonts w:hint="default" w:ascii="Times New Roman" w:hAnsi="Times New Roman" w:eastAsia="宋体" w:cs="Times New Roman"/>
                <w:spacing w:val="-1"/>
                <w:sz w:val="24"/>
                <w:szCs w:val="24"/>
                <w:vertAlign w:val="superscript"/>
              </w:rPr>
              <w:t>3</w:t>
            </w:r>
            <w:r>
              <w:rPr>
                <w:rFonts w:hint="eastAsia" w:cs="Times New Roman"/>
                <w:color w:val="auto"/>
                <w:spacing w:val="-1"/>
                <w:sz w:val="24"/>
                <w:szCs w:val="24"/>
                <w:highlight w:val="none"/>
                <w:lang w:val="en-US" w:eastAsia="zh-CN"/>
              </w:rPr>
              <w:t>。</w:t>
            </w:r>
            <w:r>
              <w:rPr>
                <w:rFonts w:hint="eastAsia" w:cs="Times New Roman"/>
                <w:spacing w:val="-1"/>
                <w:sz w:val="24"/>
                <w:szCs w:val="24"/>
                <w:lang w:val="en-US" w:eastAsia="zh-CN"/>
              </w:rPr>
              <w:t>注水和注浆的水源取自</w:t>
            </w:r>
            <w:r>
              <w:rPr>
                <w:rFonts w:hint="eastAsia" w:cs="Times New Roman"/>
                <w:color w:val="000000"/>
                <w:kern w:val="0"/>
                <w:sz w:val="24"/>
                <w:szCs w:val="24"/>
                <w:lang w:val="en-US" w:eastAsia="zh-CN" w:bidi="ar"/>
              </w:rPr>
              <w:t>康龙煤矿</w:t>
            </w:r>
            <w:r>
              <w:rPr>
                <w:rFonts w:hint="eastAsia" w:ascii="Times New Roman" w:hAnsi="Times New Roman" w:eastAsia="宋体" w:cs="Times New Roman"/>
                <w:color w:val="000000"/>
                <w:kern w:val="0"/>
                <w:sz w:val="24"/>
                <w:szCs w:val="24"/>
                <w:lang w:val="en-US" w:eastAsia="zh-CN" w:bidi="ar"/>
              </w:rPr>
              <w:t>矿界范围外西北侧一坑积水，总水量约20万m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。本次灭火工程用水以水坑积水作为灭火水源，水源供给充足，水量能满足灭火用水需求，水源可靠。</w:t>
            </w:r>
          </w:p>
          <w:p w14:paraId="4D5D864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sz w:val="24"/>
                <w:szCs w:val="24"/>
              </w:rPr>
            </w:pPr>
            <w:r>
              <w:rPr>
                <w:rFonts w:hint="default"/>
                <w:spacing w:val="-5"/>
                <w:sz w:val="24"/>
                <w:szCs w:val="24"/>
              </w:rPr>
              <w:t>火区主要接受大气降水补给，火区内岩层富水性较差，火区内无常</w:t>
            </w:r>
            <w:r>
              <w:rPr>
                <w:rFonts w:hint="default"/>
                <w:spacing w:val="-4"/>
                <w:sz w:val="24"/>
                <w:szCs w:val="24"/>
              </w:rPr>
              <w:t>年流动的地表水流。在煤系地层中，由于岩石裂隙不</w:t>
            </w:r>
            <w:r>
              <w:rPr>
                <w:rFonts w:hint="default"/>
                <w:spacing w:val="-5"/>
                <w:sz w:val="24"/>
                <w:szCs w:val="24"/>
              </w:rPr>
              <w:t>甚，且多为泥质充</w:t>
            </w:r>
            <w:r>
              <w:rPr>
                <w:rFonts w:hint="default"/>
                <w:spacing w:val="-4"/>
                <w:sz w:val="24"/>
                <w:szCs w:val="24"/>
              </w:rPr>
              <w:t>填，地层渗透性差，补给、径流条件不佳，地下水运</w:t>
            </w:r>
            <w:r>
              <w:rPr>
                <w:rFonts w:hint="default"/>
                <w:spacing w:val="-5"/>
                <w:sz w:val="24"/>
                <w:szCs w:val="24"/>
              </w:rPr>
              <w:t>移缓慢，矿化度较</w:t>
            </w:r>
            <w:r>
              <w:rPr>
                <w:rFonts w:hint="default"/>
                <w:spacing w:val="-4"/>
                <w:sz w:val="24"/>
                <w:szCs w:val="24"/>
              </w:rPr>
              <w:t>高，也可以说明地下水在由南向北的运移过程中，即</w:t>
            </w:r>
            <w:r>
              <w:rPr>
                <w:rFonts w:hint="default"/>
                <w:spacing w:val="-5"/>
                <w:sz w:val="24"/>
                <w:szCs w:val="24"/>
              </w:rPr>
              <w:t>矿化度逐渐增大的</w:t>
            </w:r>
            <w:r>
              <w:rPr>
                <w:rFonts w:hint="default"/>
                <w:spacing w:val="-1"/>
                <w:sz w:val="24"/>
                <w:szCs w:val="24"/>
              </w:rPr>
              <w:t>过程，水质变差，矿井水及钻孔水属咸～微咸。</w:t>
            </w:r>
          </w:p>
          <w:p w14:paraId="046F70FE">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8" w:firstLineChars="200"/>
              <w:textAlignment w:val="auto"/>
              <w:rPr>
                <w:rFonts w:hint="default"/>
                <w:sz w:val="24"/>
                <w:szCs w:val="24"/>
              </w:rPr>
            </w:pPr>
            <w:r>
              <w:rPr>
                <w:rFonts w:hint="default"/>
                <w:spacing w:val="-3"/>
                <w:sz w:val="24"/>
                <w:szCs w:val="24"/>
              </w:rPr>
              <w:t>本项目注水</w:t>
            </w:r>
            <w:r>
              <w:rPr>
                <w:rFonts w:hint="eastAsia"/>
                <w:spacing w:val="-3"/>
                <w:sz w:val="24"/>
                <w:szCs w:val="24"/>
                <w:lang w:eastAsia="zh-CN"/>
              </w:rPr>
              <w:t>、</w:t>
            </w:r>
            <w:r>
              <w:rPr>
                <w:rFonts w:hint="eastAsia"/>
                <w:spacing w:val="-3"/>
                <w:sz w:val="24"/>
                <w:szCs w:val="24"/>
                <w:lang w:val="en-US" w:eastAsia="zh-CN"/>
              </w:rPr>
              <w:t>注浆</w:t>
            </w:r>
            <w:r>
              <w:rPr>
                <w:rFonts w:hint="default"/>
                <w:spacing w:val="-3"/>
                <w:sz w:val="24"/>
                <w:szCs w:val="24"/>
              </w:rPr>
              <w:t>工程对区域内地下水影响较小，施工期</w:t>
            </w:r>
            <w:r>
              <w:rPr>
                <w:rFonts w:hint="eastAsia"/>
                <w:spacing w:val="-3"/>
                <w:sz w:val="24"/>
                <w:szCs w:val="24"/>
                <w:lang w:val="en-US" w:eastAsia="zh-CN"/>
              </w:rPr>
              <w:t>较短</w:t>
            </w:r>
            <w:r>
              <w:rPr>
                <w:rFonts w:hint="default"/>
                <w:spacing w:val="-3"/>
                <w:sz w:val="24"/>
                <w:szCs w:val="24"/>
              </w:rPr>
              <w:t>，</w:t>
            </w:r>
            <w:r>
              <w:rPr>
                <w:rFonts w:hint="default"/>
                <w:spacing w:val="-1"/>
                <w:sz w:val="24"/>
                <w:szCs w:val="24"/>
              </w:rPr>
              <w:t>随着施工结束，对地下水的影响也随之逐步消失。</w:t>
            </w:r>
          </w:p>
          <w:p w14:paraId="7B2582B8">
            <w:pPr>
              <w:pStyle w:val="106"/>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50" w:firstLineChars="200"/>
              <w:textAlignment w:val="auto"/>
              <w:rPr>
                <w:rFonts w:hint="default"/>
              </w:rPr>
            </w:pPr>
            <w:r>
              <w:rPr>
                <w:rFonts w:hint="eastAsia" w:ascii="Times New Roman" w:hAnsi="Times New Roman" w:eastAsia="宋体" w:cs="Times New Roman"/>
                <w:b/>
                <w:bCs/>
                <w:spacing w:val="-8"/>
                <w:lang w:val="en-US" w:eastAsia="zh-CN"/>
              </w:rPr>
              <w:t>7、</w:t>
            </w:r>
            <w:r>
              <w:rPr>
                <w:rFonts w:hint="default"/>
                <w:b/>
                <w:bCs/>
                <w:spacing w:val="-8"/>
              </w:rPr>
              <w:t>环境风险</w:t>
            </w:r>
          </w:p>
          <w:p w14:paraId="3B69634C">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环境风险评价是对建设项目在失控状态下产生的突发性、不确定性和随机性灾害事故进行评价。以及对建设项目在运营期间发生的可预测突发性事件或事故（一般不包括人为破坏及自然灾害）引起的有毒、有害、易燃易爆等物质泄漏，或突发事件产生的新的有毒有害物质，所造成的对人身安全与环境的影响和损害进行评估，提出防范、应急与减缓措施。</w:t>
            </w:r>
          </w:p>
          <w:p w14:paraId="52C7D25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lang w:val="en-US" w:eastAsia="zh-CN"/>
              </w:rPr>
            </w:pPr>
            <w:r>
              <w:rPr>
                <w:rFonts w:hint="default" w:ascii="Times New Roman" w:hAnsi="Times New Roman" w:eastAsia="宋体" w:cs="Times New Roman"/>
                <w:spacing w:val="-5"/>
                <w:sz w:val="24"/>
                <w:szCs w:val="24"/>
                <w:lang w:eastAsia="zh-CN"/>
              </w:rPr>
              <w:t>（</w:t>
            </w:r>
            <w:r>
              <w:rPr>
                <w:rFonts w:hint="default" w:ascii="Times New Roman" w:hAnsi="Times New Roman" w:eastAsia="宋体" w:cs="Times New Roman"/>
                <w:spacing w:val="-5"/>
                <w:sz w:val="24"/>
                <w:szCs w:val="24"/>
                <w:lang w:val="en-US" w:eastAsia="zh-CN"/>
              </w:rPr>
              <w:t>1</w:t>
            </w:r>
            <w:r>
              <w:rPr>
                <w:rFonts w:hint="default" w:ascii="Times New Roman" w:hAnsi="Times New Roman" w:eastAsia="宋体" w:cs="Times New Roman"/>
                <w:spacing w:val="-5"/>
                <w:sz w:val="24"/>
                <w:szCs w:val="24"/>
                <w:lang w:eastAsia="zh-CN"/>
              </w:rPr>
              <w:t>）</w:t>
            </w:r>
            <w:r>
              <w:rPr>
                <w:rFonts w:hint="default" w:ascii="Times New Roman" w:hAnsi="Times New Roman" w:eastAsia="宋体" w:cs="Times New Roman"/>
                <w:spacing w:val="-5"/>
                <w:sz w:val="24"/>
                <w:szCs w:val="24"/>
                <w:lang w:val="en-US" w:eastAsia="zh-CN"/>
              </w:rPr>
              <w:t>环境风险源调查</w:t>
            </w:r>
          </w:p>
          <w:p w14:paraId="312337A3">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建设项目分析识别范围包括：施工设施的风险识别和施工过程所涉及的物质风险识别，其中施工设施风险识别包括施工机械和储运系统等。物质风险识别包括主要原材料及辅助材料、燃料、中间产品以及生产过</w:t>
            </w:r>
            <w:r>
              <w:rPr>
                <w:rFonts w:hint="default" w:ascii="Times New Roman" w:hAnsi="Times New Roman" w:eastAsia="宋体" w:cs="Times New Roman"/>
                <w:spacing w:val="-5"/>
                <w:sz w:val="24"/>
                <w:szCs w:val="24"/>
                <w:lang w:eastAsia="zh-CN"/>
              </w:rPr>
              <w:t>程中</w:t>
            </w:r>
            <w:r>
              <w:rPr>
                <w:rFonts w:hint="default" w:ascii="Times New Roman" w:hAnsi="Times New Roman" w:eastAsia="宋体" w:cs="Times New Roman"/>
                <w:spacing w:val="-5"/>
                <w:sz w:val="24"/>
                <w:szCs w:val="24"/>
              </w:rPr>
              <w:t>排放的“三废 ”污染物等。</w:t>
            </w:r>
          </w:p>
          <w:p w14:paraId="5F150125">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本项目灭火施工方法包括</w:t>
            </w:r>
            <w:r>
              <w:rPr>
                <w:rFonts w:hint="default" w:ascii="Times New Roman" w:hAnsi="Times New Roman" w:eastAsia="宋体" w:cs="Times New Roman"/>
                <w:spacing w:val="-5"/>
                <w:sz w:val="24"/>
                <w:szCs w:val="24"/>
                <w:lang w:val="en-US" w:eastAsia="zh-CN"/>
              </w:rPr>
              <w:t>剥离工程、钻探工程、注水工程、注浆工程、覆盖工程</w:t>
            </w:r>
            <w:r>
              <w:rPr>
                <w:rFonts w:hint="default" w:ascii="Times New Roman" w:hAnsi="Times New Roman" w:eastAsia="宋体" w:cs="Times New Roman"/>
                <w:spacing w:val="-5"/>
                <w:sz w:val="24"/>
                <w:szCs w:val="24"/>
              </w:rPr>
              <w:t>。根据《建设项目环境风险评价技术导则》（HJ169-2018），本项目不涉及有毒有害和易燃易爆危险物质生产</w:t>
            </w:r>
            <w:r>
              <w:rPr>
                <w:rFonts w:hint="default" w:ascii="Times New Roman" w:hAnsi="Times New Roman" w:eastAsia="宋体" w:cs="Times New Roman"/>
                <w:spacing w:val="-5"/>
                <w:sz w:val="24"/>
                <w:szCs w:val="24"/>
                <w:lang w:val="en-US" w:eastAsia="zh-CN"/>
              </w:rPr>
              <w:t>和</w:t>
            </w:r>
            <w:r>
              <w:rPr>
                <w:rFonts w:hint="default" w:ascii="Times New Roman" w:hAnsi="Times New Roman" w:eastAsia="宋体" w:cs="Times New Roman"/>
                <w:spacing w:val="-5"/>
                <w:sz w:val="24"/>
                <w:szCs w:val="24"/>
              </w:rPr>
              <w:t>储存，</w:t>
            </w:r>
            <w:r>
              <w:rPr>
                <w:rFonts w:hint="default" w:ascii="Times New Roman" w:hAnsi="Times New Roman" w:eastAsia="宋体" w:cs="Times New Roman"/>
                <w:spacing w:val="-5"/>
                <w:sz w:val="24"/>
                <w:szCs w:val="24"/>
                <w:lang w:val="en-US" w:eastAsia="zh-CN"/>
              </w:rPr>
              <w:t>主要是剥挖时使用的炸药和雷管，属于爆炸品。项目区不建设炸药库，炸药和雷管不在项目区储存</w:t>
            </w:r>
            <w:r>
              <w:rPr>
                <w:rFonts w:hint="default" w:ascii="Times New Roman" w:hAnsi="Times New Roman" w:eastAsia="宋体" w:cs="Times New Roman"/>
                <w:spacing w:val="-5"/>
                <w:sz w:val="24"/>
                <w:szCs w:val="24"/>
              </w:rPr>
              <w:t>。</w:t>
            </w:r>
            <w:r>
              <w:rPr>
                <w:rFonts w:hint="default" w:ascii="Times New Roman" w:hAnsi="Times New Roman" w:eastAsia="宋体" w:cs="Times New Roman"/>
                <w:spacing w:val="-5"/>
                <w:sz w:val="24"/>
                <w:szCs w:val="24"/>
                <w:lang w:val="en-US" w:eastAsia="zh-CN"/>
              </w:rPr>
              <w:t>项目区</w:t>
            </w:r>
            <w:r>
              <w:rPr>
                <w:rFonts w:hint="default" w:ascii="Times New Roman" w:hAnsi="Times New Roman" w:eastAsia="宋体" w:cs="Times New Roman"/>
                <w:spacing w:val="-5"/>
                <w:sz w:val="24"/>
                <w:szCs w:val="24"/>
              </w:rPr>
              <w:t>内不构成重大危险源，本次评价对环境风险影响只进行</w:t>
            </w:r>
            <w:r>
              <w:rPr>
                <w:rFonts w:hint="default" w:ascii="Times New Roman" w:hAnsi="Times New Roman" w:eastAsia="宋体" w:cs="Times New Roman"/>
                <w:spacing w:val="-5"/>
                <w:sz w:val="24"/>
                <w:szCs w:val="24"/>
                <w:lang w:val="en-US" w:eastAsia="zh-CN"/>
              </w:rPr>
              <w:t>简单影响</w:t>
            </w:r>
            <w:r>
              <w:rPr>
                <w:rFonts w:hint="default" w:ascii="Times New Roman" w:hAnsi="Times New Roman" w:eastAsia="宋体" w:cs="Times New Roman"/>
                <w:spacing w:val="-5"/>
                <w:sz w:val="24"/>
                <w:szCs w:val="24"/>
              </w:rPr>
              <w:t>分析。</w:t>
            </w:r>
          </w:p>
          <w:p w14:paraId="0583591F">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lang w:val="en-US" w:eastAsia="zh-CN"/>
              </w:rPr>
              <w:t xml:space="preserve">（2）环境敏感目标概况 </w:t>
            </w:r>
          </w:p>
          <w:p w14:paraId="3D32FCB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lang w:val="en-US" w:eastAsia="zh-CN"/>
              </w:rPr>
              <w:t>根据现场调查，项目周边无环境敏感目标。</w:t>
            </w:r>
          </w:p>
          <w:p w14:paraId="27F4C380">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lang w:val="en-US" w:eastAsia="zh-CN"/>
              </w:rPr>
            </w:pPr>
          </w:p>
          <w:p w14:paraId="040885FC">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lang w:val="en-US" w:eastAsia="zh-CN"/>
              </w:rPr>
            </w:pPr>
          </w:p>
          <w:p w14:paraId="253F0017">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lang w:val="en-US" w:eastAsia="zh-CN"/>
              </w:rPr>
              <w:t>（3）项目</w:t>
            </w:r>
            <w:r>
              <w:rPr>
                <w:rFonts w:hint="default" w:ascii="Times New Roman" w:hAnsi="Times New Roman" w:eastAsia="宋体" w:cs="Times New Roman"/>
                <w:spacing w:val="-5"/>
                <w:sz w:val="24"/>
                <w:szCs w:val="24"/>
              </w:rPr>
              <w:t>环境风险分析</w:t>
            </w:r>
          </w:p>
          <w:p w14:paraId="5998E93B">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lang w:val="en-US" w:eastAsia="zh-CN"/>
              </w:rPr>
            </w:pPr>
            <w:r>
              <w:rPr>
                <w:rFonts w:hint="default" w:ascii="Times New Roman" w:hAnsi="Times New Roman" w:eastAsia="宋体" w:cs="Times New Roman"/>
                <w:spacing w:val="-5"/>
                <w:sz w:val="24"/>
                <w:szCs w:val="24"/>
                <w:lang w:val="en-US" w:eastAsia="zh-CN"/>
              </w:rPr>
              <w:t>1）炸药爆炸风险影响分析</w:t>
            </w:r>
          </w:p>
          <w:p w14:paraId="2523FCFA">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lang w:val="en-US" w:eastAsia="zh-CN"/>
              </w:rPr>
            </w:pPr>
            <w:r>
              <w:rPr>
                <w:rFonts w:hint="default" w:ascii="Times New Roman" w:hAnsi="Times New Roman" w:eastAsia="宋体" w:cs="Times New Roman"/>
                <w:spacing w:val="-5"/>
                <w:sz w:val="24"/>
                <w:szCs w:val="24"/>
                <w:lang w:val="en-US" w:eastAsia="zh-CN"/>
              </w:rPr>
              <w:t>本项目在剥挖时需使用大量炸药，炸药在运输途中、装药和放炮过程中、未爆炸或未爆炸完全的炸药在装卸矿岩的过程中都有可能发生爆炸；炸药爆炸可以直接造成</w:t>
            </w:r>
            <w:r>
              <w:rPr>
                <w:rFonts w:hint="eastAsia" w:ascii="Times New Roman" w:hAnsi="Times New Roman" w:cs="Times New Roman"/>
                <w:spacing w:val="-5"/>
                <w:sz w:val="24"/>
                <w:szCs w:val="24"/>
                <w:lang w:val="en-US" w:eastAsia="zh-CN"/>
              </w:rPr>
              <w:t>人身伤害</w:t>
            </w:r>
            <w:r>
              <w:rPr>
                <w:rFonts w:hint="default" w:ascii="Times New Roman" w:hAnsi="Times New Roman" w:eastAsia="宋体" w:cs="Times New Roman"/>
                <w:spacing w:val="-5"/>
                <w:sz w:val="24"/>
                <w:szCs w:val="24"/>
                <w:lang w:val="en-US" w:eastAsia="zh-CN"/>
              </w:rPr>
              <w:t>和财物破坏。本项目未新建炸药库，依托当地民爆公司配送。本项目可能发生炸药爆炸的场所主要有：炸药库至火区的运输道路；爆破作业采场。项目如果发生炸药爆炸灾害，不但会导致生产系统被破坏，生产设施被炸毁，而且还会导致人员伤亡。</w:t>
            </w:r>
          </w:p>
          <w:p w14:paraId="185DD9C9">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lang w:val="en-US" w:eastAsia="zh-CN"/>
              </w:rPr>
            </w:pPr>
            <w:r>
              <w:rPr>
                <w:rFonts w:hint="default" w:ascii="Times New Roman" w:hAnsi="Times New Roman" w:eastAsia="宋体" w:cs="Times New Roman"/>
                <w:spacing w:val="-5"/>
                <w:sz w:val="24"/>
                <w:szCs w:val="24"/>
                <w:lang w:val="en-US" w:eastAsia="zh-CN"/>
              </w:rPr>
              <w:t>2）火区治理复燃风险影响分析</w:t>
            </w:r>
          </w:p>
          <w:p w14:paraId="31B44735">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spacing w:val="-5"/>
                <w:sz w:val="24"/>
                <w:szCs w:val="24"/>
                <w:lang w:val="en-US" w:eastAsia="zh-CN"/>
              </w:rPr>
            </w:pPr>
            <w:r>
              <w:rPr>
                <w:rFonts w:hint="default" w:ascii="Times New Roman" w:hAnsi="Times New Roman" w:eastAsia="宋体" w:cs="Times New Roman"/>
                <w:spacing w:val="-5"/>
                <w:sz w:val="24"/>
                <w:szCs w:val="24"/>
                <w:lang w:val="en-US" w:eastAsia="zh-CN"/>
              </w:rPr>
              <w:t>本项目火区最大燃烧深度为105m，地表最高温度达664.9℃。</w:t>
            </w:r>
            <w:r>
              <w:rPr>
                <w:rFonts w:hint="default" w:ascii="Times New Roman" w:hAnsi="Times New Roman" w:eastAsia="Segoe UI" w:cs="Times New Roman"/>
                <w:i w:val="0"/>
                <w:iCs w:val="0"/>
                <w:caps w:val="0"/>
                <w:color w:val="0F1115"/>
                <w:spacing w:val="0"/>
                <w:sz w:val="24"/>
                <w:szCs w:val="24"/>
                <w:shd w:val="clear" w:fill="FFFFFF"/>
              </w:rPr>
              <w:t>通过注水降温、注浆封堵、黄土覆盖等多重手段切断供氧，复燃风险可控，但注浆工程中由于地下烧空区、裂缝及供氧通道十分复杂，浆液往往无法填充全部的空区、孔洞及裂隙空间，因此</w:t>
            </w:r>
            <w:r>
              <w:rPr>
                <w:rFonts w:hint="default" w:ascii="Times New Roman" w:hAnsi="Times New Roman" w:eastAsia="Segoe UI" w:cs="Times New Roman"/>
                <w:b w:val="0"/>
                <w:bCs w:val="0"/>
                <w:i w:val="0"/>
                <w:iCs w:val="0"/>
                <w:caps w:val="0"/>
                <w:color w:val="0F1115"/>
                <w:spacing w:val="0"/>
                <w:sz w:val="24"/>
                <w:szCs w:val="24"/>
                <w:shd w:val="clear" w:fill="FFFFFF"/>
              </w:rPr>
              <w:t>复燃的风险依然存在</w:t>
            </w:r>
            <w:r>
              <w:rPr>
                <w:rFonts w:hint="default" w:ascii="Times New Roman" w:hAnsi="Times New Roman" w:eastAsia="宋体" w:cs="Times New Roman"/>
                <w:b w:val="0"/>
                <w:bCs w:val="0"/>
                <w:i w:val="0"/>
                <w:iCs w:val="0"/>
                <w:caps w:val="0"/>
                <w:color w:val="0F1115"/>
                <w:spacing w:val="0"/>
                <w:sz w:val="24"/>
                <w:szCs w:val="24"/>
                <w:shd w:val="clear" w:fill="FFFFFF"/>
                <w:lang w:eastAsia="zh-CN"/>
              </w:rPr>
              <w:t>。</w:t>
            </w:r>
          </w:p>
          <w:p w14:paraId="43F5633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lang w:val="en-US" w:eastAsia="zh-CN"/>
              </w:rPr>
            </w:pPr>
            <w:r>
              <w:rPr>
                <w:rFonts w:hint="default" w:ascii="Times New Roman" w:hAnsi="Times New Roman" w:eastAsia="Segoe UI" w:cs="Times New Roman"/>
                <w:i w:val="0"/>
                <w:iCs w:val="0"/>
                <w:caps w:val="0"/>
                <w:color w:val="0F1115"/>
                <w:spacing w:val="0"/>
                <w:sz w:val="24"/>
                <w:szCs w:val="24"/>
                <w:shd w:val="clear" w:fill="FFFFFF"/>
              </w:rPr>
              <w:t>黄土覆盖是防止复燃的关键屏障。覆盖层必须达到设计厚度（不应小于1.5米）且普遍压实</w:t>
            </w:r>
            <w:r>
              <w:rPr>
                <w:rFonts w:hint="default" w:ascii="Times New Roman" w:hAnsi="Times New Roman" w:eastAsia="Segoe UI" w:cs="Times New Roman"/>
                <w:i w:val="0"/>
                <w:iCs w:val="0"/>
                <w:caps w:val="0"/>
                <w:color w:val="0F1115"/>
                <w:spacing w:val="0"/>
                <w:sz w:val="24"/>
                <w:szCs w:val="24"/>
                <w:shd w:val="clear" w:fill="FFFFFF"/>
              </w:rPr>
              <w:fldChar w:fldCharType="begin"/>
            </w:r>
            <w:r>
              <w:rPr>
                <w:rFonts w:hint="default" w:ascii="Times New Roman" w:hAnsi="Times New Roman" w:eastAsia="Segoe UI" w:cs="Times New Roman"/>
                <w:i w:val="0"/>
                <w:iCs w:val="0"/>
                <w:caps w:val="0"/>
                <w:color w:val="0F1115"/>
                <w:spacing w:val="0"/>
                <w:sz w:val="24"/>
                <w:szCs w:val="24"/>
                <w:shd w:val="clear" w:fill="FFFFFF"/>
              </w:rPr>
              <w:instrText xml:space="preserve"> HYPERLINK "https://urumqi.gov.cn/wlmqs/c119218/202405/7ffd2b15447c4d1b93982e1f1692a5a5/files/20240531202316775004.pdf" \l "11#10" \t "https://chat.deepseek.com/a/chat/s/_blank" </w:instrText>
            </w:r>
            <w:r>
              <w:rPr>
                <w:rFonts w:hint="default" w:ascii="Times New Roman" w:hAnsi="Times New Roman" w:eastAsia="Segoe UI" w:cs="Times New Roman"/>
                <w:i w:val="0"/>
                <w:iCs w:val="0"/>
                <w:caps w:val="0"/>
                <w:color w:val="0F1115"/>
                <w:spacing w:val="0"/>
                <w:sz w:val="24"/>
                <w:szCs w:val="24"/>
                <w:shd w:val="clear" w:fill="FFFFFF"/>
              </w:rPr>
              <w:fldChar w:fldCharType="separate"/>
            </w:r>
            <w:r>
              <w:rPr>
                <w:rFonts w:hint="default" w:ascii="Times New Roman" w:hAnsi="Times New Roman" w:eastAsia="Segoe UI" w:cs="Times New Roman"/>
                <w:i w:val="0"/>
                <w:iCs w:val="0"/>
                <w:caps w:val="0"/>
                <w:color w:val="0F1115"/>
                <w:spacing w:val="0"/>
                <w:sz w:val="24"/>
                <w:szCs w:val="24"/>
                <w:shd w:val="clear" w:fill="FFFFFF"/>
              </w:rPr>
              <w:fldChar w:fldCharType="end"/>
            </w:r>
            <w:r>
              <w:rPr>
                <w:rFonts w:hint="default" w:ascii="Times New Roman" w:hAnsi="Times New Roman" w:eastAsia="Segoe UI" w:cs="Times New Roman"/>
                <w:i w:val="0"/>
                <w:iCs w:val="0"/>
                <w:caps w:val="0"/>
                <w:color w:val="0F1115"/>
                <w:spacing w:val="0"/>
                <w:sz w:val="24"/>
                <w:szCs w:val="24"/>
                <w:shd w:val="clear" w:fill="FFFFFF"/>
              </w:rPr>
              <w:t>。一旦覆盖层厚度不足、压实度不够，或因自然风化、人为破坏导致覆盖层开裂，氧气即可重新进入火区。尤其是在气候干燥、多风、少雨区域，一旦黄土封闭不严，将大大提高火区复燃的风险</w:t>
            </w:r>
            <w:r>
              <w:rPr>
                <w:rFonts w:hint="default" w:ascii="Times New Roman" w:hAnsi="Times New Roman" w:eastAsia="Segoe UI" w:cs="Times New Roman"/>
                <w:i w:val="0"/>
                <w:iCs w:val="0"/>
                <w:caps w:val="0"/>
                <w:color w:val="0F1115"/>
                <w:spacing w:val="0"/>
                <w:sz w:val="24"/>
                <w:szCs w:val="24"/>
                <w:shd w:val="clear" w:fill="FFFFFF"/>
                <w:lang w:eastAsia="zh-CN"/>
              </w:rPr>
              <w:t>。</w:t>
            </w:r>
          </w:p>
          <w:p w14:paraId="2E0E0E4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lang w:val="en-US" w:eastAsia="zh-CN"/>
              </w:rPr>
            </w:pPr>
            <w:r>
              <w:rPr>
                <w:rFonts w:hint="default" w:ascii="Times New Roman" w:hAnsi="Times New Roman" w:eastAsia="Segoe UI" w:cs="Times New Roman"/>
                <w:i w:val="0"/>
                <w:iCs w:val="0"/>
                <w:caps w:val="0"/>
                <w:color w:val="0F1115"/>
                <w:spacing w:val="0"/>
                <w:sz w:val="24"/>
                <w:szCs w:val="24"/>
                <w:shd w:val="clear" w:fill="FFFFFF"/>
              </w:rPr>
              <w:t>按照煤田灭火规范，煤田火区温度达到70℃以下且呈持续下降趋势即属于熄灭范畴，刚熄灭的火区禁止开采，因为覆盖层一旦被揭开，煤层与空气接触后很快就会复燃</w:t>
            </w:r>
            <w:r>
              <w:rPr>
                <w:rFonts w:hint="default" w:ascii="Times New Roman" w:hAnsi="Times New Roman" w:eastAsia="Segoe UI" w:cs="Times New Roman"/>
                <w:i w:val="0"/>
                <w:iCs w:val="0"/>
                <w:caps w:val="0"/>
                <w:color w:val="0F1115"/>
                <w:spacing w:val="0"/>
                <w:sz w:val="24"/>
                <w:szCs w:val="24"/>
                <w:shd w:val="clear" w:fill="FFFFFF"/>
                <w:lang w:val="en-US" w:eastAsia="zh-CN"/>
              </w:rPr>
              <w:t>火区治理复燃分析风险分析。</w:t>
            </w:r>
          </w:p>
          <w:p w14:paraId="02EC185E">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eastAsia" w:ascii="Times New Roman" w:hAnsi="Times New Roman" w:eastAsia="Segoe UI" w:cs="Times New Roman"/>
                <w:i w:val="0"/>
                <w:iCs w:val="0"/>
                <w:caps w:val="0"/>
                <w:color w:val="0F1115"/>
                <w:spacing w:val="0"/>
                <w:sz w:val="24"/>
                <w:szCs w:val="24"/>
                <w:shd w:val="clear" w:fill="FFFFFF"/>
                <w:lang w:val="en-US" w:eastAsia="zh-CN"/>
              </w:rPr>
              <w:t>3</w:t>
            </w:r>
            <w:r>
              <w:rPr>
                <w:rFonts w:hint="default" w:ascii="Times New Roman" w:hAnsi="Times New Roman" w:eastAsia="Segoe UI" w:cs="Times New Roman"/>
                <w:i w:val="0"/>
                <w:iCs w:val="0"/>
                <w:caps w:val="0"/>
                <w:color w:val="0F1115"/>
                <w:spacing w:val="0"/>
                <w:sz w:val="24"/>
                <w:szCs w:val="24"/>
                <w:shd w:val="clear" w:fill="FFFFFF"/>
                <w:lang w:val="en-US" w:eastAsia="zh-CN"/>
              </w:rPr>
              <w:t xml:space="preserve">）施工区域有毒气体浓度过高风险影响分析 </w:t>
            </w:r>
          </w:p>
          <w:p w14:paraId="6444564F">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lang w:val="en-US" w:eastAsia="zh-CN"/>
              </w:rPr>
              <w:t>火区注水、注浆施工过程中，施工人员的不当操作可能会导致区域内的有毒有害气体浓度过高，施工人员出现中毒现象，同时施工人员的安全意识不强，未做好防护，也会危及施工人员的人身安全。</w:t>
            </w:r>
          </w:p>
          <w:p w14:paraId="04FDB886">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eastAsia" w:ascii="Times New Roman" w:hAnsi="Times New Roman" w:eastAsia="Segoe UI" w:cs="Times New Roman"/>
                <w:i w:val="0"/>
                <w:iCs w:val="0"/>
                <w:caps w:val="0"/>
                <w:color w:val="0F1115"/>
                <w:spacing w:val="0"/>
                <w:sz w:val="24"/>
                <w:szCs w:val="24"/>
                <w:shd w:val="clear" w:fill="FFFFFF"/>
                <w:lang w:val="en-US" w:eastAsia="zh-CN"/>
              </w:rPr>
              <w:t>4</w:t>
            </w:r>
            <w:r>
              <w:rPr>
                <w:rFonts w:hint="default" w:ascii="Times New Roman" w:hAnsi="Times New Roman" w:eastAsia="Segoe UI" w:cs="Times New Roman"/>
                <w:i w:val="0"/>
                <w:iCs w:val="0"/>
                <w:caps w:val="0"/>
                <w:color w:val="0F1115"/>
                <w:spacing w:val="0"/>
                <w:sz w:val="24"/>
                <w:szCs w:val="24"/>
                <w:shd w:val="clear" w:fill="FFFFFF"/>
                <w:lang w:val="en-US" w:eastAsia="zh-CN"/>
              </w:rPr>
              <w:t>）火区治理</w:t>
            </w:r>
            <w:r>
              <w:rPr>
                <w:rFonts w:hint="eastAsia" w:ascii="Times New Roman" w:hAnsi="Times New Roman" w:eastAsia="Segoe UI" w:cs="Times New Roman"/>
                <w:i w:val="0"/>
                <w:iCs w:val="0"/>
                <w:caps w:val="0"/>
                <w:color w:val="0F1115"/>
                <w:spacing w:val="0"/>
                <w:sz w:val="24"/>
                <w:szCs w:val="24"/>
                <w:shd w:val="clear" w:fill="FFFFFF"/>
                <w:lang w:val="en-US" w:eastAsia="zh-CN"/>
              </w:rPr>
              <w:t>高温爆喷</w:t>
            </w:r>
            <w:r>
              <w:rPr>
                <w:rFonts w:hint="default" w:ascii="Times New Roman" w:hAnsi="Times New Roman" w:eastAsia="Segoe UI" w:cs="Times New Roman"/>
                <w:i w:val="0"/>
                <w:iCs w:val="0"/>
                <w:caps w:val="0"/>
                <w:color w:val="0F1115"/>
                <w:spacing w:val="0"/>
                <w:sz w:val="24"/>
                <w:szCs w:val="24"/>
                <w:shd w:val="clear" w:fill="FFFFFF"/>
                <w:lang w:val="en-US" w:eastAsia="zh-CN"/>
              </w:rPr>
              <w:t xml:space="preserve">风险影响分析 </w:t>
            </w:r>
          </w:p>
          <w:p w14:paraId="51069FDA">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高温煤岩体</w:t>
            </w:r>
            <w:r>
              <w:rPr>
                <w:rFonts w:hint="eastAsia" w:ascii="Times New Roman" w:hAnsi="Times New Roman" w:eastAsia="宋体" w:cs="Times New Roman"/>
                <w:i w:val="0"/>
                <w:iCs w:val="0"/>
                <w:caps w:val="0"/>
                <w:color w:val="0F1115"/>
                <w:spacing w:val="0"/>
                <w:sz w:val="24"/>
                <w:szCs w:val="24"/>
                <w:shd w:val="clear" w:fill="FFFFFF"/>
                <w:lang w:val="en-US" w:eastAsia="zh-CN"/>
              </w:rPr>
              <w:t>&gt;</w:t>
            </w:r>
            <w:r>
              <w:rPr>
                <w:rFonts w:hint="default" w:ascii="Times New Roman" w:hAnsi="Times New Roman" w:eastAsia="Segoe UI" w:cs="Times New Roman"/>
                <w:i w:val="0"/>
                <w:iCs w:val="0"/>
                <w:caps w:val="0"/>
                <w:color w:val="0F1115"/>
                <w:spacing w:val="0"/>
                <w:sz w:val="24"/>
                <w:szCs w:val="24"/>
                <w:shd w:val="clear" w:fill="FFFFFF"/>
              </w:rPr>
              <w:t>600℃时，大量冷水、浆液注入火区，水遇高温瞬时汽化，同时发生水煤气反应</w:t>
            </w:r>
            <w:r>
              <w:rPr>
                <w:rFonts w:hint="eastAsia" w:ascii="Times New Roman" w:hAnsi="Times New Roman" w:eastAsia="Segoe UI" w:cs="Times New Roman"/>
                <w:i w:val="0"/>
                <w:iCs w:val="0"/>
                <w:caps w:val="0"/>
                <w:color w:val="0F1115"/>
                <w:spacing w:val="0"/>
                <w:sz w:val="24"/>
                <w:szCs w:val="24"/>
                <w:shd w:val="clear" w:fill="FFFFFF"/>
                <w:lang w:eastAsia="zh-CN"/>
              </w:rPr>
              <w:t>，</w:t>
            </w:r>
            <w:r>
              <w:rPr>
                <w:rFonts w:hint="default" w:ascii="Times New Roman" w:hAnsi="Times New Roman" w:eastAsia="Segoe UI" w:cs="Times New Roman"/>
                <w:i w:val="0"/>
                <w:iCs w:val="0"/>
                <w:caps w:val="0"/>
                <w:color w:val="0F1115"/>
                <w:spacing w:val="0"/>
                <w:sz w:val="24"/>
                <w:szCs w:val="24"/>
                <w:shd w:val="clear" w:fill="FFFFFF"/>
              </w:rPr>
              <w:t>生成一氧化碳、氢气混合可燃爆炸性气体；密闭空洞内压力快速积聚，突破岩体裂隙、钻孔、开挖工作面薄弱处，高温高压气固流体瞬间喷出，伴随爆炸冲击波、高温煤粉、蒸汽喷射。煤层自燃持续释放瓦斯、重烃、CO，火区采空区密闭缺氧积聚，钻孔贯通、开挖</w:t>
            </w:r>
            <w:r>
              <w:rPr>
                <w:rFonts w:hint="eastAsia" w:ascii="Times New Roman" w:hAnsi="Times New Roman" w:eastAsia="宋体" w:cs="Times New Roman"/>
                <w:i w:val="0"/>
                <w:iCs w:val="0"/>
                <w:caps w:val="0"/>
                <w:color w:val="0F1115"/>
                <w:spacing w:val="0"/>
                <w:sz w:val="24"/>
                <w:szCs w:val="24"/>
                <w:shd w:val="clear" w:fill="FFFFFF"/>
                <w:lang w:eastAsia="zh-CN"/>
              </w:rPr>
              <w:t>揭露</w:t>
            </w:r>
            <w:r>
              <w:rPr>
                <w:rFonts w:hint="default" w:ascii="Times New Roman" w:hAnsi="Times New Roman" w:eastAsia="Segoe UI" w:cs="Times New Roman"/>
                <w:i w:val="0"/>
                <w:iCs w:val="0"/>
                <w:caps w:val="0"/>
                <w:color w:val="0F1115"/>
                <w:spacing w:val="0"/>
                <w:sz w:val="24"/>
                <w:szCs w:val="24"/>
                <w:shd w:val="clear" w:fill="FFFFFF"/>
              </w:rPr>
              <w:t>火区后，空气涌入形成爆炸临界浓度，遇高温热源瞬间爆燃，推动高温岩土向外喷射。火区空洞内部高温，持续注水后密闭空间蒸汽超压，无泄放通道时，沿裂隙、钻孔口强力喷放高温蒸汽、热水、烧蚀碎岩，造成高温烫伤。</w:t>
            </w:r>
            <w:r>
              <w:rPr>
                <w:rFonts w:hint="eastAsia" w:ascii="Times New Roman" w:hAnsi="Times New Roman" w:eastAsia="Segoe UI" w:cs="Times New Roman"/>
                <w:i w:val="0"/>
                <w:iCs w:val="0"/>
                <w:caps w:val="0"/>
                <w:color w:val="0F1115"/>
                <w:spacing w:val="0"/>
                <w:sz w:val="24"/>
                <w:szCs w:val="24"/>
                <w:shd w:val="clear" w:fill="FFFFFF"/>
                <w:lang w:val="en-US" w:eastAsia="zh-CN"/>
              </w:rPr>
              <w:t>高温爆喷</w:t>
            </w:r>
            <w:r>
              <w:rPr>
                <w:rFonts w:hint="eastAsia" w:ascii="Times New Roman" w:hAnsi="Times New Roman" w:eastAsia="宋体" w:cs="Times New Roman"/>
                <w:i w:val="0"/>
                <w:iCs w:val="0"/>
                <w:caps w:val="0"/>
                <w:color w:val="0F1115"/>
                <w:spacing w:val="0"/>
                <w:sz w:val="24"/>
                <w:szCs w:val="24"/>
                <w:shd w:val="clear" w:fill="FFFFFF"/>
                <w:lang w:val="en-US" w:eastAsia="zh-CN"/>
              </w:rPr>
              <w:t>主要危害：</w:t>
            </w:r>
            <w:r>
              <w:rPr>
                <w:rFonts w:hint="default" w:ascii="Times New Roman" w:hAnsi="Times New Roman" w:eastAsia="Segoe UI" w:cs="Times New Roman"/>
                <w:i w:val="0"/>
                <w:iCs w:val="0"/>
                <w:caps w:val="0"/>
                <w:color w:val="0F1115"/>
                <w:spacing w:val="0"/>
                <w:sz w:val="24"/>
                <w:szCs w:val="24"/>
                <w:shd w:val="clear" w:fill="FFFFFF"/>
              </w:rPr>
              <w:t>高温流体（800～1200℃）喷射，直接造成重度灼伤、呼吸道高温灼伤窒息；爆炸冲击波冲击人员、重型设备，引发二次坍塌；喷出高浓度CO、有毒烟气，大范围中毒窒息；喷射高温碎屑引燃周边可燃物，扩大火情。</w:t>
            </w:r>
          </w:p>
          <w:p w14:paraId="52D41459">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eastAsia" w:ascii="Times New Roman" w:hAnsi="Times New Roman" w:eastAsia="Segoe UI" w:cs="Times New Roman"/>
                <w:i w:val="0"/>
                <w:iCs w:val="0"/>
                <w:caps w:val="0"/>
                <w:color w:val="0F1115"/>
                <w:spacing w:val="0"/>
                <w:sz w:val="24"/>
                <w:szCs w:val="24"/>
                <w:shd w:val="clear" w:fill="FFFFFF"/>
                <w:lang w:val="en-US" w:eastAsia="zh-CN"/>
              </w:rPr>
              <w:t>5</w:t>
            </w:r>
            <w:r>
              <w:rPr>
                <w:rFonts w:hint="default" w:ascii="Times New Roman" w:hAnsi="Times New Roman" w:eastAsia="Segoe UI" w:cs="Times New Roman"/>
                <w:i w:val="0"/>
                <w:iCs w:val="0"/>
                <w:caps w:val="0"/>
                <w:color w:val="0F1115"/>
                <w:spacing w:val="0"/>
                <w:sz w:val="24"/>
                <w:szCs w:val="24"/>
                <w:shd w:val="clear" w:fill="FFFFFF"/>
                <w:lang w:val="en-US" w:eastAsia="zh-CN"/>
              </w:rPr>
              <w:t>）火区治理</w:t>
            </w:r>
            <w:r>
              <w:rPr>
                <w:rFonts w:hint="eastAsia" w:ascii="Times New Roman" w:hAnsi="Times New Roman" w:eastAsia="Segoe UI" w:cs="Times New Roman"/>
                <w:i w:val="0"/>
                <w:iCs w:val="0"/>
                <w:caps w:val="0"/>
                <w:color w:val="0F1115"/>
                <w:spacing w:val="0"/>
                <w:sz w:val="24"/>
                <w:szCs w:val="24"/>
                <w:shd w:val="clear" w:fill="FFFFFF"/>
                <w:lang w:val="en-US" w:eastAsia="zh-CN"/>
              </w:rPr>
              <w:t>采空塌陷</w:t>
            </w:r>
            <w:r>
              <w:rPr>
                <w:rFonts w:hint="default" w:ascii="Times New Roman" w:hAnsi="Times New Roman" w:eastAsia="Segoe UI" w:cs="Times New Roman"/>
                <w:i w:val="0"/>
                <w:iCs w:val="0"/>
                <w:caps w:val="0"/>
                <w:color w:val="0F1115"/>
                <w:spacing w:val="0"/>
                <w:sz w:val="24"/>
                <w:szCs w:val="24"/>
                <w:shd w:val="clear" w:fill="FFFFFF"/>
                <w:lang w:val="en-US" w:eastAsia="zh-CN"/>
              </w:rPr>
              <w:t xml:space="preserve">风险影响分析 </w:t>
            </w:r>
          </w:p>
          <w:p w14:paraId="1C5BB4CA">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Segoe UI" w:cs="Times New Roman"/>
                <w:i w:val="0"/>
                <w:iCs w:val="0"/>
                <w:caps w:val="0"/>
                <w:color w:val="0F1115"/>
                <w:spacing w:val="0"/>
                <w:sz w:val="24"/>
                <w:szCs w:val="24"/>
                <w:shd w:val="clear" w:fill="FFFFFF"/>
                <w:lang w:val="en-US" w:eastAsia="zh-CN"/>
              </w:rPr>
            </w:pPr>
            <w:r>
              <w:rPr>
                <w:rFonts w:hint="default" w:ascii="宋体" w:hAnsi="宋体" w:eastAsia="宋体" w:cs="宋体"/>
                <w:sz w:val="24"/>
                <w:szCs w:val="24"/>
              </w:rPr>
              <w:t>煤层燃烧后有机质烧</w:t>
            </w:r>
            <w:r>
              <w:rPr>
                <w:rFonts w:hint="eastAsia" w:ascii="Times New Roman" w:hAnsi="Times New Roman" w:eastAsia="Segoe UI" w:cs="Times New Roman"/>
                <w:i w:val="0"/>
                <w:iCs w:val="0"/>
                <w:caps w:val="0"/>
                <w:color w:val="0F1115"/>
                <w:spacing w:val="0"/>
                <w:sz w:val="24"/>
                <w:szCs w:val="24"/>
                <w:shd w:val="clear" w:fill="FFFFFF"/>
                <w:lang w:val="en-US" w:eastAsia="zh-CN"/>
              </w:rPr>
              <w:t>失，原煤层空间形成巨大采空空洞；顶板岩层失去煤层支撑，持续高温灼烧使岩石矿物失水、结构疏松、强度大幅下降，形成火烧破碎岩。灭火工程扰动加剧失稳，开挖剥离火区覆岩、钻孔贯通弱化岩体完整性、大量注水软化破碎围岩、浆液冲刷裂隙，降低岩体抗剪强度。塌陷</w:t>
            </w:r>
            <w:r>
              <w:rPr>
                <w:rFonts w:hint="eastAsia" w:ascii="Times New Roman" w:hAnsi="Times New Roman" w:eastAsia="宋体" w:cs="Times New Roman"/>
                <w:i w:val="0"/>
                <w:iCs w:val="0"/>
                <w:caps w:val="0"/>
                <w:color w:val="0F1115"/>
                <w:spacing w:val="0"/>
                <w:sz w:val="24"/>
                <w:szCs w:val="24"/>
                <w:shd w:val="clear" w:fill="FFFFFF"/>
                <w:lang w:val="en-US" w:eastAsia="zh-CN"/>
              </w:rPr>
              <w:t>主要危害</w:t>
            </w:r>
            <w:r>
              <w:rPr>
                <w:rFonts w:hint="eastAsia" w:ascii="Times New Roman" w:hAnsi="Times New Roman" w:cs="Times New Roman"/>
                <w:i w:val="0"/>
                <w:iCs w:val="0"/>
                <w:caps w:val="0"/>
                <w:color w:val="0F1115"/>
                <w:spacing w:val="0"/>
                <w:sz w:val="24"/>
                <w:szCs w:val="24"/>
                <w:shd w:val="clear" w:fill="FFFFFF"/>
                <w:lang w:val="en-US" w:eastAsia="zh-CN"/>
              </w:rPr>
              <w:t>：</w:t>
            </w:r>
            <w:r>
              <w:rPr>
                <w:rFonts w:hint="eastAsia" w:ascii="Times New Roman" w:hAnsi="Times New Roman" w:eastAsia="Segoe UI" w:cs="Times New Roman"/>
                <w:i w:val="0"/>
                <w:iCs w:val="0"/>
                <w:caps w:val="0"/>
                <w:color w:val="0F1115"/>
                <w:spacing w:val="0"/>
                <w:sz w:val="24"/>
                <w:szCs w:val="24"/>
                <w:shd w:val="clear" w:fill="FFFFFF"/>
                <w:lang w:val="en-US" w:eastAsia="zh-CN"/>
              </w:rPr>
              <w:t>人员坠落塌陷坑掩埋伤亡；施工机械、管线、临时驻地损毁；地表裂缝贯通地下火区，大量漏风加剧自燃，扩大火区范围；塌陷裂隙成为爆喷泄压通道，有毒高温气体无规则外泄；塌陷扰动使钻孔变形堵塞，灭火注浆、降温工程失效。</w:t>
            </w:r>
          </w:p>
          <w:p w14:paraId="74A7E1CB">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eastAsia" w:ascii="Times New Roman" w:hAnsi="Times New Roman" w:eastAsia="Segoe UI" w:cs="Times New Roman"/>
                <w:i w:val="0"/>
                <w:iCs w:val="0"/>
                <w:caps w:val="0"/>
                <w:color w:val="0F1115"/>
                <w:spacing w:val="0"/>
                <w:sz w:val="24"/>
                <w:szCs w:val="24"/>
                <w:shd w:val="clear" w:fill="FFFFFF"/>
                <w:lang w:val="en-US" w:eastAsia="zh-CN"/>
              </w:rPr>
              <w:t>6</w:t>
            </w:r>
            <w:r>
              <w:rPr>
                <w:rFonts w:hint="default" w:ascii="Times New Roman" w:hAnsi="Times New Roman" w:eastAsia="Segoe UI" w:cs="Times New Roman"/>
                <w:i w:val="0"/>
                <w:iCs w:val="0"/>
                <w:caps w:val="0"/>
                <w:color w:val="0F1115"/>
                <w:spacing w:val="0"/>
                <w:sz w:val="24"/>
                <w:szCs w:val="24"/>
                <w:shd w:val="clear" w:fill="FFFFFF"/>
                <w:lang w:val="en-US" w:eastAsia="zh-CN"/>
              </w:rPr>
              <w:t>）</w:t>
            </w:r>
            <w:r>
              <w:rPr>
                <w:rFonts w:hint="default" w:ascii="Times New Roman" w:hAnsi="Times New Roman" w:eastAsia="Segoe UI" w:cs="Times New Roman"/>
                <w:i w:val="0"/>
                <w:iCs w:val="0"/>
                <w:caps w:val="0"/>
                <w:color w:val="0F1115"/>
                <w:spacing w:val="0"/>
                <w:sz w:val="24"/>
                <w:szCs w:val="24"/>
                <w:shd w:val="clear" w:fill="FFFFFF"/>
              </w:rPr>
              <w:t>取土场垮塌风险影响分析</w:t>
            </w:r>
          </w:p>
          <w:p w14:paraId="4F524993">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本项目取土场取土随着取土区域扩大，可能导致取土场局部垮塌，危及施工人员的人身安全。因此取土场取土时需严格遵守规定和操作程序，不得擅自修改取土路线，需采取临时防护措施，以确保取土场取土的安全和施工人员的安全。</w:t>
            </w:r>
          </w:p>
          <w:p w14:paraId="2A8BE01E">
            <w:pPr>
              <w:pStyle w:val="106"/>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723" w:firstLineChars="300"/>
              <w:textAlignment w:val="auto"/>
              <w:rPr>
                <w:rFonts w:hint="default" w:ascii="Times New Roman" w:hAnsi="Times New Roman" w:eastAsia="宋体" w:cs="Times New Roman"/>
                <w:b/>
                <w:bCs/>
                <w:color w:val="auto"/>
                <w:sz w:val="24"/>
                <w:lang w:val="en-US" w:eastAsia="zh-CN"/>
              </w:rPr>
            </w:pPr>
            <w:r>
              <w:rPr>
                <w:rFonts w:hint="eastAsia" w:ascii="Times New Roman" w:hAnsi="Times New Roman" w:cs="Times New Roman"/>
                <w:b/>
                <w:bCs/>
                <w:color w:val="auto"/>
                <w:sz w:val="24"/>
                <w:lang w:val="en-US" w:eastAsia="zh-CN"/>
              </w:rPr>
              <w:t>8、项目建设的正效益影响分析</w:t>
            </w:r>
          </w:p>
          <w:p w14:paraId="5EC8FB29">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本项目本质上属于生态环境治理类项目，项目的实施不仅具有积极的经济与社会效益，而且具有明显的生态环境效益。根据设计，昌吉庙尔沟火区灭火工程的实施可减少煤炭燃烧损失量15.86万</w:t>
            </w:r>
            <w:r>
              <w:rPr>
                <w:rFonts w:hint="default" w:ascii="Times New Roman" w:hAnsi="Times New Roman" w:eastAsia="宋体" w:cs="Times New Roman"/>
                <w:color w:val="auto"/>
                <w:kern w:val="2"/>
                <w:sz w:val="24"/>
                <w:szCs w:val="24"/>
                <w:lang w:val="en-US" w:eastAsia="zh-CN" w:bidi="ar-SA"/>
              </w:rPr>
              <w:t>t</w:t>
            </w:r>
            <w:r>
              <w:rPr>
                <w:rFonts w:hint="eastAsia" w:ascii="Times New Roman" w:hAnsi="Times New Roman" w:eastAsia="宋体" w:cs="Times New Roman"/>
                <w:color w:val="auto"/>
                <w:kern w:val="2"/>
                <w:sz w:val="24"/>
                <w:szCs w:val="24"/>
                <w:lang w:val="en-US" w:eastAsia="zh-CN" w:bidi="ar-SA"/>
              </w:rPr>
              <w:t>，受威胁储量330.8万</w:t>
            </w:r>
            <w:r>
              <w:rPr>
                <w:rFonts w:hint="default" w:ascii="Times New Roman" w:hAnsi="Times New Roman" w:eastAsia="宋体" w:cs="Times New Roman"/>
                <w:color w:val="auto"/>
                <w:kern w:val="2"/>
                <w:sz w:val="24"/>
                <w:szCs w:val="24"/>
                <w:lang w:val="en-US" w:eastAsia="zh-CN" w:bidi="ar-SA"/>
              </w:rPr>
              <w:t>t</w:t>
            </w:r>
            <w:r>
              <w:rPr>
                <w:rFonts w:hint="eastAsia" w:ascii="Times New Roman" w:hAnsi="Times New Roman" w:eastAsia="宋体" w:cs="Times New Roman"/>
                <w:color w:val="auto"/>
                <w:kern w:val="2"/>
                <w:sz w:val="24"/>
                <w:szCs w:val="24"/>
                <w:lang w:val="en-US" w:eastAsia="zh-CN" w:bidi="ar-SA"/>
              </w:rPr>
              <w:t>。按煤价</w:t>
            </w:r>
            <w:r>
              <w:rPr>
                <w:rFonts w:hint="default" w:ascii="Times New Roman" w:hAnsi="Times New Roman" w:eastAsia="宋体" w:cs="Times New Roman"/>
                <w:color w:val="auto"/>
                <w:kern w:val="2"/>
                <w:sz w:val="24"/>
                <w:szCs w:val="24"/>
                <w:lang w:val="en-US" w:eastAsia="zh-CN" w:bidi="ar-SA"/>
              </w:rPr>
              <w:t>180</w:t>
            </w:r>
            <w:r>
              <w:rPr>
                <w:rFonts w:hint="eastAsia" w:ascii="Times New Roman" w:hAnsi="Times New Roman" w:eastAsia="宋体" w:cs="Times New Roman"/>
                <w:color w:val="auto"/>
                <w:kern w:val="2"/>
                <w:sz w:val="24"/>
                <w:szCs w:val="24"/>
                <w:lang w:val="en-US" w:eastAsia="zh-CN" w:bidi="ar-SA"/>
              </w:rPr>
              <w:t>元</w:t>
            </w:r>
            <w:r>
              <w:rPr>
                <w:rFonts w:hint="default" w:ascii="Times New Roman" w:hAnsi="Times New Roman" w:eastAsia="宋体" w:cs="Times New Roman"/>
                <w:color w:val="auto"/>
                <w:kern w:val="2"/>
                <w:sz w:val="24"/>
                <w:szCs w:val="24"/>
                <w:lang w:val="en-US" w:eastAsia="zh-CN" w:bidi="ar-SA"/>
              </w:rPr>
              <w:t>/t</w:t>
            </w:r>
            <w:r>
              <w:rPr>
                <w:rFonts w:hint="eastAsia" w:ascii="Times New Roman" w:hAnsi="Times New Roman" w:eastAsia="宋体" w:cs="Times New Roman"/>
                <w:color w:val="auto"/>
                <w:kern w:val="2"/>
                <w:sz w:val="24"/>
                <w:szCs w:val="24"/>
                <w:lang w:val="en-US" w:eastAsia="zh-CN" w:bidi="ar-SA"/>
              </w:rPr>
              <w:t>，估算每年可减少经济损失2584.8万元，直接减少59544万元的经济损失。</w:t>
            </w:r>
          </w:p>
          <w:p w14:paraId="1F2F7395">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根据《环境统计工作手册》以及西沙沟火区的煤质、煤类和年燃烧损失量情况，火区煤炭平均含硫量为0.45</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，灰分为21.59</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，每年该煤田因燃烧损失煤炭存量15.86万吨进行计算，推算出西沙沟火区每年因燃烧产生大气污染物排放：</w:t>
            </w:r>
          </w:p>
          <w:p w14:paraId="340B65EB">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二氧化硫年排放约1142吨。</w:t>
            </w:r>
          </w:p>
          <w:p w14:paraId="16976980">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烟尘：烟气中烟尘占灰分的比率约为</w:t>
            </w:r>
            <w:r>
              <w:rPr>
                <w:rFonts w:hint="default" w:ascii="Times New Roman" w:hAnsi="Times New Roman" w:eastAsia="宋体" w:cs="Times New Roman"/>
                <w:color w:val="auto"/>
                <w:kern w:val="2"/>
                <w:sz w:val="24"/>
                <w:szCs w:val="24"/>
                <w:lang w:val="en-US" w:eastAsia="zh-CN" w:bidi="ar-SA"/>
              </w:rPr>
              <w:t>25%</w:t>
            </w:r>
            <w:r>
              <w:rPr>
                <w:rFonts w:hint="eastAsia" w:ascii="Times New Roman" w:hAnsi="Times New Roman" w:eastAsia="宋体" w:cs="Times New Roman"/>
                <w:color w:val="auto"/>
                <w:kern w:val="2"/>
                <w:sz w:val="24"/>
                <w:szCs w:val="24"/>
                <w:lang w:val="en-US" w:eastAsia="zh-CN" w:bidi="ar-SA"/>
              </w:rPr>
              <w:t>，结合区内煤炭年损失量计算出区内年排放烟尘约8560吨。</w:t>
            </w:r>
          </w:p>
          <w:p w14:paraId="4405FA5B">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氮的氧化物：煤炭含氮量极少，但是在煤炭燃烧过程中，高温会使空气中的氮和氧发生反应，形成氮氧化物，根据国家环保总局相关规定，</w:t>
            </w:r>
            <w:r>
              <w:rPr>
                <w:rFonts w:hint="default" w:ascii="Times New Roman" w:hAnsi="Times New Roman" w:eastAsia="宋体" w:cs="Times New Roman"/>
                <w:color w:val="auto"/>
                <w:kern w:val="2"/>
                <w:sz w:val="24"/>
                <w:szCs w:val="24"/>
                <w:lang w:val="en-US" w:eastAsia="zh-CN" w:bidi="ar-SA"/>
              </w:rPr>
              <w:t>1</w:t>
            </w:r>
            <w:r>
              <w:rPr>
                <w:rFonts w:hint="eastAsia" w:ascii="Times New Roman" w:hAnsi="Times New Roman" w:eastAsia="宋体" w:cs="Times New Roman"/>
                <w:color w:val="auto"/>
                <w:kern w:val="2"/>
                <w:sz w:val="24"/>
                <w:szCs w:val="24"/>
                <w:lang w:val="en-US" w:eastAsia="zh-CN" w:bidi="ar-SA"/>
              </w:rPr>
              <w:t>吨煤燃烧产生氮的氧化物约为</w:t>
            </w:r>
            <w:r>
              <w:rPr>
                <w:rFonts w:hint="default" w:ascii="Times New Roman" w:hAnsi="Times New Roman" w:eastAsia="宋体" w:cs="Times New Roman"/>
                <w:color w:val="auto"/>
                <w:kern w:val="2"/>
                <w:sz w:val="24"/>
                <w:szCs w:val="24"/>
                <w:lang w:val="en-US" w:eastAsia="zh-CN" w:bidi="ar-SA"/>
              </w:rPr>
              <w:t>18.64</w:t>
            </w:r>
            <w:r>
              <w:rPr>
                <w:rFonts w:hint="eastAsia" w:ascii="Times New Roman" w:hAnsi="Times New Roman" w:eastAsia="宋体" w:cs="Times New Roman"/>
                <w:color w:val="auto"/>
                <w:kern w:val="2"/>
                <w:sz w:val="24"/>
                <w:szCs w:val="24"/>
                <w:lang w:val="en-US" w:eastAsia="zh-CN" w:bidi="ar-SA"/>
              </w:rPr>
              <w:t>千克。结合区内煤炭年损失量，计算出区内年排放氮氧化物约2596吨。</w:t>
            </w:r>
          </w:p>
          <w:p w14:paraId="68098636">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据统计计算，烟煤燃烧时</w:t>
            </w:r>
            <w:r>
              <w:rPr>
                <w:rFonts w:hint="default" w:ascii="Times New Roman" w:hAnsi="Times New Roman" w:eastAsia="宋体" w:cs="Times New Roman"/>
                <w:color w:val="auto"/>
                <w:kern w:val="2"/>
                <w:sz w:val="24"/>
                <w:szCs w:val="24"/>
                <w:lang w:val="en-US" w:eastAsia="zh-CN" w:bidi="ar-SA"/>
              </w:rPr>
              <w:t>CO</w:t>
            </w:r>
            <w:r>
              <w:rPr>
                <w:rFonts w:hint="default" w:ascii="Times New Roman" w:hAnsi="Times New Roman" w:eastAsia="宋体" w:cs="Times New Roman"/>
                <w:color w:val="auto"/>
                <w:kern w:val="2"/>
                <w:sz w:val="24"/>
                <w:szCs w:val="24"/>
                <w:vertAlign w:val="subscript"/>
                <w:lang w:val="en-US" w:eastAsia="zh-CN" w:bidi="ar-SA"/>
              </w:rPr>
              <w:t>2</w:t>
            </w:r>
            <w:r>
              <w:rPr>
                <w:rFonts w:hint="eastAsia" w:ascii="Times New Roman" w:hAnsi="Times New Roman" w:eastAsia="宋体" w:cs="Times New Roman"/>
                <w:color w:val="auto"/>
                <w:kern w:val="2"/>
                <w:sz w:val="24"/>
                <w:szCs w:val="24"/>
                <w:lang w:val="en-US" w:eastAsia="zh-CN" w:bidi="ar-SA"/>
              </w:rPr>
              <w:t>的产污系数为</w:t>
            </w:r>
            <w:r>
              <w:rPr>
                <w:rFonts w:hint="default" w:ascii="Times New Roman" w:hAnsi="Times New Roman" w:eastAsia="宋体" w:cs="Times New Roman"/>
                <w:color w:val="auto"/>
                <w:kern w:val="2"/>
                <w:sz w:val="24"/>
                <w:szCs w:val="24"/>
                <w:lang w:val="en-US" w:eastAsia="zh-CN" w:bidi="ar-SA"/>
              </w:rPr>
              <w:t>55.9kg/t</w:t>
            </w:r>
            <w:r>
              <w:rPr>
                <w:rFonts w:hint="eastAsia" w:ascii="Times New Roman" w:hAnsi="Times New Roman" w:eastAsia="宋体" w:cs="Times New Roman"/>
                <w:color w:val="auto"/>
                <w:kern w:val="2"/>
                <w:sz w:val="24"/>
                <w:szCs w:val="24"/>
                <w:lang w:val="en-US" w:eastAsia="zh-CN" w:bidi="ar-SA"/>
              </w:rPr>
              <w:t>，而</w:t>
            </w:r>
            <w:r>
              <w:rPr>
                <w:rFonts w:hint="default" w:ascii="Times New Roman" w:hAnsi="Times New Roman" w:eastAsia="宋体" w:cs="Times New Roman"/>
                <w:color w:val="auto"/>
                <w:kern w:val="2"/>
                <w:sz w:val="24"/>
                <w:szCs w:val="24"/>
                <w:lang w:val="en-US" w:eastAsia="zh-CN" w:bidi="ar-SA"/>
              </w:rPr>
              <w:t>CO</w:t>
            </w:r>
            <w:r>
              <w:rPr>
                <w:rFonts w:hint="default" w:ascii="Times New Roman" w:hAnsi="Times New Roman" w:eastAsia="宋体" w:cs="Times New Roman"/>
                <w:color w:val="auto"/>
                <w:kern w:val="2"/>
                <w:sz w:val="24"/>
                <w:szCs w:val="24"/>
                <w:vertAlign w:val="subscript"/>
                <w:lang w:val="en-US" w:eastAsia="zh-CN" w:bidi="ar-SA"/>
              </w:rPr>
              <w:t>2</w:t>
            </w:r>
            <w:r>
              <w:rPr>
                <w:rFonts w:hint="eastAsia" w:cs="Times New Roman"/>
                <w:color w:val="auto"/>
                <w:kern w:val="2"/>
                <w:sz w:val="24"/>
                <w:szCs w:val="24"/>
                <w:vertAlign w:val="subscript"/>
                <w:lang w:val="en-US" w:eastAsia="zh-CN" w:bidi="ar-SA"/>
              </w:rPr>
              <w:t>则以</w:t>
            </w:r>
            <w:r>
              <w:rPr>
                <w:rFonts w:hint="eastAsia" w:ascii="Times New Roman" w:hAnsi="Times New Roman" w:eastAsia="宋体" w:cs="Times New Roman"/>
                <w:color w:val="auto"/>
                <w:kern w:val="2"/>
                <w:sz w:val="24"/>
                <w:szCs w:val="24"/>
                <w:lang w:val="en-US" w:eastAsia="zh-CN" w:bidi="ar-SA"/>
              </w:rPr>
              <w:t>原煤中固定碳含量</w:t>
            </w:r>
            <w:r>
              <w:rPr>
                <w:rFonts w:hint="default" w:ascii="Times New Roman" w:hAnsi="Times New Roman" w:eastAsia="宋体" w:cs="Times New Roman"/>
                <w:color w:val="auto"/>
                <w:kern w:val="2"/>
                <w:sz w:val="24"/>
                <w:szCs w:val="24"/>
                <w:lang w:val="en-US" w:eastAsia="zh-CN" w:bidi="ar-SA"/>
              </w:rPr>
              <w:t>50%</w:t>
            </w:r>
            <w:r>
              <w:rPr>
                <w:rFonts w:hint="eastAsia" w:ascii="Times New Roman" w:hAnsi="Times New Roman" w:eastAsia="宋体" w:cs="Times New Roman"/>
                <w:color w:val="auto"/>
                <w:kern w:val="2"/>
                <w:sz w:val="24"/>
                <w:szCs w:val="24"/>
                <w:lang w:val="en-US" w:eastAsia="zh-CN" w:bidi="ar-SA"/>
              </w:rPr>
              <w:t>计算，含碳量约</w:t>
            </w:r>
            <w:r>
              <w:rPr>
                <w:rFonts w:hint="default" w:ascii="Times New Roman" w:hAnsi="Times New Roman" w:eastAsia="宋体" w:cs="Times New Roman"/>
                <w:color w:val="auto"/>
                <w:kern w:val="2"/>
                <w:sz w:val="24"/>
                <w:szCs w:val="24"/>
                <w:lang w:val="en-US" w:eastAsia="zh-CN" w:bidi="ar-SA"/>
              </w:rPr>
              <w:t>80.42%</w:t>
            </w:r>
            <w:r>
              <w:rPr>
                <w:rFonts w:hint="eastAsia" w:ascii="Times New Roman" w:hAnsi="Times New Roman" w:eastAsia="宋体" w:cs="Times New Roman"/>
                <w:color w:val="auto"/>
                <w:kern w:val="2"/>
                <w:sz w:val="24"/>
                <w:szCs w:val="24"/>
                <w:lang w:val="en-US" w:eastAsia="zh-CN" w:bidi="ar-SA"/>
              </w:rPr>
              <w:t>，结合年损失量计算出区内年排放</w:t>
            </w:r>
            <w:r>
              <w:rPr>
                <w:rFonts w:hint="default" w:ascii="Times New Roman" w:hAnsi="Times New Roman" w:eastAsia="宋体" w:cs="Times New Roman"/>
                <w:color w:val="auto"/>
                <w:kern w:val="2"/>
                <w:sz w:val="24"/>
                <w:szCs w:val="24"/>
                <w:lang w:val="en-US" w:eastAsia="zh-CN" w:bidi="ar-SA"/>
              </w:rPr>
              <w:t>CO</w:t>
            </w:r>
            <w:r>
              <w:rPr>
                <w:rFonts w:hint="eastAsia" w:ascii="Times New Roman" w:hAnsi="Times New Roman" w:eastAsia="宋体" w:cs="Times New Roman"/>
                <w:color w:val="auto"/>
                <w:kern w:val="2"/>
                <w:sz w:val="24"/>
                <w:szCs w:val="24"/>
                <w:lang w:val="en-US" w:eastAsia="zh-CN" w:bidi="ar-SA"/>
              </w:rPr>
              <w:t>约14.88万吨，年排放</w:t>
            </w:r>
            <w:r>
              <w:rPr>
                <w:rFonts w:hint="default" w:ascii="Times New Roman" w:hAnsi="Times New Roman" w:eastAsia="宋体" w:cs="Times New Roman"/>
                <w:color w:val="auto"/>
                <w:kern w:val="2"/>
                <w:sz w:val="24"/>
                <w:szCs w:val="24"/>
                <w:lang w:val="en-US" w:eastAsia="zh-CN" w:bidi="ar-SA"/>
              </w:rPr>
              <w:t>CO</w:t>
            </w:r>
            <w:r>
              <w:rPr>
                <w:rFonts w:hint="eastAsia" w:ascii="Times New Roman" w:hAnsi="Times New Roman" w:eastAsia="宋体" w:cs="Times New Roman"/>
                <w:color w:val="auto"/>
                <w:kern w:val="2"/>
                <w:sz w:val="24"/>
                <w:szCs w:val="24"/>
                <w:vertAlign w:val="subscript"/>
                <w:lang w:val="en-US" w:eastAsia="zh-CN" w:bidi="ar-SA"/>
              </w:rPr>
              <w:t>2</w:t>
            </w:r>
            <w:r>
              <w:rPr>
                <w:rFonts w:hint="eastAsia" w:ascii="Times New Roman" w:hAnsi="Times New Roman" w:eastAsia="宋体" w:cs="Times New Roman"/>
                <w:color w:val="auto"/>
                <w:kern w:val="2"/>
                <w:sz w:val="24"/>
                <w:szCs w:val="24"/>
                <w:lang w:val="en-US" w:eastAsia="zh-CN" w:bidi="ar-SA"/>
              </w:rPr>
              <w:t>约0.89万吨。此外还有大量氟、氯、砷等有害元素，对大气造成了严重污染。</w:t>
            </w:r>
          </w:p>
          <w:p w14:paraId="469035C5">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煤层燃烧过程中会放出的大量二氧化碳、二氧化硫、烟尘和氮氧化物气体，二氧化碳是造成温室效应的主要气体，火区的长期燃烧，放出的温室气体越来越多，大气结构遭到持续破坏，加重了温室效应作用。二氧化硫是造成酸雨的主要气体，火区长期燃烧，放出大量的二氧化硫气体，形成酸雨后降落到地面，导致地表植被死亡，加速了土地的荒漠化。 </w:t>
            </w:r>
          </w:p>
          <w:p w14:paraId="78BEE6D8">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kern w:val="2"/>
                <w:sz w:val="24"/>
                <w:szCs w:val="24"/>
                <w:lang w:val="en-US" w:eastAsia="en-US" w:bidi="ar-SA"/>
              </w:rPr>
            </w:pPr>
            <w:r>
              <w:rPr>
                <w:rFonts w:hint="eastAsia" w:ascii="Times New Roman" w:hAnsi="Times New Roman" w:eastAsia="宋体" w:cs="Times New Roman"/>
                <w:color w:val="auto"/>
                <w:kern w:val="2"/>
                <w:sz w:val="24"/>
                <w:szCs w:val="24"/>
                <w:lang w:val="en-US" w:eastAsia="zh-CN" w:bidi="ar-SA"/>
              </w:rPr>
              <w:t>火区灭火治理施工过程中提出的各项生态环境保护措施，可以在工程施工过程中有效保护施工区域的生态环境，工程的实施可以解除因火区煤层燃烧而产生的大量有毒有害气体对大气的污染，能够有效地改善当地空气质量和火区周边大气环境状况。煤层自燃消除后，排放大气环境的含碳有害气体（二氧化硫、二氧化碳、氮氧化物、烟尘等）的减少对碳减排有着正效应的贡献。等灭火工程结束后，对火区地表的塌陷和裂隙进行剥离平整、填充，将改造火区地貌，减少火区周围地质灾害的发生；对火区覆盖面土壤表层进行恢复，将有效改善火区及周围地表生态环境，减少土壤的沙漠化和水土流失，改善当地生态环境，经济效益和生态效益。</w:t>
            </w:r>
          </w:p>
          <w:p w14:paraId="5BC4ECD1">
            <w:pPr>
              <w:pStyle w:val="106"/>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cs="Times New Roman"/>
                <w:b/>
                <w:bCs/>
                <w:color w:val="auto"/>
                <w:kern w:val="2"/>
                <w:sz w:val="24"/>
                <w:szCs w:val="24"/>
                <w:lang w:val="en-US" w:eastAsia="zh-CN" w:bidi="ar-SA"/>
              </w:rPr>
              <w:t>9、灭火工程实施对康龙煤矿井工开采影响分析</w:t>
            </w:r>
          </w:p>
          <w:p w14:paraId="1D44B147">
            <w:pPr>
              <w:keepNext w:val="0"/>
              <w:keepLines w:val="0"/>
              <w:widowControl/>
              <w:suppressLineNumbers w:val="0"/>
              <w:spacing w:before="0" w:beforeAutospacing="0" w:after="0" w:afterAutospacing="0" w:line="360" w:lineRule="auto"/>
              <w:ind w:left="0" w:right="0" w:firstLine="480" w:firstLineChars="200"/>
              <w:jc w:val="left"/>
              <w:rPr>
                <w:rFonts w:hint="default" w:ascii="Segoe UI" w:hAnsi="Segoe UI" w:eastAsia="Segoe UI" w:cs="Segoe UI"/>
                <w:b w:val="0"/>
                <w:bCs w:val="0"/>
                <w:i w:val="0"/>
                <w:iCs w:val="0"/>
                <w:caps w:val="0"/>
                <w:color w:val="0F1115"/>
                <w:spacing w:val="0"/>
                <w:sz w:val="24"/>
                <w:szCs w:val="24"/>
                <w:shd w:val="clear" w:fill="FFFFFF"/>
              </w:rPr>
            </w:pPr>
            <w:r>
              <w:rPr>
                <w:rFonts w:hint="eastAsia" w:cs="Times New Roman"/>
                <w:b w:val="0"/>
                <w:bCs w:val="0"/>
                <w:color w:val="auto"/>
                <w:kern w:val="2"/>
                <w:sz w:val="24"/>
                <w:szCs w:val="24"/>
                <w:lang w:val="en-US" w:eastAsia="zh-CN" w:bidi="ar-SA"/>
              </w:rPr>
              <w:t>1</w:t>
            </w:r>
            <w:r>
              <w:rPr>
                <w:rFonts w:hint="default" w:ascii="Times New Roman" w:hAnsi="Times New Roman" w:eastAsia="宋体" w:cs="Times New Roman"/>
                <w:b w:val="0"/>
                <w:bCs w:val="0"/>
                <w:color w:val="auto"/>
                <w:kern w:val="2"/>
                <w:sz w:val="24"/>
                <w:szCs w:val="24"/>
                <w:lang w:val="en-US" w:eastAsia="zh-CN" w:bidi="ar-SA"/>
              </w:rPr>
              <w:t>）</w:t>
            </w:r>
            <w:r>
              <w:rPr>
                <w:rFonts w:hint="default" w:ascii="Segoe UI" w:hAnsi="Segoe UI" w:eastAsia="Segoe UI" w:cs="Segoe UI"/>
                <w:b w:val="0"/>
                <w:bCs w:val="0"/>
                <w:i w:val="0"/>
                <w:iCs w:val="0"/>
                <w:caps w:val="0"/>
                <w:color w:val="0F1115"/>
                <w:spacing w:val="0"/>
                <w:sz w:val="24"/>
                <w:szCs w:val="24"/>
                <w:shd w:val="clear" w:fill="FFFFFF"/>
              </w:rPr>
              <w:t>灭火工程性质为地面治理，不改变井下开拓布局</w:t>
            </w:r>
          </w:p>
          <w:p w14:paraId="5DB651EA">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val="0"/>
                <w:color w:val="auto"/>
                <w:kern w:val="2"/>
                <w:sz w:val="24"/>
                <w:szCs w:val="24"/>
                <w:lang w:val="en-US" w:eastAsia="zh-CN" w:bidi="ar-SA"/>
              </w:rPr>
            </w:pPr>
            <w:r>
              <w:rPr>
                <w:rFonts w:hint="default" w:ascii="Segoe UI" w:hAnsi="Segoe UI" w:eastAsia="Segoe UI" w:cs="Segoe UI"/>
                <w:b w:val="0"/>
                <w:bCs w:val="0"/>
                <w:i w:val="0"/>
                <w:iCs w:val="0"/>
                <w:caps w:val="0"/>
                <w:color w:val="0F1115"/>
                <w:spacing w:val="0"/>
                <w:sz w:val="24"/>
                <w:szCs w:val="24"/>
                <w:shd w:val="clear" w:fill="FFFFFF"/>
              </w:rPr>
              <w:t>本次灭火工程主要采取剥离、钻探、注水、注浆、覆盖等地面综合工艺进行火区治理。工程实施范围仅限于地面火区及浅部烧空区，不涉及井下巷道开拓、采掘系统调整等改变井工开采方式的内容。井工开采的开拓布置、采煤方</w:t>
            </w:r>
            <w:r>
              <w:rPr>
                <w:rFonts w:hint="default" w:ascii="Times New Roman" w:hAnsi="Times New Roman" w:eastAsia="宋体" w:cs="Times New Roman"/>
                <w:b w:val="0"/>
                <w:bCs w:val="0"/>
                <w:color w:val="auto"/>
                <w:kern w:val="2"/>
                <w:sz w:val="24"/>
                <w:szCs w:val="24"/>
                <w:lang w:val="en-US" w:eastAsia="zh-CN" w:bidi="ar-SA"/>
              </w:rPr>
              <w:t>法、通风方式、巷道支护方式等核心要素均不因地面灭火工程的实施而发生改变</w:t>
            </w:r>
            <w:r>
              <w:rPr>
                <w:rFonts w:hint="eastAsia" w:ascii="Times New Roman" w:hAnsi="Times New Roman" w:eastAsia="宋体" w:cs="Times New Roman"/>
                <w:b w:val="0"/>
                <w:bCs w:val="0"/>
                <w:color w:val="auto"/>
                <w:kern w:val="2"/>
                <w:sz w:val="24"/>
                <w:szCs w:val="24"/>
                <w:lang w:val="en-US" w:eastAsia="zh-CN" w:bidi="ar-SA"/>
              </w:rPr>
              <w:t>。</w:t>
            </w:r>
          </w:p>
          <w:p w14:paraId="0A014C13">
            <w:pPr>
              <w:keepNext w:val="0"/>
              <w:keepLines w:val="0"/>
              <w:widowControl/>
              <w:suppressLineNumbers w:val="0"/>
              <w:spacing w:before="0" w:beforeAutospacing="0" w:after="0" w:afterAutospacing="0" w:line="360" w:lineRule="auto"/>
              <w:ind w:left="0" w:right="0" w:firstLine="480" w:firstLineChars="200"/>
              <w:jc w:val="left"/>
              <w:rPr>
                <w:rFonts w:hint="default" w:ascii="Segoe UI" w:hAnsi="Segoe UI" w:eastAsia="Segoe UI" w:cs="Segoe UI"/>
                <w:b w:val="0"/>
                <w:bCs w:val="0"/>
                <w:i w:val="0"/>
                <w:iCs w:val="0"/>
                <w:caps w:val="0"/>
                <w:color w:val="0F1115"/>
                <w:spacing w:val="0"/>
                <w:sz w:val="24"/>
                <w:szCs w:val="24"/>
                <w:shd w:val="clear" w:fill="FFFFFF"/>
              </w:rPr>
            </w:pPr>
            <w:r>
              <w:rPr>
                <w:rFonts w:hint="eastAsia" w:cs="Times New Roman"/>
                <w:b w:val="0"/>
                <w:bCs w:val="0"/>
                <w:color w:val="auto"/>
                <w:kern w:val="2"/>
                <w:sz w:val="24"/>
                <w:szCs w:val="24"/>
                <w:lang w:val="en-US" w:eastAsia="zh-CN" w:bidi="ar-SA"/>
              </w:rPr>
              <w:t>2</w:t>
            </w:r>
            <w:r>
              <w:rPr>
                <w:rFonts w:hint="default" w:ascii="Times New Roman" w:hAnsi="Times New Roman" w:eastAsia="宋体" w:cs="Times New Roman"/>
                <w:b w:val="0"/>
                <w:bCs w:val="0"/>
                <w:color w:val="auto"/>
                <w:kern w:val="2"/>
                <w:sz w:val="24"/>
                <w:szCs w:val="24"/>
                <w:lang w:val="en-US" w:eastAsia="zh-CN" w:bidi="ar-SA"/>
              </w:rPr>
              <w:t>）</w:t>
            </w:r>
            <w:r>
              <w:rPr>
                <w:rFonts w:hint="default" w:ascii="Segoe UI" w:hAnsi="Segoe UI" w:eastAsia="Segoe UI" w:cs="Segoe UI"/>
                <w:b w:val="0"/>
                <w:bCs w:val="0"/>
                <w:i w:val="0"/>
                <w:iCs w:val="0"/>
                <w:caps w:val="0"/>
                <w:color w:val="0F1115"/>
                <w:spacing w:val="0"/>
                <w:sz w:val="24"/>
                <w:szCs w:val="24"/>
                <w:shd w:val="clear" w:fill="FFFFFF"/>
              </w:rPr>
              <w:t>灭火工程旨在消除火区威胁，有利于井工开采安全</w:t>
            </w:r>
          </w:p>
          <w:p w14:paraId="26EF74C4">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煤田火区对下部井工采煤工作面的安全回采构成严重威胁</w:t>
            </w:r>
            <w:r>
              <w:rPr>
                <w:rFonts w:hint="default" w:ascii="Times New Roman" w:hAnsi="Times New Roman" w:eastAsia="宋体" w:cs="Times New Roman"/>
                <w:b w:val="0"/>
                <w:bCs w:val="0"/>
                <w:color w:val="auto"/>
                <w:kern w:val="2"/>
                <w:sz w:val="24"/>
                <w:szCs w:val="24"/>
                <w:lang w:val="en-US" w:eastAsia="zh-CN" w:bidi="ar-SA"/>
              </w:rPr>
              <w:t>。本次灭火工程的实施，恰恰是从源头上消除这一威胁——通过注水降温、注浆封堵、覆盖隔绝等措施，阻断火源向井下蔓延的通道，降低火区温度，减少有毒有害气体产生。因此，灭火工程的实施不仅不会对井工开采方式产生负面影响，反而是保障井工开采安全的前提条件。</w:t>
            </w:r>
          </w:p>
          <w:p w14:paraId="6D9F68E0">
            <w:pPr>
              <w:keepNext w:val="0"/>
              <w:keepLines w:val="0"/>
              <w:widowControl/>
              <w:suppressLineNumbers w:val="0"/>
              <w:spacing w:before="0" w:beforeAutospacing="0" w:after="0" w:afterAutospacing="0" w:line="360" w:lineRule="auto"/>
              <w:ind w:left="0" w:right="0" w:firstLine="480" w:firstLineChars="200"/>
              <w:jc w:val="left"/>
              <w:rPr>
                <w:rFonts w:hint="default" w:ascii="Segoe UI" w:hAnsi="Segoe UI" w:eastAsia="Segoe UI" w:cs="Segoe UI"/>
                <w:b w:val="0"/>
                <w:bCs w:val="0"/>
                <w:i w:val="0"/>
                <w:iCs w:val="0"/>
                <w:caps w:val="0"/>
                <w:color w:val="0F1115"/>
                <w:spacing w:val="0"/>
                <w:sz w:val="24"/>
                <w:szCs w:val="24"/>
                <w:shd w:val="clear" w:fill="FFFFFF"/>
              </w:rPr>
            </w:pPr>
            <w:r>
              <w:rPr>
                <w:rFonts w:hint="eastAsia" w:cs="Times New Roman"/>
                <w:b w:val="0"/>
                <w:bCs w:val="0"/>
                <w:color w:val="auto"/>
                <w:kern w:val="2"/>
                <w:sz w:val="24"/>
                <w:szCs w:val="24"/>
                <w:lang w:val="en-US" w:eastAsia="zh-CN" w:bidi="ar-SA"/>
              </w:rPr>
              <w:t>3</w:t>
            </w:r>
            <w:r>
              <w:rPr>
                <w:rFonts w:hint="default" w:ascii="Times New Roman" w:hAnsi="Times New Roman" w:eastAsia="宋体" w:cs="Times New Roman"/>
                <w:b w:val="0"/>
                <w:bCs w:val="0"/>
                <w:color w:val="auto"/>
                <w:kern w:val="2"/>
                <w:sz w:val="24"/>
                <w:szCs w:val="24"/>
                <w:lang w:val="en-US" w:eastAsia="zh-CN" w:bidi="ar-SA"/>
              </w:rPr>
              <w:t>）</w:t>
            </w:r>
            <w:r>
              <w:rPr>
                <w:rFonts w:hint="default" w:ascii="Segoe UI" w:hAnsi="Segoe UI" w:eastAsia="Segoe UI" w:cs="Segoe UI"/>
                <w:b w:val="0"/>
                <w:bCs w:val="0"/>
                <w:i w:val="0"/>
                <w:iCs w:val="0"/>
                <w:caps w:val="0"/>
                <w:color w:val="0F1115"/>
                <w:spacing w:val="0"/>
                <w:sz w:val="24"/>
                <w:szCs w:val="24"/>
                <w:shd w:val="clear" w:fill="FFFFFF"/>
              </w:rPr>
              <w:t>工程实施不增加采空区塌陷风险</w:t>
            </w:r>
          </w:p>
          <w:p w14:paraId="34EAE1A7">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本次灭火工程治理对象为地面火区及浅部火源体，工程措施以注水降温、注浆充填、覆盖封闭为主。注浆材料充填火区裂隙和烧空区后，反而能够增强覆岩的完整性，减少裂隙发育，降低漏风通道，对抑制采空区塌陷具有积极作用。同时，注浆充填可有效封堵火区与井下之间的气体运移通道，防止有毒有害气体侵入井下。</w:t>
            </w:r>
          </w:p>
          <w:p w14:paraId="7F168B38">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4</w:t>
            </w:r>
            <w:r>
              <w:rPr>
                <w:rFonts w:hint="default" w:ascii="Times New Roman" w:hAnsi="Times New Roman" w:eastAsia="宋体" w:cs="Times New Roman"/>
                <w:b w:val="0"/>
                <w:bCs w:val="0"/>
                <w:color w:val="auto"/>
                <w:kern w:val="2"/>
                <w:sz w:val="24"/>
                <w:szCs w:val="24"/>
                <w:lang w:val="en-US" w:eastAsia="zh-CN" w:bidi="ar-SA"/>
              </w:rPr>
              <w:t>）类似工程实践验证</w:t>
            </w:r>
          </w:p>
          <w:p w14:paraId="4789D875">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在类似条件下，已有成功案例表明煤田火区治</w:t>
            </w:r>
            <w:r>
              <w:rPr>
                <w:rFonts w:hint="default" w:ascii="Times New Roman" w:hAnsi="Times New Roman" w:eastAsia="宋体" w:cs="Times New Roman"/>
                <w:color w:val="auto"/>
                <w:kern w:val="2"/>
                <w:sz w:val="24"/>
                <w:szCs w:val="24"/>
                <w:lang w:val="en-US" w:eastAsia="zh-CN" w:bidi="ar-SA"/>
              </w:rPr>
              <w:t>理不会对下部井工开采造成不利影响。如黄白茨煤矿通过对上覆煤田火区的治理分析，结合经验公式和“三下”采煤计算公式计算工作面回采时垮落带和断裂带的最大高度，结果表明工作面回采不会受到上覆煤田火区明火的威胁，也不会受到有毒有害气体的侵入。五虎山矿业公司通过向影响矿井安全回采的煤田火区内注入液氮等防灭火措施，火区温度与CO浓度迅速下降，在火区与工作面之间形成了惰化隔离带，有效保证了工作面的安全开采。</w:t>
            </w:r>
          </w:p>
          <w:p w14:paraId="3C5405C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 w:val="0"/>
                <w:bCs/>
                <w:color w:val="auto"/>
                <w:kern w:val="2"/>
                <w:sz w:val="24"/>
                <w:szCs w:val="24"/>
                <w:highlight w:val="none"/>
                <w:vertAlign w:val="baseline"/>
                <w:lang w:val="en-US" w:eastAsia="zh-CN" w:bidi="ar-SA"/>
              </w:rPr>
            </w:pPr>
            <w:r>
              <w:rPr>
                <w:rFonts w:hint="default" w:ascii="Segoe UI" w:hAnsi="Segoe UI" w:eastAsia="Segoe UI" w:cs="Segoe UI"/>
                <w:i w:val="0"/>
                <w:iCs w:val="0"/>
                <w:caps w:val="0"/>
                <w:color w:val="0F1115"/>
                <w:spacing w:val="0"/>
                <w:sz w:val="24"/>
                <w:szCs w:val="24"/>
                <w:shd w:val="clear" w:fill="FFFFFF"/>
              </w:rPr>
              <w:t>综上所述，本次灭火工程为地面治理工程，不涉及井下开拓布局和采掘系统的调整，不会改变康龙煤矿现有的井工开采方式。工程实施通过注水降温、注浆充填、覆盖封闭等措施，旨在从源头上消除火区对下部井工开采的威胁，不仅不会增加安全事故风险，反而有利于保障井工开采的长期安全。在严格执行上述保障措施的前提下，灭火工程的实施不会对康龙煤矿井工开采造成安全事故。</w:t>
            </w:r>
          </w:p>
          <w:p w14:paraId="334436B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 w:val="0"/>
                <w:bCs/>
                <w:color w:val="auto"/>
                <w:kern w:val="2"/>
                <w:sz w:val="24"/>
                <w:szCs w:val="24"/>
                <w:highlight w:val="none"/>
                <w:vertAlign w:val="baseline"/>
                <w:lang w:val="en-US" w:eastAsia="zh-CN" w:bidi="ar-SA"/>
              </w:rPr>
            </w:pPr>
          </w:p>
        </w:tc>
      </w:tr>
      <w:tr w14:paraId="60DD8A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524" w:type="pct"/>
            <w:noWrap w:val="0"/>
            <w:tcMar>
              <w:left w:w="28" w:type="dxa"/>
              <w:right w:w="28" w:type="dxa"/>
            </w:tcMar>
            <w:vAlign w:val="center"/>
          </w:tcPr>
          <w:p w14:paraId="582C3B30">
            <w:pPr>
              <w:pStyle w:val="23"/>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val="0"/>
                <w:color w:val="auto"/>
                <w:kern w:val="2"/>
                <w:sz w:val="21"/>
                <w:szCs w:val="21"/>
              </w:rPr>
            </w:pPr>
            <w:r>
              <w:rPr>
                <w:rFonts w:hint="eastAsia" w:ascii="Times New Roman" w:hAnsi="Times New Roman" w:cs="宋体"/>
                <w:b/>
                <w:bCs w:val="0"/>
                <w:color w:val="auto"/>
                <w:spacing w:val="10"/>
                <w:kern w:val="2"/>
                <w:sz w:val="24"/>
                <w:szCs w:val="24"/>
              </w:rPr>
              <w:t>运营期生态环境影响分析</w:t>
            </w:r>
          </w:p>
        </w:tc>
        <w:tc>
          <w:tcPr>
            <w:tcW w:w="4475" w:type="pct"/>
            <w:noWrap w:val="0"/>
            <w:vAlign w:val="center"/>
          </w:tcPr>
          <w:p w14:paraId="27E4A405">
            <w:pPr>
              <w:pStyle w:val="5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rPr>
            </w:pPr>
            <w:bookmarkStart w:id="57" w:name="_Toc259104278"/>
            <w:bookmarkEnd w:id="57"/>
            <w:bookmarkStart w:id="58" w:name="_Toc259130553"/>
            <w:bookmarkEnd w:id="58"/>
            <w:bookmarkStart w:id="59" w:name="_Toc259129186"/>
            <w:bookmarkEnd w:id="59"/>
            <w:bookmarkStart w:id="60" w:name="_Toc466979113"/>
            <w:bookmarkEnd w:id="60"/>
            <w:bookmarkStart w:id="61" w:name="_Toc277495878"/>
            <w:bookmarkEnd w:id="61"/>
            <w:bookmarkStart w:id="62" w:name="_Toc300245118"/>
            <w:bookmarkEnd w:id="62"/>
            <w:bookmarkStart w:id="63" w:name="_Toc259104958"/>
            <w:bookmarkEnd w:id="63"/>
            <w:r>
              <w:rPr>
                <w:rFonts w:hint="eastAsia" w:ascii="Times New Roman" w:hAnsi="Times New Roman" w:eastAsia="宋体" w:cs="Times New Roman"/>
                <w:color w:val="auto"/>
                <w:kern w:val="2"/>
                <w:sz w:val="24"/>
                <w:szCs w:val="24"/>
                <w:lang w:val="en-US" w:eastAsia="zh-CN" w:bidi="ar-SA"/>
              </w:rPr>
              <w:t>本项目矿区修复治理工程，为非生产性项目，内容为火区治理工程，项目运营期不产生废水、废气和噪声等环境影响，且有利于防治水土流失，通过环境治理根治存在的安全隐患。</w:t>
            </w:r>
          </w:p>
        </w:tc>
      </w:tr>
      <w:tr w14:paraId="7BF591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1" w:hRule="atLeast"/>
          <w:jc w:val="center"/>
        </w:trPr>
        <w:tc>
          <w:tcPr>
            <w:tcW w:w="524" w:type="pct"/>
            <w:noWrap w:val="0"/>
            <w:vAlign w:val="center"/>
          </w:tcPr>
          <w:p w14:paraId="51CDDD73">
            <w:pPr>
              <w:pStyle w:val="23"/>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b/>
                <w:bCs w:val="0"/>
                <w:color w:val="auto"/>
                <w:kern w:val="2"/>
                <w:sz w:val="21"/>
                <w:szCs w:val="21"/>
              </w:rPr>
            </w:pPr>
            <w:r>
              <w:rPr>
                <w:rFonts w:hint="eastAsia" w:ascii="Times New Roman" w:hAnsi="Times New Roman" w:cs="宋体"/>
                <w:b/>
                <w:bCs w:val="0"/>
                <w:color w:val="auto"/>
                <w:kern w:val="2"/>
                <w:sz w:val="24"/>
                <w:szCs w:val="24"/>
              </w:rPr>
              <w:t>选址选线环境合理性分析</w:t>
            </w:r>
          </w:p>
        </w:tc>
        <w:tc>
          <w:tcPr>
            <w:tcW w:w="4475" w:type="pct"/>
            <w:noWrap w:val="0"/>
            <w:vAlign w:val="center"/>
          </w:tcPr>
          <w:p w14:paraId="57A179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w:t>
            </w:r>
            <w:r>
              <w:rPr>
                <w:rFonts w:hint="eastAsia" w:cs="Times New Roman"/>
                <w:color w:val="auto"/>
                <w:sz w:val="24"/>
                <w:szCs w:val="24"/>
                <w:lang w:val="en-US" w:eastAsia="zh-CN"/>
              </w:rPr>
              <w:t>1</w:t>
            </w:r>
            <w:r>
              <w:rPr>
                <w:rFonts w:hint="eastAsia" w:cs="Times New Roman"/>
                <w:color w:val="auto"/>
                <w:sz w:val="24"/>
                <w:szCs w:val="24"/>
                <w:lang w:eastAsia="zh-CN"/>
              </w:rPr>
              <w:t>）</w:t>
            </w:r>
            <w:r>
              <w:rPr>
                <w:rFonts w:hint="eastAsia" w:cs="Times New Roman"/>
                <w:color w:val="auto"/>
                <w:sz w:val="24"/>
                <w:szCs w:val="24"/>
                <w:lang w:val="en-US" w:eastAsia="zh-CN"/>
              </w:rPr>
              <w:t>项目选址合理性分析</w:t>
            </w:r>
          </w:p>
          <w:p w14:paraId="3F7D9B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rPr>
              <w:t>本项目位于</w:t>
            </w:r>
            <w:r>
              <w:rPr>
                <w:rFonts w:hint="eastAsia" w:cs="Times New Roman"/>
                <w:color w:val="auto"/>
                <w:sz w:val="24"/>
                <w:szCs w:val="24"/>
                <w:u w:val="none"/>
                <w:lang w:val="en-US" w:eastAsia="zh-CN"/>
              </w:rPr>
              <w:t>新疆维吾尔自治区昌吉回族自治州阜康市甘河</w:t>
            </w:r>
            <w:r>
              <w:rPr>
                <w:rFonts w:hint="eastAsia" w:ascii="Times New Roman" w:hAnsi="Times New Roman" w:cs="Times New Roman"/>
                <w:color w:val="auto"/>
                <w:sz w:val="24"/>
                <w:szCs w:val="24"/>
                <w:u w:val="none"/>
                <w:shd w:val="clear" w:color="auto" w:fill="auto"/>
                <w:lang w:val="en-US" w:eastAsia="zh-CN"/>
              </w:rPr>
              <w:t>子镇西南</w:t>
            </w:r>
            <w:r>
              <w:rPr>
                <w:rFonts w:hint="eastAsia" w:cs="Times New Roman"/>
                <w:color w:val="auto"/>
                <w:sz w:val="24"/>
                <w:szCs w:val="24"/>
                <w:u w:val="none"/>
                <w:shd w:val="clear" w:color="auto" w:fill="auto"/>
                <w:lang w:val="en-US" w:eastAsia="zh-CN"/>
              </w:rPr>
              <w:t>3</w:t>
            </w:r>
            <w:r>
              <w:rPr>
                <w:rFonts w:hint="eastAsia" w:ascii="Times New Roman" w:hAnsi="Times New Roman" w:cs="Times New Roman"/>
                <w:color w:val="auto"/>
                <w:sz w:val="24"/>
                <w:szCs w:val="24"/>
                <w:u w:val="none"/>
                <w:shd w:val="clear" w:color="auto" w:fill="auto"/>
                <w:lang w:val="en-US" w:eastAsia="zh-CN"/>
              </w:rPr>
              <w:t>km处</w:t>
            </w:r>
            <w:r>
              <w:rPr>
                <w:rFonts w:hint="eastAsia" w:cs="Times New Roman"/>
                <w:color w:val="auto"/>
                <w:sz w:val="24"/>
                <w:szCs w:val="24"/>
                <w:u w:val="none"/>
                <w:shd w:val="clear" w:color="auto" w:fill="auto"/>
                <w:lang w:val="en-US" w:eastAsia="zh-CN"/>
              </w:rPr>
              <w:t>康龙煤矿。</w:t>
            </w:r>
            <w:r>
              <w:rPr>
                <w:rFonts w:hint="eastAsia" w:ascii="Times New Roman" w:hAnsi="Times New Roman" w:cs="Times New Roman"/>
                <w:color w:val="auto"/>
                <w:sz w:val="24"/>
                <w:szCs w:val="24"/>
              </w:rPr>
              <w:t>项目</w:t>
            </w:r>
            <w:r>
              <w:rPr>
                <w:rFonts w:hint="eastAsia" w:ascii="Times New Roman" w:hAnsi="Times New Roman" w:eastAsia="宋体" w:cs="Times New Roman"/>
                <w:color w:val="auto"/>
                <w:sz w:val="24"/>
                <w:szCs w:val="24"/>
                <w:u w:val="none"/>
                <w:lang w:val="en-US" w:eastAsia="zh-CN"/>
              </w:rPr>
              <w:t>为煤田火区治理工程，通过火区火灾的治理，可以修复区域内脆弱的生态环境，本火区为自治区《新疆煤田火区治理规划（修编） （2016～2025 年）》中38处一般火区之一，火区治理区选址具有唯一性。</w:t>
            </w:r>
          </w:p>
          <w:p w14:paraId="6E97CB6C">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shd w:val="clear" w:color="auto" w:fill="auto"/>
                <w:lang w:val="en-US" w:eastAsia="zh-CN"/>
              </w:rPr>
            </w:pPr>
            <w:r>
              <w:rPr>
                <w:rFonts w:hint="eastAsia" w:ascii="Times New Roman" w:hAnsi="Times New Roman" w:eastAsia="宋体" w:cs="Times New Roman"/>
                <w:color w:val="auto"/>
                <w:sz w:val="24"/>
                <w:szCs w:val="24"/>
                <w:shd w:val="clear" w:color="auto" w:fill="auto"/>
                <w:lang w:val="en-US" w:eastAsia="zh-CN"/>
              </w:rPr>
              <w:t>从生态保护角度看，项目选址位置不涉及自然保护区、风景名胜区、森林公园、湿地公园、饮用水水源保护区等自然保护地、生态保护红线等环境敏感区域。本项目无永久占地，均为临时占地，不占用基本农田，不占用公益林地，无永久占地，对于临时占用的草地</w:t>
            </w:r>
            <w:r>
              <w:rPr>
                <w:rFonts w:hint="eastAsia" w:cs="Times New Roman"/>
                <w:color w:val="auto"/>
                <w:sz w:val="24"/>
                <w:szCs w:val="24"/>
                <w:shd w:val="clear" w:color="auto" w:fill="auto"/>
                <w:lang w:val="en-US" w:eastAsia="zh-CN"/>
              </w:rPr>
              <w:t>，</w:t>
            </w:r>
            <w:r>
              <w:rPr>
                <w:rFonts w:hint="eastAsia" w:ascii="Times New Roman" w:hAnsi="Times New Roman" w:eastAsia="宋体" w:cs="Times New Roman"/>
                <w:color w:val="auto"/>
                <w:sz w:val="24"/>
                <w:szCs w:val="24"/>
                <w:shd w:val="clear" w:color="auto" w:fill="auto"/>
                <w:lang w:val="en-US" w:eastAsia="zh-CN"/>
              </w:rPr>
              <w:t>建设单位正按规定办理临时占用草地相关手续，此外在治理工</w:t>
            </w:r>
            <w:r>
              <w:rPr>
                <w:rFonts w:hint="eastAsia" w:cs="Times New Roman"/>
                <w:color w:val="auto"/>
                <w:sz w:val="24"/>
                <w:szCs w:val="24"/>
                <w:shd w:val="clear" w:color="auto" w:fill="auto"/>
                <w:lang w:val="en-US" w:eastAsia="zh-CN"/>
              </w:rPr>
              <w:t>程结</w:t>
            </w:r>
            <w:r>
              <w:rPr>
                <w:rFonts w:hint="eastAsia" w:ascii="Times New Roman" w:hAnsi="Times New Roman" w:eastAsia="宋体" w:cs="Times New Roman"/>
                <w:color w:val="auto"/>
                <w:sz w:val="24"/>
                <w:szCs w:val="24"/>
                <w:shd w:val="clear" w:color="auto" w:fill="auto"/>
                <w:lang w:val="en-US" w:eastAsia="zh-CN"/>
              </w:rPr>
              <w:t>束后，建设单位还将</w:t>
            </w:r>
            <w:r>
              <w:rPr>
                <w:rFonts w:hint="eastAsia" w:cs="Times New Roman"/>
                <w:color w:val="auto"/>
                <w:sz w:val="24"/>
                <w:szCs w:val="24"/>
                <w:shd w:val="clear" w:color="auto" w:fill="auto"/>
                <w:lang w:val="en-US" w:eastAsia="zh-CN"/>
              </w:rPr>
              <w:t>对</w:t>
            </w:r>
            <w:r>
              <w:rPr>
                <w:rFonts w:hint="eastAsia" w:ascii="Times New Roman" w:hAnsi="Times New Roman" w:eastAsia="宋体" w:cs="Times New Roman"/>
                <w:color w:val="auto"/>
                <w:sz w:val="24"/>
                <w:szCs w:val="24"/>
                <w:shd w:val="clear" w:color="auto" w:fill="auto"/>
                <w:lang w:val="en-US" w:eastAsia="zh-CN"/>
              </w:rPr>
              <w:t>临时占地进行复垦、恢复地貌，区域对项目实施的制约性生态要素较少。</w:t>
            </w:r>
          </w:p>
          <w:p w14:paraId="7C1D25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shd w:val="clear" w:color="auto" w:fill="auto"/>
                <w:lang w:val="en-US" w:eastAsia="zh-CN"/>
              </w:rPr>
              <w:t>从环境影响角度看，本项目</w:t>
            </w:r>
            <w:r>
              <w:rPr>
                <w:rFonts w:hint="eastAsia" w:cs="Times New Roman"/>
                <w:color w:val="auto"/>
                <w:sz w:val="24"/>
                <w:szCs w:val="24"/>
                <w:shd w:val="clear" w:color="auto" w:fill="auto"/>
                <w:lang w:val="en-US" w:eastAsia="zh-CN"/>
              </w:rPr>
              <w:t>周边无</w:t>
            </w:r>
            <w:r>
              <w:rPr>
                <w:rFonts w:hint="eastAsia" w:ascii="Times New Roman" w:hAnsi="Times New Roman" w:eastAsia="宋体" w:cs="Times New Roman"/>
                <w:color w:val="auto"/>
                <w:sz w:val="24"/>
                <w:szCs w:val="24"/>
                <w:shd w:val="clear" w:color="auto" w:fill="auto"/>
                <w:lang w:val="en-US" w:eastAsia="zh-CN"/>
              </w:rPr>
              <w:t>居住区等</w:t>
            </w:r>
            <w:r>
              <w:rPr>
                <w:rFonts w:hint="eastAsia" w:cs="Times New Roman"/>
                <w:color w:val="auto"/>
                <w:sz w:val="24"/>
                <w:szCs w:val="24"/>
                <w:shd w:val="clear" w:color="auto" w:fill="auto"/>
                <w:lang w:val="en-US" w:eastAsia="zh-CN"/>
              </w:rPr>
              <w:t>大气、</w:t>
            </w:r>
            <w:r>
              <w:rPr>
                <w:rFonts w:hint="eastAsia" w:ascii="Times New Roman" w:hAnsi="Times New Roman" w:eastAsia="宋体" w:cs="Times New Roman"/>
                <w:color w:val="auto"/>
                <w:sz w:val="24"/>
                <w:szCs w:val="24"/>
                <w:shd w:val="clear" w:color="auto" w:fill="auto"/>
                <w:lang w:val="en-US" w:eastAsia="zh-CN"/>
              </w:rPr>
              <w:t>声环境保护目标，项目区内水系不发育，</w:t>
            </w:r>
            <w:r>
              <w:rPr>
                <w:rFonts w:hint="eastAsia" w:cs="Times New Roman"/>
                <w:color w:val="auto"/>
                <w:sz w:val="24"/>
                <w:szCs w:val="24"/>
                <w:shd w:val="clear" w:color="auto" w:fill="auto"/>
                <w:lang w:val="en-US" w:eastAsia="zh-CN"/>
              </w:rPr>
              <w:t>运营</w:t>
            </w:r>
            <w:r>
              <w:rPr>
                <w:rFonts w:hint="eastAsia" w:ascii="Times New Roman" w:hAnsi="Times New Roman" w:eastAsia="宋体" w:cs="Times New Roman"/>
                <w:color w:val="auto"/>
                <w:sz w:val="24"/>
                <w:szCs w:val="24"/>
                <w:shd w:val="clear" w:color="auto" w:fill="auto"/>
                <w:lang w:val="en-US" w:eastAsia="zh-CN"/>
              </w:rPr>
              <w:t>过</w:t>
            </w:r>
            <w:r>
              <w:rPr>
                <w:rFonts w:hint="eastAsia" w:cs="Times New Roman"/>
                <w:color w:val="auto"/>
                <w:sz w:val="24"/>
                <w:szCs w:val="24"/>
                <w:shd w:val="clear" w:color="auto" w:fill="auto"/>
                <w:lang w:val="en-US" w:eastAsia="zh-CN"/>
              </w:rPr>
              <w:t>程中</w:t>
            </w:r>
            <w:r>
              <w:rPr>
                <w:rFonts w:hint="eastAsia" w:ascii="Times New Roman" w:hAnsi="Times New Roman" w:eastAsia="宋体" w:cs="Times New Roman"/>
                <w:color w:val="auto"/>
                <w:sz w:val="24"/>
                <w:szCs w:val="24"/>
                <w:shd w:val="clear" w:color="auto" w:fill="auto"/>
                <w:lang w:val="en-US" w:eastAsia="zh-CN"/>
              </w:rPr>
              <w:t>产生的废气、</w:t>
            </w:r>
            <w:r>
              <w:rPr>
                <w:rFonts w:hint="eastAsia" w:ascii="Times New Roman" w:hAnsi="Times New Roman" w:eastAsia="宋体" w:cs="Times New Roman"/>
                <w:color w:val="auto"/>
                <w:sz w:val="24"/>
                <w:szCs w:val="24"/>
                <w:u w:val="none"/>
                <w:lang w:val="en-US" w:eastAsia="zh-CN"/>
              </w:rPr>
              <w:t>废水、设备噪声以及固体废物等在落实环评提出的防治措施后均不会对项目区及周边环境产生不利影响</w:t>
            </w:r>
            <w:r>
              <w:rPr>
                <w:rFonts w:hint="eastAsia" w:ascii="Times New Roman" w:hAnsi="Times New Roman" w:eastAsia="宋体" w:cs="Times New Roman"/>
                <w:color w:val="auto"/>
                <w:sz w:val="24"/>
                <w:szCs w:val="24"/>
                <w:shd w:val="clear" w:color="auto" w:fill="auto"/>
                <w:lang w:val="en-US" w:eastAsia="zh-CN"/>
              </w:rPr>
              <w:t>，区域对项目实施的制约性环境要素较少</w:t>
            </w:r>
            <w:r>
              <w:rPr>
                <w:rFonts w:hint="eastAsia" w:ascii="Times New Roman" w:hAnsi="Times New Roman" w:eastAsia="宋体" w:cs="Times New Roman"/>
                <w:color w:val="auto"/>
                <w:sz w:val="24"/>
                <w:szCs w:val="24"/>
                <w:u w:val="none"/>
                <w:lang w:val="en-US" w:eastAsia="zh-CN"/>
              </w:rPr>
              <w:t>。</w:t>
            </w:r>
          </w:p>
          <w:p w14:paraId="7D930A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shd w:val="clear" w:color="auto" w:fill="auto"/>
                <w:lang w:val="en-US" w:eastAsia="zh-CN"/>
              </w:rPr>
            </w:pPr>
            <w:r>
              <w:rPr>
                <w:rFonts w:hint="eastAsia" w:ascii="Times New Roman" w:hAnsi="Times New Roman" w:eastAsia="宋体" w:cs="Times New Roman"/>
                <w:color w:val="auto"/>
                <w:sz w:val="24"/>
                <w:szCs w:val="24"/>
                <w:shd w:val="clear" w:color="auto" w:fill="auto"/>
                <w:lang w:val="en-US" w:eastAsia="zh-CN"/>
              </w:rPr>
              <w:t>综上所述，本次环评认为项目的选址不会对区域生态环境和环境敏感目标造成大的负面影响，从环境合理性角度看，项目选址基本合理。</w:t>
            </w:r>
          </w:p>
          <w:p w14:paraId="15DEB8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jc w:val="both"/>
              <w:textAlignment w:val="auto"/>
              <w:rPr>
                <w:rFonts w:hint="default"/>
                <w:spacing w:val="-2"/>
                <w:sz w:val="24"/>
                <w:szCs w:val="24"/>
              </w:rPr>
            </w:pPr>
          </w:p>
          <w:p w14:paraId="215F2F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jc w:val="both"/>
              <w:textAlignment w:val="auto"/>
              <w:rPr>
                <w:rFonts w:hint="default" w:ascii="Times New Roman" w:hAnsi="Times New Roman" w:eastAsia="宋体" w:cs="Times New Roman"/>
                <w:color w:val="auto"/>
                <w:sz w:val="24"/>
                <w:szCs w:val="24"/>
                <w:lang w:val="en-US" w:eastAsia="zh-CN"/>
              </w:rPr>
            </w:pPr>
            <w:r>
              <w:rPr>
                <w:rFonts w:hint="default"/>
                <w:spacing w:val="-2"/>
                <w:sz w:val="24"/>
                <w:szCs w:val="24"/>
              </w:rPr>
              <w:t>（</w:t>
            </w:r>
            <w:r>
              <w:rPr>
                <w:rFonts w:hint="default" w:ascii="Times New Roman" w:hAnsi="Times New Roman" w:eastAsia="Times New Roman" w:cs="Times New Roman"/>
                <w:spacing w:val="-2"/>
                <w:sz w:val="24"/>
                <w:szCs w:val="24"/>
              </w:rPr>
              <w:t>2</w:t>
            </w:r>
            <w:r>
              <w:rPr>
                <w:rFonts w:hint="default"/>
                <w:spacing w:val="-2"/>
                <w:sz w:val="24"/>
                <w:szCs w:val="24"/>
              </w:rPr>
              <w:t>）采土场选址合理性</w:t>
            </w:r>
            <w:r>
              <w:rPr>
                <w:rFonts w:hint="eastAsia" w:cs="Times New Roman"/>
                <w:color w:val="auto"/>
                <w:sz w:val="24"/>
                <w:szCs w:val="24"/>
                <w:lang w:val="en-US" w:eastAsia="zh-CN"/>
              </w:rPr>
              <w:t>分析</w:t>
            </w:r>
          </w:p>
          <w:p w14:paraId="209B5CA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lang w:val="en-US" w:eastAsia="zh-CN"/>
              </w:rPr>
              <w:t>根据设计本项目土源地位于1号子火区东南方，无公墓或其它生态敏感区，土源下方无煤层赋存。</w:t>
            </w:r>
            <w:r>
              <w:rPr>
                <w:rFonts w:hint="eastAsia" w:ascii="Times New Roman" w:hAnsi="Times New Roman" w:eastAsia="宋体" w:cs="Times New Roman"/>
                <w:color w:val="auto"/>
                <w:sz w:val="24"/>
                <w:szCs w:val="24"/>
                <w:highlight w:val="none"/>
                <w:lang w:val="en-US" w:eastAsia="zh-CN"/>
              </w:rPr>
              <w:t>土源地距1号子火区运距约600m，距2地子火区运距约1200m，距3号子火区运距约1500m。该处黄土不含可燃及助燃材料，直径不大于2mm，含砂量适中，高差2-5m，面积</w:t>
            </w:r>
            <w:r>
              <w:rPr>
                <w:rFonts w:hint="eastAsia" w:cs="Times New Roman"/>
                <w:color w:val="auto"/>
                <w:sz w:val="24"/>
                <w:szCs w:val="24"/>
                <w:highlight w:val="none"/>
                <w:lang w:val="en-US" w:eastAsia="zh-CN"/>
              </w:rPr>
              <w:t>17230</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，土资源充足，可满足灭火需求。</w:t>
            </w:r>
          </w:p>
          <w:p w14:paraId="4DC79B83">
            <w:pPr>
              <w:pStyle w:val="106"/>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sz w:val="24"/>
                <w:szCs w:val="24"/>
              </w:rPr>
            </w:pPr>
            <w:r>
              <w:rPr>
                <w:rFonts w:hint="default"/>
                <w:spacing w:val="-5"/>
                <w:sz w:val="24"/>
                <w:szCs w:val="24"/>
              </w:rPr>
              <w:t>采土场距离各火区治理区较近，运输距离短，运输成本低。占地不</w:t>
            </w:r>
            <w:r>
              <w:rPr>
                <w:rFonts w:hint="default"/>
                <w:spacing w:val="-4"/>
                <w:sz w:val="24"/>
                <w:szCs w:val="24"/>
              </w:rPr>
              <w:t>存在有开采价值的矿床，不存在压矿现象。堆土场范围内</w:t>
            </w:r>
            <w:r>
              <w:rPr>
                <w:rFonts w:hint="default"/>
                <w:spacing w:val="-5"/>
                <w:sz w:val="24"/>
                <w:szCs w:val="24"/>
              </w:rPr>
              <w:t>无国家及地方</w:t>
            </w:r>
            <w:r>
              <w:rPr>
                <w:rFonts w:hint="default"/>
                <w:spacing w:val="-4"/>
                <w:sz w:val="24"/>
                <w:szCs w:val="24"/>
              </w:rPr>
              <w:t>保护野生动植物，周围无村庄以及国家、省、自治区重点</w:t>
            </w:r>
            <w:r>
              <w:rPr>
                <w:rFonts w:hint="default"/>
                <w:spacing w:val="-5"/>
                <w:sz w:val="24"/>
                <w:szCs w:val="24"/>
              </w:rPr>
              <w:t>保护文化遗产</w:t>
            </w:r>
            <w:r>
              <w:rPr>
                <w:rFonts w:hint="default"/>
                <w:spacing w:val="-2"/>
                <w:sz w:val="24"/>
                <w:szCs w:val="24"/>
              </w:rPr>
              <w:t>等敏感目标。</w:t>
            </w:r>
          </w:p>
          <w:p w14:paraId="3CAE8D97">
            <w:pPr>
              <w:pStyle w:val="106"/>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sz w:val="24"/>
                <w:szCs w:val="24"/>
              </w:rPr>
            </w:pPr>
            <w:r>
              <w:rPr>
                <w:rFonts w:hint="default"/>
                <w:spacing w:val="-5"/>
                <w:sz w:val="24"/>
                <w:szCs w:val="24"/>
              </w:rPr>
              <w:t>采土场从选址、库容、运距、占地性质等方面均能满足火区黄土覆</w:t>
            </w:r>
            <w:r>
              <w:rPr>
                <w:rFonts w:hint="default"/>
                <w:spacing w:val="-4"/>
                <w:sz w:val="24"/>
                <w:szCs w:val="24"/>
              </w:rPr>
              <w:t>盖的要求，地下无不良地质构造且距采场距离近，运</w:t>
            </w:r>
            <w:r>
              <w:rPr>
                <w:rFonts w:hint="default"/>
                <w:spacing w:val="-5"/>
                <w:sz w:val="24"/>
                <w:szCs w:val="24"/>
              </w:rPr>
              <w:t>输方便，选址有利</w:t>
            </w:r>
            <w:r>
              <w:rPr>
                <w:rFonts w:hint="default"/>
                <w:spacing w:val="-1"/>
                <w:sz w:val="24"/>
                <w:szCs w:val="24"/>
              </w:rPr>
              <w:t>于作业，对周围环境影响较小，场址选择合理。</w:t>
            </w:r>
          </w:p>
          <w:p w14:paraId="3015D7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jc w:val="both"/>
              <w:textAlignment w:val="auto"/>
              <w:rPr>
                <w:rFonts w:hint="default" w:ascii="Times New Roman" w:hAnsi="Times New Roman" w:eastAsia="宋体" w:cs="Times New Roman"/>
                <w:color w:val="auto"/>
                <w:sz w:val="24"/>
                <w:szCs w:val="24"/>
                <w:lang w:val="en-US" w:eastAsia="zh-CN"/>
              </w:rPr>
            </w:pPr>
            <w:r>
              <w:rPr>
                <w:rFonts w:hint="default"/>
                <w:spacing w:val="-2"/>
                <w:sz w:val="24"/>
                <w:szCs w:val="24"/>
              </w:rPr>
              <w:t>（</w:t>
            </w:r>
            <w:r>
              <w:rPr>
                <w:rFonts w:hint="eastAsia" w:ascii="Times New Roman" w:hAnsi="Times New Roman" w:eastAsia="宋体" w:cs="Times New Roman"/>
                <w:spacing w:val="-2"/>
                <w:sz w:val="24"/>
                <w:szCs w:val="24"/>
                <w:lang w:val="en-US" w:eastAsia="zh-CN"/>
              </w:rPr>
              <w:t>3</w:t>
            </w:r>
            <w:r>
              <w:rPr>
                <w:rFonts w:hint="default"/>
                <w:spacing w:val="-2"/>
                <w:sz w:val="24"/>
                <w:szCs w:val="24"/>
              </w:rPr>
              <w:t>）供水工程选址合理性</w:t>
            </w:r>
            <w:r>
              <w:rPr>
                <w:rFonts w:hint="eastAsia" w:cs="Times New Roman"/>
                <w:color w:val="auto"/>
                <w:sz w:val="24"/>
                <w:szCs w:val="24"/>
                <w:lang w:val="en-US" w:eastAsia="zh-CN"/>
              </w:rPr>
              <w:t>分析</w:t>
            </w:r>
          </w:p>
          <w:p w14:paraId="023060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本项目矿界范围外西北侧有一坑积水，总水量约20万m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。本次灭火工程用水以水坑积水作为灭火水源，水源供给充足，水量能满足灭火用水需求，水源可靠。</w:t>
            </w:r>
          </w:p>
          <w:p w14:paraId="76E14F94">
            <w:pPr>
              <w:pStyle w:val="106"/>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sz w:val="24"/>
                <w:szCs w:val="24"/>
              </w:rPr>
            </w:pPr>
            <w:r>
              <w:rPr>
                <w:rFonts w:hint="eastAsia" w:ascii="Times New Roman" w:hAnsi="Times New Roman" w:eastAsia="宋体" w:cs="Times New Roman"/>
                <w:color w:val="000000"/>
                <w:kern w:val="0"/>
                <w:sz w:val="24"/>
                <w:szCs w:val="24"/>
                <w:lang w:val="en-US" w:eastAsia="zh-CN" w:bidi="ar"/>
              </w:rPr>
              <w:t>根据所选线路的地形条件只能采用一级加压输水方式，输水系统流程为“蓄水池→加压泵房→输水管路→灭火工区”。</w:t>
            </w:r>
            <w:r>
              <w:rPr>
                <w:rFonts w:hint="default"/>
                <w:spacing w:val="-5"/>
                <w:sz w:val="24"/>
                <w:szCs w:val="24"/>
              </w:rPr>
              <w:t>输水管线管道占地为荒草地，植被稀少</w:t>
            </w:r>
            <w:r>
              <w:rPr>
                <w:rFonts w:hint="default"/>
                <w:spacing w:val="-6"/>
                <w:sz w:val="24"/>
                <w:szCs w:val="24"/>
              </w:rPr>
              <w:t>，输水管线沿线不</w:t>
            </w:r>
            <w:r>
              <w:rPr>
                <w:rFonts w:hint="default"/>
                <w:spacing w:val="-10"/>
                <w:sz w:val="24"/>
                <w:szCs w:val="24"/>
              </w:rPr>
              <w:t>涉及穿越工程，为地上铺设，沿线范围内无国家及地方保护野生动植物，</w:t>
            </w:r>
            <w:r>
              <w:rPr>
                <w:rFonts w:hint="default"/>
                <w:spacing w:val="-2"/>
                <w:sz w:val="24"/>
                <w:szCs w:val="24"/>
              </w:rPr>
              <w:t>周围无村庄以及国家、省、</w:t>
            </w:r>
            <w:r>
              <w:rPr>
                <w:rFonts w:hint="default"/>
                <w:spacing w:val="-71"/>
                <w:sz w:val="24"/>
                <w:szCs w:val="24"/>
              </w:rPr>
              <w:t xml:space="preserve"> </w:t>
            </w:r>
            <w:r>
              <w:rPr>
                <w:rFonts w:hint="default"/>
                <w:spacing w:val="-2"/>
                <w:sz w:val="24"/>
                <w:szCs w:val="24"/>
              </w:rPr>
              <w:t>自治区重点保护文化遗产等敏感目</w:t>
            </w:r>
            <w:r>
              <w:rPr>
                <w:rFonts w:hint="default"/>
                <w:spacing w:val="-3"/>
                <w:sz w:val="24"/>
                <w:szCs w:val="24"/>
              </w:rPr>
              <w:t>标。</w:t>
            </w:r>
          </w:p>
          <w:p w14:paraId="7CBC09B3">
            <w:pPr>
              <w:pStyle w:val="106"/>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sz w:val="24"/>
                <w:szCs w:val="24"/>
              </w:rPr>
            </w:pPr>
            <w:r>
              <w:rPr>
                <w:rFonts w:hint="default"/>
                <w:spacing w:val="-5"/>
                <w:sz w:val="24"/>
                <w:szCs w:val="24"/>
              </w:rPr>
              <w:t>供水工程从输送距离、占地性质、供水量等方面均能满足火区灭火</w:t>
            </w:r>
            <w:r>
              <w:rPr>
                <w:rFonts w:hint="default"/>
                <w:spacing w:val="-10"/>
                <w:sz w:val="24"/>
                <w:szCs w:val="24"/>
              </w:rPr>
              <w:t>用水量且运输方便，选址有利于灭火工程的实施，对周围环境影响较小，</w:t>
            </w:r>
            <w:r>
              <w:rPr>
                <w:rFonts w:hint="default"/>
                <w:spacing w:val="-2"/>
                <w:sz w:val="24"/>
                <w:szCs w:val="24"/>
              </w:rPr>
              <w:t>选址合理。</w:t>
            </w:r>
          </w:p>
          <w:p w14:paraId="7549F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jc w:val="both"/>
              <w:textAlignment w:val="auto"/>
              <w:rPr>
                <w:rFonts w:hint="default" w:ascii="Times New Roman" w:hAnsi="Times New Roman" w:eastAsia="宋体" w:cs="Times New Roman"/>
                <w:color w:val="auto"/>
                <w:sz w:val="24"/>
                <w:szCs w:val="24"/>
                <w:lang w:val="en-US" w:eastAsia="zh-CN"/>
              </w:rPr>
            </w:pPr>
            <w:r>
              <w:rPr>
                <w:rFonts w:hint="default"/>
                <w:spacing w:val="-2"/>
                <w:sz w:val="24"/>
                <w:szCs w:val="24"/>
              </w:rPr>
              <w:t>（</w:t>
            </w:r>
            <w:r>
              <w:rPr>
                <w:rFonts w:hint="eastAsia" w:ascii="Times New Roman" w:hAnsi="Times New Roman" w:eastAsia="宋体" w:cs="Times New Roman"/>
                <w:spacing w:val="-2"/>
                <w:sz w:val="24"/>
                <w:szCs w:val="24"/>
                <w:lang w:val="en-US" w:eastAsia="zh-CN"/>
              </w:rPr>
              <w:t>4</w:t>
            </w:r>
            <w:r>
              <w:rPr>
                <w:rFonts w:hint="default"/>
                <w:spacing w:val="-2"/>
                <w:sz w:val="24"/>
                <w:szCs w:val="24"/>
              </w:rPr>
              <w:t>）供电工程选址合理性</w:t>
            </w:r>
            <w:r>
              <w:rPr>
                <w:rFonts w:hint="eastAsia" w:cs="Times New Roman"/>
                <w:color w:val="auto"/>
                <w:sz w:val="24"/>
                <w:szCs w:val="24"/>
                <w:lang w:val="en-US" w:eastAsia="zh-CN"/>
              </w:rPr>
              <w:t>分析</w:t>
            </w:r>
          </w:p>
          <w:p w14:paraId="06C4EF1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火区电源</w:t>
            </w:r>
            <w:r>
              <w:rPr>
                <w:rFonts w:hint="eastAsia" w:cs="Times New Roman"/>
                <w:bCs/>
                <w:color w:val="auto"/>
                <w:kern w:val="2"/>
                <w:sz w:val="24"/>
                <w:szCs w:val="24"/>
                <w:highlight w:val="none"/>
                <w:lang w:val="en-US" w:eastAsia="zh-CN" w:bidi="ar-SA"/>
              </w:rPr>
              <w:t>引</w:t>
            </w:r>
            <w:r>
              <w:rPr>
                <w:rFonts w:hint="default" w:ascii="Times New Roman" w:hAnsi="Times New Roman" w:eastAsia="宋体" w:cs="Times New Roman"/>
                <w:bCs/>
                <w:color w:val="auto"/>
                <w:kern w:val="2"/>
                <w:sz w:val="24"/>
                <w:szCs w:val="24"/>
                <w:highlight w:val="none"/>
                <w:lang w:val="en-US" w:eastAsia="zh-CN" w:bidi="ar-SA"/>
              </w:rPr>
              <w:t>自火区东侧10kV甘矿线支线。</w:t>
            </w:r>
            <w:r>
              <w:rPr>
                <w:rFonts w:hint="default"/>
                <w:spacing w:val="-5"/>
                <w:sz w:val="24"/>
                <w:szCs w:val="24"/>
              </w:rPr>
              <w:t>供电工程从输送距离、占地类型、供电量等方面均能满足火区灭火</w:t>
            </w:r>
            <w:r>
              <w:rPr>
                <w:rFonts w:hint="default"/>
                <w:spacing w:val="-4"/>
                <w:sz w:val="24"/>
                <w:szCs w:val="24"/>
              </w:rPr>
              <w:t>工程用电需求，选址有利于灭火工程的实施，对周围</w:t>
            </w:r>
            <w:r>
              <w:rPr>
                <w:rFonts w:hint="default"/>
                <w:spacing w:val="-5"/>
                <w:sz w:val="24"/>
                <w:szCs w:val="24"/>
              </w:rPr>
              <w:t>环境影响较小，选</w:t>
            </w:r>
            <w:r>
              <w:rPr>
                <w:rFonts w:hint="default"/>
                <w:spacing w:val="-3"/>
                <w:sz w:val="24"/>
                <w:szCs w:val="24"/>
              </w:rPr>
              <w:t>址较合理。</w:t>
            </w:r>
          </w:p>
          <w:p w14:paraId="4D62B657">
            <w:pPr>
              <w:keepNext w:val="0"/>
              <w:keepLines w:val="0"/>
              <w:suppressLineNumbers w:val="0"/>
              <w:adjustRightInd w:val="0"/>
              <w:snapToGri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shd w:val="clear" w:color="auto" w:fill="auto"/>
                <w:lang w:val="en-US" w:eastAsia="zh-CN"/>
              </w:rPr>
            </w:pPr>
          </w:p>
          <w:p w14:paraId="75225841">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shd w:val="clear" w:color="auto" w:fill="auto"/>
                <w:lang w:val="en-US" w:eastAsia="zh-CN"/>
              </w:rPr>
            </w:pPr>
          </w:p>
        </w:tc>
      </w:tr>
    </w:tbl>
    <w:p w14:paraId="561A4759">
      <w:pPr>
        <w:pStyle w:val="23"/>
        <w:jc w:val="center"/>
        <w:rPr>
          <w:rFonts w:ascii="黑体" w:hAnsi="黑体" w:eastAsia="黑体"/>
          <w:snapToGrid w:val="0"/>
          <w:color w:val="auto"/>
          <w:sz w:val="36"/>
          <w:szCs w:val="36"/>
        </w:rPr>
        <w:sectPr>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p w14:paraId="1F4B63DE">
      <w:pPr>
        <w:pStyle w:val="23"/>
        <w:jc w:val="center"/>
        <w:outlineLvl w:val="0"/>
        <w:rPr>
          <w:rFonts w:ascii="黑体" w:hAnsi="黑体" w:eastAsia="黑体"/>
          <w:snapToGrid w:val="0"/>
          <w:color w:val="auto"/>
          <w:sz w:val="30"/>
          <w:szCs w:val="30"/>
        </w:rPr>
      </w:pPr>
      <w:bookmarkStart w:id="64" w:name="_Toc32569"/>
      <w:r>
        <w:rPr>
          <w:rFonts w:hint="eastAsia" w:ascii="黑体" w:hAnsi="黑体" w:eastAsia="黑体"/>
          <w:snapToGrid w:val="0"/>
          <w:color w:val="auto"/>
          <w:sz w:val="30"/>
          <w:szCs w:val="30"/>
        </w:rPr>
        <w:t>五、主要生态环境保护措施</w:t>
      </w:r>
      <w:bookmarkEnd w:id="64"/>
    </w:p>
    <w:tbl>
      <w:tblPr>
        <w:tblStyle w:val="26"/>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8488"/>
      </w:tblGrid>
      <w:tr w14:paraId="1286BC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02" w:hRule="atLeast"/>
          <w:jc w:val="center"/>
        </w:trPr>
        <w:tc>
          <w:tcPr>
            <w:tcW w:w="722" w:type="dxa"/>
            <w:noWrap w:val="0"/>
            <w:tcMar>
              <w:left w:w="28" w:type="dxa"/>
              <w:right w:w="28" w:type="dxa"/>
            </w:tcMar>
            <w:vAlign w:val="center"/>
          </w:tcPr>
          <w:p w14:paraId="20B2C6C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bCs w:val="0"/>
                <w:color w:val="auto"/>
                <w:szCs w:val="21"/>
              </w:rPr>
            </w:pPr>
            <w:r>
              <w:rPr>
                <w:rFonts w:hint="eastAsia" w:ascii="Times New Roman" w:hAnsi="Times New Roman" w:cs="宋体"/>
                <w:b/>
                <w:bCs w:val="0"/>
                <w:color w:val="auto"/>
                <w:spacing w:val="10"/>
                <w:sz w:val="24"/>
                <w:szCs w:val="24"/>
              </w:rPr>
              <w:t>施工期生态环境保护措施</w:t>
            </w:r>
          </w:p>
        </w:tc>
        <w:tc>
          <w:tcPr>
            <w:tcW w:w="8488" w:type="dxa"/>
            <w:noWrap w:val="0"/>
            <w:vAlign w:val="top"/>
          </w:tcPr>
          <w:p w14:paraId="770B0790">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r>
              <w:rPr>
                <w:rFonts w:hint="eastAsia" w:cs="Times New Roman"/>
                <w:b/>
                <w:bCs/>
                <w:color w:val="auto"/>
                <w:sz w:val="24"/>
                <w:szCs w:val="24"/>
                <w:lang w:val="en-US" w:eastAsia="zh-CN"/>
              </w:rPr>
              <w:t>1、施工期</w:t>
            </w:r>
            <w:r>
              <w:rPr>
                <w:rFonts w:hint="eastAsia" w:ascii="Times New Roman" w:hAnsi="Times New Roman" w:cs="Times New Roman"/>
                <w:b/>
                <w:bCs/>
                <w:color w:val="auto"/>
                <w:sz w:val="24"/>
                <w:szCs w:val="24"/>
              </w:rPr>
              <w:t>生态环境保护措施</w:t>
            </w:r>
          </w:p>
          <w:p w14:paraId="4FAAD386">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b w:val="0"/>
                <w:bCs w:val="0"/>
                <w:color w:val="auto"/>
                <w:sz w:val="24"/>
                <w:szCs w:val="24"/>
                <w:lang w:val="en-US"/>
              </w:rPr>
            </w:pPr>
            <w:r>
              <w:rPr>
                <w:rFonts w:hint="default" w:ascii="Times New Roman" w:hAnsi="Times New Roman" w:cs="Times New Roman"/>
                <w:b w:val="0"/>
                <w:bCs w:val="0"/>
                <w:color w:val="auto"/>
                <w:sz w:val="24"/>
                <w:szCs w:val="24"/>
                <w:lang w:eastAsia="zh-CN"/>
              </w:rPr>
              <w:t>（</w:t>
            </w:r>
            <w:r>
              <w:rPr>
                <w:rFonts w:hint="default"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eastAsia="zh-CN"/>
              </w:rPr>
              <w:t>）</w:t>
            </w:r>
            <w:r>
              <w:rPr>
                <w:rFonts w:hint="eastAsia" w:ascii="Times New Roman" w:hAnsi="Times New Roman" w:cs="Times New Roman"/>
                <w:b w:val="0"/>
                <w:bCs w:val="0"/>
                <w:color w:val="auto"/>
                <w:sz w:val="24"/>
                <w:szCs w:val="24"/>
                <w:lang w:val="en-US" w:eastAsia="zh-CN"/>
              </w:rPr>
              <w:t>土地利用格局保护措施</w:t>
            </w:r>
          </w:p>
          <w:p w14:paraId="71D307A3">
            <w:pPr>
              <w:keepNext w:val="0"/>
              <w:keepLines w:val="0"/>
              <w:suppressLineNumbers w:val="0"/>
              <w:spacing w:before="0" w:beforeAutospacing="0" w:after="0" w:afterAutospacing="0" w:line="360" w:lineRule="auto"/>
              <w:ind w:left="0" w:right="0" w:firstLine="480"/>
              <w:rPr>
                <w:rFonts w:hint="default" w:eastAsia="宋体"/>
                <w:bCs/>
                <w:color w:val="auto"/>
                <w:kern w:val="0"/>
                <w:sz w:val="24"/>
                <w:szCs w:val="24"/>
                <w:lang w:val="en-US" w:eastAsia="zh-CN"/>
              </w:rPr>
            </w:pPr>
            <w:r>
              <w:rPr>
                <w:rFonts w:hint="eastAsia"/>
                <w:bCs/>
                <w:color w:val="auto"/>
                <w:kern w:val="0"/>
                <w:sz w:val="24"/>
                <w:szCs w:val="24"/>
              </w:rPr>
              <w:t>1）</w:t>
            </w:r>
            <w:r>
              <w:rPr>
                <w:rFonts w:hint="eastAsia"/>
                <w:bCs/>
                <w:color w:val="auto"/>
                <w:kern w:val="0"/>
                <w:sz w:val="24"/>
                <w:szCs w:val="24"/>
                <w:lang w:val="en-US" w:eastAsia="zh-CN"/>
              </w:rPr>
              <w:t>严格控制施工占用土地</w:t>
            </w:r>
          </w:p>
          <w:p w14:paraId="6D5C9690">
            <w:pPr>
              <w:keepNext w:val="0"/>
              <w:keepLines w:val="0"/>
              <w:suppressLineNumbers w:val="0"/>
              <w:spacing w:before="0" w:beforeAutospacing="0" w:after="0" w:afterAutospacing="0" w:line="360" w:lineRule="auto"/>
              <w:ind w:left="0" w:right="0" w:firstLine="480"/>
              <w:rPr>
                <w:rFonts w:hint="eastAsia"/>
                <w:bCs/>
                <w:color w:val="auto"/>
                <w:kern w:val="0"/>
                <w:sz w:val="24"/>
                <w:szCs w:val="24"/>
              </w:rPr>
            </w:pPr>
            <w:r>
              <w:rPr>
                <w:rFonts w:hint="eastAsia" w:ascii="宋体" w:hAnsi="宋体" w:eastAsia="宋体" w:cs="宋体"/>
                <w:color w:val="auto"/>
                <w:sz w:val="24"/>
                <w:szCs w:val="24"/>
              </w:rPr>
              <w:t>①</w:t>
            </w:r>
            <w:r>
              <w:rPr>
                <w:rFonts w:hint="default" w:ascii="Times New Roman" w:hAnsi="Times New Roman" w:cs="Times New Roman"/>
                <w:color w:val="auto"/>
                <w:sz w:val="24"/>
                <w:szCs w:val="24"/>
              </w:rPr>
              <w:t>严格控制施工</w:t>
            </w:r>
            <w:r>
              <w:rPr>
                <w:rFonts w:hint="eastAsia" w:ascii="Times New Roman" w:hAnsi="Times New Roman" w:cs="Times New Roman"/>
                <w:color w:val="auto"/>
                <w:sz w:val="24"/>
                <w:szCs w:val="24"/>
                <w:lang w:val="en-US" w:eastAsia="zh-CN"/>
              </w:rPr>
              <w:t>占地面积和位置</w:t>
            </w:r>
            <w:r>
              <w:rPr>
                <w:rFonts w:hint="eastAsia"/>
                <w:bCs/>
                <w:color w:val="auto"/>
                <w:kern w:val="0"/>
                <w:sz w:val="24"/>
                <w:szCs w:val="24"/>
              </w:rPr>
              <w:t>，不得在</w:t>
            </w:r>
            <w:r>
              <w:rPr>
                <w:rFonts w:hint="eastAsia"/>
                <w:bCs/>
                <w:color w:val="auto"/>
                <w:kern w:val="0"/>
                <w:sz w:val="24"/>
                <w:szCs w:val="24"/>
                <w:lang w:eastAsia="zh-CN"/>
              </w:rPr>
              <w:t>施工场地</w:t>
            </w:r>
            <w:r>
              <w:rPr>
                <w:rFonts w:hint="eastAsia"/>
                <w:bCs/>
                <w:color w:val="auto"/>
                <w:kern w:val="0"/>
                <w:sz w:val="24"/>
                <w:szCs w:val="24"/>
              </w:rPr>
              <w:t>范围以外从事施工活动</w:t>
            </w:r>
            <w:r>
              <w:rPr>
                <w:rFonts w:hint="eastAsia"/>
                <w:bCs/>
                <w:color w:val="auto"/>
                <w:kern w:val="0"/>
                <w:sz w:val="24"/>
                <w:szCs w:val="24"/>
                <w:lang w:eastAsia="zh-CN"/>
              </w:rPr>
              <w:t>，</w:t>
            </w:r>
            <w:r>
              <w:rPr>
                <w:rFonts w:hint="eastAsia"/>
                <w:bCs/>
                <w:color w:val="auto"/>
                <w:kern w:val="0"/>
                <w:sz w:val="24"/>
                <w:szCs w:val="24"/>
              </w:rPr>
              <w:t>以减少土壤扰动和地表植被破坏，减少裸地和土方暴露面积。</w:t>
            </w:r>
          </w:p>
          <w:p w14:paraId="5DEABEB2">
            <w:pPr>
              <w:keepNext w:val="0"/>
              <w:keepLines w:val="0"/>
              <w:suppressLineNumbers w:val="0"/>
              <w:spacing w:before="0" w:beforeAutospacing="0" w:after="0" w:afterAutospacing="0" w:line="360" w:lineRule="auto"/>
              <w:ind w:left="0" w:right="0" w:firstLine="480"/>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②</w:t>
            </w:r>
            <w:r>
              <w:rPr>
                <w:rFonts w:hint="eastAsia"/>
                <w:bCs/>
                <w:color w:val="auto"/>
                <w:kern w:val="0"/>
                <w:sz w:val="24"/>
                <w:szCs w:val="24"/>
              </w:rPr>
              <w:t>严禁施工材料乱堆乱放，</w:t>
            </w:r>
            <w:r>
              <w:rPr>
                <w:rFonts w:hint="eastAsia"/>
                <w:bCs/>
                <w:color w:val="auto"/>
                <w:kern w:val="0"/>
                <w:sz w:val="24"/>
                <w:szCs w:val="24"/>
                <w:lang w:val="en-US" w:eastAsia="zh-CN"/>
              </w:rPr>
              <w:t>在临时占地范围内划定物料、机械、设备设施等贮存区并按规范要求贮存，</w:t>
            </w:r>
            <w:r>
              <w:rPr>
                <w:rFonts w:hint="eastAsia"/>
                <w:bCs/>
                <w:color w:val="auto"/>
                <w:kern w:val="0"/>
                <w:sz w:val="24"/>
                <w:szCs w:val="24"/>
              </w:rPr>
              <w:t>以防对植物的破坏范围扩大。</w:t>
            </w:r>
          </w:p>
          <w:p w14:paraId="35F12ED4">
            <w:pPr>
              <w:keepNext w:val="0"/>
              <w:keepLines w:val="0"/>
              <w:suppressLineNumbers w:val="0"/>
              <w:spacing w:before="0" w:beforeAutospacing="0" w:after="0" w:afterAutospacing="0" w:line="360" w:lineRule="auto"/>
              <w:ind w:left="0" w:right="0" w:firstLine="480"/>
              <w:rPr>
                <w:rFonts w:hint="eastAsia"/>
                <w:bCs/>
                <w:color w:val="auto"/>
                <w:kern w:val="0"/>
                <w:sz w:val="24"/>
                <w:szCs w:val="24"/>
              </w:rPr>
            </w:pPr>
            <w:r>
              <w:rPr>
                <w:rFonts w:hint="eastAsia" w:ascii="宋体" w:hAnsi="宋体" w:eastAsia="宋体" w:cs="宋体"/>
                <w:bCs/>
                <w:color w:val="auto"/>
                <w:kern w:val="0"/>
                <w:sz w:val="24"/>
                <w:szCs w:val="24"/>
                <w:lang w:val="en-US" w:eastAsia="zh-CN"/>
              </w:rPr>
              <w:t>③</w:t>
            </w:r>
            <w:r>
              <w:rPr>
                <w:rFonts w:hint="eastAsia" w:ascii="Times New Roman" w:hAnsi="Times New Roman" w:eastAsia="宋体" w:cs="Times New Roman"/>
                <w:bCs/>
                <w:color w:val="auto"/>
                <w:kern w:val="0"/>
                <w:sz w:val="24"/>
                <w:szCs w:val="24"/>
              </w:rPr>
              <w:t>现场施工作业机械</w:t>
            </w:r>
            <w:r>
              <w:rPr>
                <w:rFonts w:hint="eastAsia" w:ascii="Times New Roman" w:hAnsi="Times New Roman" w:eastAsia="宋体" w:cs="Times New Roman"/>
                <w:bCs/>
                <w:color w:val="auto"/>
                <w:kern w:val="0"/>
                <w:sz w:val="24"/>
                <w:szCs w:val="24"/>
                <w:lang w:eastAsia="zh-CN"/>
              </w:rPr>
              <w:t>、</w:t>
            </w:r>
            <w:r>
              <w:rPr>
                <w:rFonts w:hint="eastAsia" w:ascii="Times New Roman" w:hAnsi="Times New Roman" w:eastAsia="宋体" w:cs="Times New Roman"/>
                <w:bCs/>
                <w:color w:val="auto"/>
                <w:kern w:val="0"/>
                <w:sz w:val="24"/>
                <w:szCs w:val="24"/>
                <w:lang w:val="en-US" w:eastAsia="zh-CN"/>
              </w:rPr>
              <w:t>车辆</w:t>
            </w:r>
            <w:r>
              <w:rPr>
                <w:rFonts w:hint="eastAsia" w:ascii="Times New Roman" w:hAnsi="Times New Roman" w:eastAsia="宋体" w:cs="Times New Roman"/>
                <w:bCs/>
                <w:color w:val="auto"/>
                <w:kern w:val="0"/>
                <w:sz w:val="24"/>
                <w:szCs w:val="24"/>
              </w:rPr>
              <w:t>应严格管理，施工作业机械不得在</w:t>
            </w:r>
            <w:r>
              <w:rPr>
                <w:rFonts w:hint="eastAsia" w:ascii="Times New Roman" w:hAnsi="Times New Roman" w:eastAsia="宋体" w:cs="Times New Roman"/>
                <w:bCs/>
                <w:color w:val="auto"/>
                <w:kern w:val="0"/>
                <w:sz w:val="24"/>
                <w:szCs w:val="24"/>
                <w:lang w:eastAsia="zh-CN"/>
              </w:rPr>
              <w:t>施工场地</w:t>
            </w:r>
            <w:r>
              <w:rPr>
                <w:rFonts w:hint="eastAsia" w:ascii="Times New Roman" w:hAnsi="Times New Roman" w:eastAsia="宋体" w:cs="Times New Roman"/>
                <w:bCs/>
                <w:color w:val="auto"/>
                <w:kern w:val="0"/>
                <w:sz w:val="24"/>
                <w:szCs w:val="24"/>
              </w:rPr>
              <w:t>范围以外的地方作业，</w:t>
            </w:r>
            <w:r>
              <w:rPr>
                <w:rFonts w:hint="eastAsia" w:ascii="Times New Roman" w:hAnsi="Times New Roman" w:eastAsia="宋体" w:cs="Times New Roman"/>
                <w:bCs/>
                <w:color w:val="auto"/>
                <w:kern w:val="0"/>
                <w:sz w:val="24"/>
                <w:szCs w:val="24"/>
                <w:lang w:val="en-US" w:eastAsia="zh-CN"/>
              </w:rPr>
              <w:t>施工车辆不得</w:t>
            </w:r>
            <w:r>
              <w:rPr>
                <w:rFonts w:hint="eastAsia" w:cs="Times New Roman"/>
                <w:bCs/>
                <w:color w:val="auto"/>
                <w:kern w:val="0"/>
                <w:sz w:val="24"/>
                <w:szCs w:val="24"/>
                <w:lang w:val="en-US" w:eastAsia="zh-CN"/>
              </w:rPr>
              <w:t>在</w:t>
            </w:r>
            <w:r>
              <w:rPr>
                <w:rFonts w:hint="eastAsia" w:ascii="Times New Roman" w:hAnsi="Times New Roman" w:eastAsia="宋体" w:cs="Times New Roman"/>
                <w:bCs/>
                <w:color w:val="auto"/>
                <w:kern w:val="0"/>
                <w:sz w:val="24"/>
                <w:szCs w:val="24"/>
                <w:lang w:val="en-US" w:eastAsia="zh-CN"/>
              </w:rPr>
              <w:t>已有道路以外的地方行驶，</w:t>
            </w:r>
            <w:r>
              <w:rPr>
                <w:rFonts w:hint="eastAsia" w:ascii="Times New Roman" w:hAnsi="Times New Roman" w:eastAsia="宋体" w:cs="Times New Roman"/>
                <w:bCs/>
                <w:color w:val="auto"/>
                <w:kern w:val="0"/>
                <w:sz w:val="24"/>
                <w:szCs w:val="24"/>
              </w:rPr>
              <w:t>保持路外植被不被破坏。</w:t>
            </w:r>
          </w:p>
          <w:p w14:paraId="26ED62FF">
            <w:pPr>
              <w:pStyle w:val="15"/>
              <w:keepNext w:val="0"/>
              <w:keepLines w:val="0"/>
              <w:suppressLineNumbers w:val="0"/>
              <w:spacing w:before="0" w:beforeAutospacing="0" w:after="0" w:afterAutospacing="0"/>
              <w:ind w:left="0" w:right="0" w:firstLine="420"/>
              <w:rPr>
                <w:rFonts w:hint="default" w:ascii="Times New Roman" w:hAnsi="Times New Roman" w:eastAsia="宋体" w:cs="Times New Roman"/>
                <w:color w:val="auto"/>
                <w:sz w:val="24"/>
                <w:szCs w:val="24"/>
              </w:rPr>
            </w:pPr>
            <w:r>
              <w:rPr>
                <w:rFonts w:hint="eastAsia" w:ascii="Times New Roman" w:hAnsi="Times New Roman" w:eastAsia="宋体" w:cs="Times New Roman"/>
                <w:bCs/>
                <w:color w:val="auto"/>
                <w:kern w:val="0"/>
                <w:sz w:val="24"/>
                <w:szCs w:val="24"/>
                <w:lang w:val="en-US" w:eastAsia="zh-CN" w:bidi="ar-SA"/>
              </w:rPr>
              <w:t>④施工前将施工便道临时占地植被较好的原地表上的表土集中堆放在征地范围内，施工完毕后再回覆到取料迹地</w:t>
            </w:r>
            <w:r>
              <w:rPr>
                <w:rFonts w:hint="eastAsia" w:ascii="Times New Roman" w:hAnsi="Times New Roman" w:eastAsia="宋体" w:cs="Times New Roman"/>
                <w:color w:val="auto"/>
                <w:sz w:val="24"/>
                <w:szCs w:val="24"/>
                <w:lang w:val="en-US" w:eastAsia="zh-CN"/>
              </w:rPr>
              <w:t>上，减少对周围环境的影响。</w:t>
            </w:r>
          </w:p>
          <w:p w14:paraId="7C6B0586">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Cs/>
                <w:color w:val="auto"/>
                <w:kern w:val="0"/>
                <w:sz w:val="24"/>
                <w:szCs w:val="24"/>
                <w:lang w:val="en-US" w:eastAsia="zh-CN"/>
              </w:rPr>
            </w:pPr>
            <w:r>
              <w:rPr>
                <w:rFonts w:hint="eastAsia" w:ascii="Times New Roman" w:hAnsi="Times New Roman" w:eastAsia="宋体" w:cs="Times New Roman"/>
                <w:bCs/>
                <w:color w:val="auto"/>
                <w:kern w:val="0"/>
                <w:sz w:val="24"/>
                <w:szCs w:val="24"/>
                <w:lang w:val="en-US" w:eastAsia="zh-CN"/>
              </w:rPr>
              <w:t>2</w:t>
            </w:r>
            <w:r>
              <w:rPr>
                <w:rFonts w:hint="eastAsia" w:ascii="Times New Roman" w:hAnsi="Times New Roman" w:eastAsia="宋体" w:cs="Times New Roman"/>
                <w:bCs/>
                <w:color w:val="auto"/>
                <w:kern w:val="0"/>
                <w:sz w:val="24"/>
                <w:szCs w:val="24"/>
              </w:rPr>
              <w:t>）</w:t>
            </w:r>
            <w:r>
              <w:rPr>
                <w:rFonts w:hint="eastAsia" w:ascii="Times New Roman" w:hAnsi="Times New Roman" w:eastAsia="宋体" w:cs="Times New Roman"/>
                <w:bCs/>
                <w:color w:val="auto"/>
                <w:kern w:val="0"/>
                <w:sz w:val="24"/>
                <w:szCs w:val="24"/>
                <w:lang w:val="en-US" w:eastAsia="zh-CN"/>
              </w:rPr>
              <w:t>恢复原有土地利用格局</w:t>
            </w:r>
          </w:p>
          <w:p w14:paraId="66B6956A">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Cs/>
                <w:color w:val="auto"/>
                <w:kern w:val="0"/>
                <w:sz w:val="24"/>
                <w:szCs w:val="24"/>
                <w:lang w:val="en-US" w:eastAsia="zh-CN"/>
              </w:rPr>
            </w:pPr>
            <w:r>
              <w:rPr>
                <w:rFonts w:hint="eastAsia" w:cs="Times New Roman"/>
                <w:color w:val="auto"/>
                <w:sz w:val="24"/>
                <w:szCs w:val="24"/>
                <w:lang w:val="en-US" w:eastAsia="zh-CN"/>
              </w:rPr>
              <w:t>项目临时占地部分为草地，</w:t>
            </w:r>
            <w:r>
              <w:rPr>
                <w:rFonts w:hint="eastAsia" w:ascii="Times New Roman" w:hAnsi="Times New Roman" w:eastAsia="宋体" w:cs="Times New Roman"/>
                <w:color w:val="auto"/>
                <w:sz w:val="24"/>
                <w:szCs w:val="24"/>
                <w:lang w:val="en-US" w:eastAsia="zh-CN"/>
              </w:rPr>
              <w:t>根据《中华人民共和国草原法》（2013年修正）第四十条</w:t>
            </w:r>
            <w:r>
              <w:rPr>
                <w:rFonts w:hint="default" w:ascii="Times New Roman" w:hAnsi="Times New Roman" w:eastAsia="宋体" w:cs="Times New Roman"/>
                <w:color w:val="auto"/>
                <w:sz w:val="24"/>
                <w:szCs w:val="24"/>
              </w:rPr>
              <w:t>需要临时占用草原的，应当经县级以上地方人民政府草原行政主管部门审核同意。临时占用草原的期限不得超过二年，并不得在临时占用的草原上修建永久性建筑物、构筑物</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占用期满，用地单位必须恢复草原植被并及时退还。</w:t>
            </w:r>
            <w:r>
              <w:rPr>
                <w:rFonts w:hint="eastAsia" w:ascii="Times New Roman" w:hAnsi="Times New Roman" w:eastAsia="宋体" w:cs="Times New Roman"/>
                <w:bCs/>
                <w:color w:val="auto"/>
                <w:kern w:val="0"/>
                <w:sz w:val="24"/>
                <w:szCs w:val="24"/>
                <w:lang w:val="en-US" w:eastAsia="zh-CN"/>
              </w:rPr>
              <w:t>建设单位已按照要求</w:t>
            </w:r>
            <w:r>
              <w:rPr>
                <w:rFonts w:hint="eastAsia" w:ascii="Times New Roman" w:hAnsi="Times New Roman" w:eastAsia="宋体" w:cs="Times New Roman"/>
                <w:bCs/>
                <w:color w:val="auto"/>
                <w:kern w:val="0"/>
                <w:sz w:val="24"/>
                <w:szCs w:val="24"/>
                <w:lang w:eastAsia="zh-CN"/>
              </w:rPr>
              <w:t>编制</w:t>
            </w:r>
            <w:r>
              <w:rPr>
                <w:rFonts w:hint="eastAsia" w:ascii="Times New Roman" w:hAnsi="Times New Roman" w:eastAsia="宋体" w:cs="Times New Roman"/>
                <w:bCs/>
                <w:color w:val="auto"/>
                <w:kern w:val="0"/>
                <w:sz w:val="24"/>
                <w:szCs w:val="24"/>
                <w:lang w:val="en-US" w:eastAsia="zh-CN"/>
              </w:rPr>
              <w:t>临时占地草原植被恢复</w:t>
            </w:r>
            <w:r>
              <w:rPr>
                <w:rFonts w:hint="eastAsia" w:ascii="Times New Roman" w:hAnsi="Times New Roman" w:eastAsia="宋体" w:cs="Times New Roman"/>
                <w:bCs/>
                <w:color w:val="auto"/>
                <w:kern w:val="0"/>
                <w:sz w:val="24"/>
                <w:szCs w:val="24"/>
                <w:lang w:eastAsia="zh-CN"/>
              </w:rPr>
              <w:t>方案，</w:t>
            </w:r>
            <w:r>
              <w:rPr>
                <w:rFonts w:hint="eastAsia" w:ascii="Times New Roman" w:hAnsi="Times New Roman" w:eastAsia="宋体" w:cs="Times New Roman"/>
                <w:color w:val="auto"/>
                <w:sz w:val="24"/>
                <w:szCs w:val="24"/>
                <w:lang w:val="en-US" w:eastAsia="zh-CN"/>
              </w:rPr>
              <w:t>目前</w:t>
            </w:r>
            <w:r>
              <w:rPr>
                <w:rFonts w:hint="eastAsia" w:cs="Times New Roman"/>
                <w:color w:val="auto"/>
                <w:sz w:val="24"/>
                <w:szCs w:val="24"/>
                <w:lang w:val="en-US" w:eastAsia="zh-CN"/>
              </w:rPr>
              <w:t>正在</w:t>
            </w:r>
            <w:r>
              <w:rPr>
                <w:rFonts w:hint="eastAsia" w:ascii="Times New Roman" w:hAnsi="Times New Roman" w:eastAsia="宋体" w:cs="Times New Roman"/>
                <w:color w:val="auto"/>
                <w:sz w:val="24"/>
                <w:szCs w:val="24"/>
                <w:lang w:val="en-US" w:eastAsia="zh-CN"/>
              </w:rPr>
              <w:t>按照《中华人民共和国草原法》要求</w:t>
            </w:r>
            <w:r>
              <w:rPr>
                <w:rFonts w:hint="default" w:ascii="Times New Roman" w:hAnsi="Times New Roman" w:eastAsia="宋体" w:cs="Times New Roman"/>
                <w:color w:val="auto"/>
                <w:sz w:val="24"/>
                <w:szCs w:val="24"/>
              </w:rPr>
              <w:t>办理占用草原</w:t>
            </w:r>
            <w:r>
              <w:rPr>
                <w:rFonts w:hint="eastAsia" w:ascii="Times New Roman" w:hAnsi="Times New Roman" w:eastAsia="宋体" w:cs="Times New Roman"/>
                <w:color w:val="auto"/>
                <w:sz w:val="24"/>
                <w:szCs w:val="24"/>
                <w:lang w:val="en-US" w:eastAsia="zh-CN"/>
              </w:rPr>
              <w:t>相关手续，在</w:t>
            </w:r>
            <w:r>
              <w:rPr>
                <w:rFonts w:hint="default" w:ascii="Times New Roman" w:hAnsi="Times New Roman" w:eastAsia="宋体" w:cs="Times New Roman"/>
                <w:color w:val="auto"/>
                <w:sz w:val="24"/>
                <w:szCs w:val="24"/>
              </w:rPr>
              <w:t>占用期满</w:t>
            </w:r>
            <w:r>
              <w:rPr>
                <w:rFonts w:hint="eastAsia" w:ascii="Times New Roman" w:hAnsi="Times New Roman" w:eastAsia="宋体" w:cs="Times New Roman"/>
                <w:color w:val="auto"/>
                <w:sz w:val="24"/>
                <w:szCs w:val="24"/>
                <w:lang w:val="en-US" w:eastAsia="zh-CN"/>
              </w:rPr>
              <w:t>后</w:t>
            </w:r>
            <w:r>
              <w:rPr>
                <w:rFonts w:hint="eastAsia" w:ascii="Times New Roman" w:hAnsi="Times New Roman" w:eastAsia="宋体" w:cs="Times New Roman"/>
                <w:bCs/>
                <w:color w:val="auto"/>
                <w:kern w:val="0"/>
                <w:sz w:val="24"/>
                <w:szCs w:val="24"/>
                <w:lang w:val="en-US" w:eastAsia="zh-CN"/>
              </w:rPr>
              <w:t>企业应严格按照复垦方案及时进行复垦。</w:t>
            </w:r>
          </w:p>
          <w:p w14:paraId="3AFCBD17">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lang w:eastAsia="zh-CN"/>
              </w:rPr>
              <w:t>（</w:t>
            </w:r>
            <w:r>
              <w:rPr>
                <w:rFonts w:hint="default"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eastAsia="zh-CN"/>
              </w:rPr>
              <w:t>）</w:t>
            </w:r>
            <w:r>
              <w:rPr>
                <w:rFonts w:hint="default" w:ascii="Times New Roman" w:hAnsi="Times New Roman" w:cs="Times New Roman"/>
                <w:b w:val="0"/>
                <w:bCs w:val="0"/>
                <w:color w:val="auto"/>
                <w:sz w:val="24"/>
                <w:szCs w:val="24"/>
              </w:rPr>
              <w:t>对植被影响的削减措施</w:t>
            </w:r>
          </w:p>
          <w:p w14:paraId="5B2B8797">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bidi="ar"/>
              </w:rPr>
            </w:pPr>
            <w:r>
              <w:rPr>
                <w:rFonts w:hint="eastAsia" w:ascii="宋体" w:hAnsi="宋体" w:eastAsia="宋体" w:cs="宋体"/>
                <w:color w:val="auto"/>
                <w:sz w:val="24"/>
                <w:szCs w:val="24"/>
                <w:lang w:val="en-US" w:eastAsia="zh-CN" w:bidi="ar"/>
              </w:rPr>
              <w:t>①</w:t>
            </w:r>
            <w:r>
              <w:rPr>
                <w:rFonts w:hint="eastAsia" w:ascii="Times New Roman" w:hAnsi="Times New Roman" w:cs="Times New Roman"/>
                <w:color w:val="auto"/>
                <w:sz w:val="24"/>
                <w:szCs w:val="24"/>
              </w:rPr>
              <w:t>施工范围严格控制在施工红线内，</w:t>
            </w:r>
            <w:r>
              <w:rPr>
                <w:rFonts w:hint="eastAsia" w:cs="Times New Roman"/>
                <w:color w:val="auto"/>
                <w:sz w:val="24"/>
                <w:szCs w:val="24"/>
                <w:lang w:val="en-US" w:eastAsia="zh-CN"/>
              </w:rPr>
              <w:t>采取</w:t>
            </w:r>
            <w:r>
              <w:rPr>
                <w:rFonts w:hint="eastAsia" w:ascii="Times New Roman" w:hAnsi="Times New Roman" w:cs="Times New Roman"/>
                <w:color w:val="auto"/>
                <w:sz w:val="24"/>
                <w:szCs w:val="24"/>
              </w:rPr>
              <w:t>彩带围护等措施限定工程占用</w:t>
            </w:r>
            <w:r>
              <w:rPr>
                <w:rFonts w:hint="eastAsia" w:cs="Times New Roman"/>
                <w:color w:val="auto"/>
                <w:sz w:val="24"/>
                <w:szCs w:val="24"/>
                <w:lang w:val="en-US" w:eastAsia="zh-CN"/>
              </w:rPr>
              <w:t>与扰动范围，</w:t>
            </w:r>
            <w:r>
              <w:rPr>
                <w:rFonts w:hint="default" w:ascii="Times New Roman" w:hAnsi="Times New Roman" w:cs="Times New Roman"/>
                <w:color w:val="auto"/>
                <w:sz w:val="24"/>
                <w:szCs w:val="24"/>
                <w:lang w:bidi="ar"/>
              </w:rPr>
              <w:t>禁止施工</w:t>
            </w:r>
            <w:r>
              <w:rPr>
                <w:rFonts w:hint="eastAsia" w:ascii="Times New Roman" w:hAnsi="Times New Roman" w:cs="Times New Roman"/>
                <w:color w:val="auto"/>
                <w:sz w:val="24"/>
                <w:szCs w:val="24"/>
                <w:lang w:bidi="ar"/>
              </w:rPr>
              <w:t>活动</w:t>
            </w:r>
            <w:r>
              <w:rPr>
                <w:rFonts w:hint="default" w:ascii="Times New Roman" w:hAnsi="Times New Roman" w:cs="Times New Roman"/>
                <w:color w:val="auto"/>
                <w:sz w:val="24"/>
                <w:szCs w:val="24"/>
                <w:lang w:bidi="ar"/>
              </w:rPr>
              <w:t>超出划定的区域，任意</w:t>
            </w:r>
            <w:r>
              <w:rPr>
                <w:rFonts w:hint="eastAsia" w:ascii="Times New Roman" w:hAnsi="Times New Roman" w:cs="Times New Roman"/>
                <w:color w:val="auto"/>
                <w:sz w:val="24"/>
                <w:szCs w:val="24"/>
                <w:lang w:bidi="ar"/>
              </w:rPr>
              <w:t>破坏划定范围外的土壤</w:t>
            </w:r>
            <w:r>
              <w:rPr>
                <w:rFonts w:hint="default" w:ascii="Times New Roman" w:hAnsi="Times New Roman" w:cs="Times New Roman"/>
                <w:color w:val="auto"/>
                <w:sz w:val="24"/>
                <w:szCs w:val="24"/>
                <w:lang w:bidi="ar"/>
              </w:rPr>
              <w:t>及植被，最大限度减少工程扰动范围</w:t>
            </w:r>
            <w:r>
              <w:rPr>
                <w:rFonts w:hint="eastAsia" w:ascii="Times New Roman" w:hAnsi="Times New Roman" w:cs="Times New Roman"/>
                <w:color w:val="auto"/>
                <w:sz w:val="24"/>
                <w:szCs w:val="24"/>
                <w:lang w:bidi="ar"/>
              </w:rPr>
              <w:t>。</w:t>
            </w:r>
          </w:p>
          <w:p w14:paraId="30B4922B">
            <w:pPr>
              <w:pStyle w:val="15"/>
              <w:keepNext w:val="0"/>
              <w:keepLines w:val="0"/>
              <w:suppressLineNumbers w:val="0"/>
              <w:spacing w:before="0" w:beforeAutospacing="0" w:after="0" w:afterAutospacing="0"/>
              <w:ind w:left="0" w:right="0" w:firstLine="42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w:t>
            </w:r>
            <w:r>
              <w:rPr>
                <w:rFonts w:hint="eastAsia" w:ascii="Times New Roman" w:hAnsi="Times New Roman" w:cs="Times New Roman"/>
                <w:color w:val="auto"/>
                <w:sz w:val="24"/>
                <w:szCs w:val="24"/>
              </w:rPr>
              <w:t>禁止各类施工机械和运输车辆不按既</w:t>
            </w:r>
            <w:r>
              <w:rPr>
                <w:rFonts w:hint="eastAsia" w:ascii="Times New Roman" w:hAnsi="Times New Roman" w:cs="Times New Roman"/>
                <w:color w:val="auto"/>
                <w:sz w:val="24"/>
                <w:szCs w:val="24"/>
                <w:lang w:val="en-US" w:eastAsia="zh-CN"/>
              </w:rPr>
              <w:t>有道路</w:t>
            </w:r>
            <w:r>
              <w:rPr>
                <w:rFonts w:hint="eastAsia" w:ascii="Times New Roman" w:hAnsi="Times New Roman" w:cs="Times New Roman"/>
                <w:color w:val="auto"/>
                <w:sz w:val="24"/>
                <w:szCs w:val="24"/>
              </w:rPr>
              <w:t>及路线行驶对施工区域外的</w:t>
            </w:r>
            <w:r>
              <w:rPr>
                <w:rFonts w:hint="eastAsia" w:ascii="Times New Roman" w:hAnsi="Times New Roman" w:cs="Times New Roman"/>
                <w:color w:val="auto"/>
                <w:sz w:val="24"/>
                <w:szCs w:val="24"/>
                <w:lang w:val="en-US" w:eastAsia="zh-CN"/>
              </w:rPr>
              <w:t>植被</w:t>
            </w:r>
            <w:r>
              <w:rPr>
                <w:rFonts w:hint="eastAsia" w:ascii="Times New Roman" w:hAnsi="Times New Roman" w:cs="Times New Roman"/>
                <w:color w:val="auto"/>
                <w:sz w:val="24"/>
                <w:szCs w:val="24"/>
              </w:rPr>
              <w:t>进行碾压破坏。</w:t>
            </w:r>
          </w:p>
          <w:p w14:paraId="7BD5F8C9">
            <w:pPr>
              <w:pStyle w:val="15"/>
              <w:keepNext w:val="0"/>
              <w:keepLines w:val="0"/>
              <w:suppressLineNumbers w:val="0"/>
              <w:spacing w:before="0" w:beforeAutospacing="0" w:after="0" w:afterAutospacing="0"/>
              <w:ind w:left="0" w:right="0" w:firstLine="420"/>
              <w:rPr>
                <w:rFonts w:hint="eastAsia" w:ascii="Times New Roman" w:hAnsi="Times New Roman" w:eastAsia="宋体" w:cs="Times New Roman"/>
                <w:color w:val="auto"/>
                <w:sz w:val="24"/>
                <w:szCs w:val="24"/>
                <w:lang w:val="en-US" w:eastAsia="zh-CN"/>
              </w:rPr>
            </w:pPr>
            <w:r>
              <w:rPr>
                <w:rFonts w:hint="eastAsia" w:ascii="宋体" w:hAnsi="宋体" w:eastAsia="宋体" w:cs="宋体"/>
                <w:color w:val="auto"/>
                <w:sz w:val="24"/>
                <w:szCs w:val="24"/>
                <w:lang w:val="en-US" w:eastAsia="zh-CN"/>
              </w:rPr>
              <w:t>③</w:t>
            </w:r>
            <w:r>
              <w:rPr>
                <w:rFonts w:hint="eastAsia" w:cs="Times New Roman"/>
                <w:color w:val="auto"/>
                <w:sz w:val="24"/>
                <w:szCs w:val="24"/>
                <w:lang w:val="en-US" w:eastAsia="zh-CN"/>
              </w:rPr>
              <w:t>严格规定各类工作人员的活动范围，使之限于在各工区范围内活动，避免踩踏野生植被。</w:t>
            </w:r>
          </w:p>
          <w:p w14:paraId="646FFB87">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b w:val="0"/>
                <w:bCs w:val="0"/>
                <w:color w:val="auto"/>
                <w:sz w:val="24"/>
                <w:szCs w:val="24"/>
                <w:lang w:eastAsia="zh-CN"/>
              </w:rPr>
            </w:pPr>
            <w:r>
              <w:rPr>
                <w:rFonts w:hint="eastAsia" w:ascii="仿宋_GB2312" w:hAnsi="仿宋_GB2312" w:eastAsia="仿宋_GB2312" w:cs="仿宋_GB2312"/>
                <w:color w:val="auto"/>
                <w:sz w:val="24"/>
                <w:szCs w:val="24"/>
                <w:lang w:val="en-US" w:eastAsia="zh-CN"/>
              </w:rPr>
              <w:t>④</w:t>
            </w:r>
            <w:r>
              <w:rPr>
                <w:rFonts w:hint="default" w:ascii="Times New Roman" w:hAnsi="Times New Roman" w:cs="Times New Roman"/>
                <w:color w:val="auto"/>
                <w:sz w:val="24"/>
                <w:szCs w:val="24"/>
                <w:lang w:val="en-US" w:eastAsia="zh-CN"/>
              </w:rPr>
              <w:t>本项目占地类型</w:t>
            </w:r>
            <w:r>
              <w:rPr>
                <w:rFonts w:hint="eastAsia" w:ascii="Times New Roman" w:hAnsi="Times New Roman" w:cs="Times New Roman"/>
                <w:color w:val="auto"/>
                <w:sz w:val="24"/>
                <w:szCs w:val="24"/>
                <w:lang w:val="en-US" w:eastAsia="zh-CN"/>
              </w:rPr>
              <w:t>部分涉及</w:t>
            </w:r>
            <w:r>
              <w:rPr>
                <w:rFonts w:hint="default" w:ascii="Times New Roman" w:hAnsi="Times New Roman" w:cs="Times New Roman"/>
                <w:color w:val="auto"/>
                <w:sz w:val="24"/>
                <w:szCs w:val="24"/>
                <w:lang w:val="en-US" w:eastAsia="zh-CN"/>
              </w:rPr>
              <w:t>草地，</w:t>
            </w:r>
            <w:r>
              <w:rPr>
                <w:rFonts w:hint="eastAsia" w:cs="Times New Roman"/>
                <w:color w:val="auto"/>
                <w:sz w:val="24"/>
                <w:szCs w:val="24"/>
                <w:lang w:val="en-US" w:eastAsia="zh-CN"/>
              </w:rPr>
              <w:t>目前</w:t>
            </w:r>
            <w:r>
              <w:rPr>
                <w:rFonts w:hint="default" w:ascii="Times New Roman" w:hAnsi="Times New Roman" w:cs="Times New Roman"/>
                <w:color w:val="auto"/>
                <w:sz w:val="24"/>
                <w:szCs w:val="24"/>
                <w:lang w:val="en-US" w:eastAsia="zh-CN"/>
              </w:rPr>
              <w:t>建设单位</w:t>
            </w:r>
            <w:r>
              <w:rPr>
                <w:rFonts w:hint="eastAsia" w:cs="Times New Roman"/>
                <w:color w:val="auto"/>
                <w:sz w:val="24"/>
                <w:szCs w:val="24"/>
                <w:lang w:val="en-US" w:eastAsia="zh-CN"/>
              </w:rPr>
              <w:t>正在办理临时占地</w:t>
            </w:r>
            <w:r>
              <w:rPr>
                <w:rFonts w:hint="default" w:ascii="Times New Roman" w:hAnsi="Times New Roman" w:cs="Times New Roman"/>
                <w:color w:val="auto"/>
                <w:sz w:val="24"/>
                <w:szCs w:val="24"/>
                <w:lang w:val="en-US" w:eastAsia="zh-CN"/>
              </w:rPr>
              <w:t>手续</w:t>
            </w:r>
            <w:r>
              <w:rPr>
                <w:rFonts w:hint="eastAsia" w:cs="Times New Roman"/>
                <w:color w:val="auto"/>
                <w:sz w:val="24"/>
                <w:szCs w:val="24"/>
                <w:lang w:val="en-US" w:eastAsia="zh-CN"/>
              </w:rPr>
              <w:t>和草地补偿等手续，后续</w:t>
            </w:r>
            <w:r>
              <w:rPr>
                <w:rFonts w:hint="default" w:ascii="Times New Roman" w:hAnsi="Times New Roman" w:cs="Times New Roman"/>
                <w:color w:val="auto"/>
                <w:sz w:val="24"/>
                <w:szCs w:val="24"/>
                <w:lang w:val="en-US" w:eastAsia="zh-CN"/>
              </w:rPr>
              <w:t>建设单位应按照正式征地文件对占地予以经济补偿。</w:t>
            </w:r>
          </w:p>
          <w:p w14:paraId="0FEDE549">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lang w:eastAsia="zh-CN"/>
              </w:rPr>
              <w:t>（</w:t>
            </w:r>
            <w:r>
              <w:rPr>
                <w:rFonts w:hint="default"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eastAsia="zh-CN"/>
              </w:rPr>
              <w:t>）</w:t>
            </w:r>
            <w:r>
              <w:rPr>
                <w:rFonts w:hint="default" w:ascii="Times New Roman" w:hAnsi="Times New Roman" w:cs="Times New Roman"/>
                <w:b w:val="0"/>
                <w:bCs w:val="0"/>
                <w:color w:val="auto"/>
                <w:sz w:val="24"/>
                <w:szCs w:val="24"/>
              </w:rPr>
              <w:t>对动物影响的削减措施</w:t>
            </w:r>
          </w:p>
          <w:p w14:paraId="35E5D1B3">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firstLine="48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制定纪律，将职工的活动限制在项目扰动区域内，禁止任何人员偷猎野生动物。加强对施工人员和工作人员的宣传教育，增强工作人员对环境保护工作的认识和加强环保知识培训，增强工作人员对野骆驼保护区内野生动物的认识和了解，树立环境保护意识。在施工</w:t>
            </w:r>
            <w:r>
              <w:rPr>
                <w:rFonts w:hint="default" w:ascii="Times New Roman" w:hAnsi="Times New Roman" w:cs="Times New Roman"/>
                <w:color w:val="auto"/>
                <w:sz w:val="24"/>
                <w:szCs w:val="24"/>
                <w:lang w:val="en-US" w:eastAsia="zh-CN"/>
              </w:rPr>
              <w:t>场地外</w:t>
            </w:r>
            <w:r>
              <w:rPr>
                <w:rFonts w:hint="default" w:ascii="Times New Roman" w:hAnsi="Times New Roman" w:cs="Times New Roman"/>
                <w:color w:val="auto"/>
                <w:sz w:val="24"/>
                <w:szCs w:val="24"/>
              </w:rPr>
              <w:t>设置“保护生态环境、保护野生动物”等警示牌，并从管理上对施工作业人员加强宣传教育，切实</w:t>
            </w:r>
            <w:r>
              <w:rPr>
                <w:rFonts w:hint="default" w:ascii="Times New Roman" w:hAnsi="Times New Roman" w:cs="Times New Roman"/>
                <w:color w:val="auto"/>
                <w:sz w:val="24"/>
                <w:szCs w:val="24"/>
                <w:lang w:eastAsia="zh-CN"/>
              </w:rPr>
              <w:t>增强</w:t>
            </w:r>
            <w:r>
              <w:rPr>
                <w:rFonts w:hint="default" w:ascii="Times New Roman" w:hAnsi="Times New Roman" w:cs="Times New Roman"/>
                <w:color w:val="auto"/>
                <w:sz w:val="24"/>
                <w:szCs w:val="24"/>
              </w:rPr>
              <w:t>保护生态环境的意识。车辆行驶过程中不得鸣笛惊吓野生动物。</w:t>
            </w:r>
          </w:p>
          <w:p w14:paraId="3FC1AC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4</w:t>
            </w:r>
            <w:r>
              <w:rPr>
                <w:rFonts w:hint="eastAsia" w:ascii="Times New Roman" w:hAnsi="Times New Roman" w:eastAsia="宋体" w:cs="Times New Roman"/>
                <w:color w:val="auto"/>
                <w:sz w:val="24"/>
                <w:szCs w:val="24"/>
                <w:lang w:val="en-US" w:eastAsia="zh-CN"/>
              </w:rPr>
              <w:t>）防沙治沙措施</w:t>
            </w:r>
          </w:p>
          <w:p w14:paraId="7F9B7C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根据《中华人民共和国防沙治沙法》《国务院关于进一步加强防沙治沙工作的决定》《关于加强沙区建设项目环境影响评价工作的通知》（新环环评发〔</w:t>
            </w:r>
            <w:r>
              <w:rPr>
                <w:rFonts w:hint="default" w:ascii="Times New Roman" w:hAnsi="Times New Roman" w:eastAsia="宋体" w:cs="Times New Roman"/>
                <w:color w:val="auto"/>
                <w:sz w:val="24"/>
                <w:szCs w:val="24"/>
                <w:lang w:val="en-US" w:eastAsia="zh-CN"/>
              </w:rPr>
              <w:t>2020</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138 </w:t>
            </w:r>
            <w:r>
              <w:rPr>
                <w:rFonts w:hint="eastAsia" w:ascii="Times New Roman" w:hAnsi="Times New Roman" w:eastAsia="宋体" w:cs="Times New Roman"/>
                <w:color w:val="auto"/>
                <w:sz w:val="24"/>
                <w:szCs w:val="24"/>
                <w:lang w:val="en-US" w:eastAsia="zh-CN"/>
              </w:rPr>
              <w:t>号）等有关规定，做好沙区开发建设项目环评中防沙治沙内容，切实保护和改善沙区生态，合理利用沙区资源，促进沙区经济社会可持续发展。本项目位于</w:t>
            </w:r>
            <w:r>
              <w:rPr>
                <w:rFonts w:hint="eastAsia" w:cs="Times New Roman"/>
                <w:color w:val="auto"/>
                <w:sz w:val="24"/>
                <w:szCs w:val="24"/>
                <w:u w:val="none"/>
                <w:lang w:val="en-US" w:eastAsia="zh-CN"/>
              </w:rPr>
              <w:t>新疆维吾尔自治区昌吉回族自治州阜康市甘河</w:t>
            </w:r>
            <w:r>
              <w:rPr>
                <w:rFonts w:hint="eastAsia" w:ascii="Times New Roman" w:hAnsi="Times New Roman" w:cs="Times New Roman"/>
                <w:color w:val="auto"/>
                <w:sz w:val="24"/>
                <w:szCs w:val="24"/>
                <w:u w:val="none"/>
                <w:shd w:val="clear" w:color="auto" w:fill="auto"/>
                <w:lang w:val="en-US" w:eastAsia="zh-CN"/>
              </w:rPr>
              <w:t>子镇西南</w:t>
            </w:r>
            <w:r>
              <w:rPr>
                <w:rFonts w:hint="eastAsia" w:cs="Times New Roman"/>
                <w:color w:val="auto"/>
                <w:sz w:val="24"/>
                <w:szCs w:val="24"/>
                <w:u w:val="none"/>
                <w:shd w:val="clear" w:color="auto" w:fill="auto"/>
                <w:lang w:val="en-US" w:eastAsia="zh-CN"/>
              </w:rPr>
              <w:t>约3</w:t>
            </w:r>
            <w:r>
              <w:rPr>
                <w:rFonts w:hint="eastAsia" w:ascii="Times New Roman" w:hAnsi="Times New Roman" w:cs="Times New Roman"/>
                <w:color w:val="auto"/>
                <w:sz w:val="24"/>
                <w:szCs w:val="24"/>
                <w:u w:val="none"/>
                <w:shd w:val="clear" w:color="auto" w:fill="auto"/>
                <w:lang w:val="en-US" w:eastAsia="zh-CN"/>
              </w:rPr>
              <w:t>km处</w:t>
            </w:r>
            <w:r>
              <w:rPr>
                <w:rFonts w:hint="eastAsia" w:cs="Times New Roman"/>
                <w:color w:val="auto"/>
                <w:sz w:val="24"/>
                <w:szCs w:val="24"/>
                <w:u w:val="none"/>
                <w:shd w:val="clear" w:color="auto" w:fill="auto"/>
                <w:lang w:val="en-US" w:eastAsia="zh-CN"/>
              </w:rPr>
              <w:t>康龙煤矿</w:t>
            </w:r>
            <w:r>
              <w:rPr>
                <w:rFonts w:hint="eastAsia" w:ascii="Times New Roman" w:hAnsi="Times New Roman" w:eastAsia="宋体" w:cs="Times New Roman"/>
                <w:color w:val="auto"/>
                <w:sz w:val="24"/>
                <w:szCs w:val="24"/>
                <w:lang w:val="en-US" w:eastAsia="zh-CN"/>
              </w:rPr>
              <w:t>，根据《新疆第六次荒漠化和沙化监测》结果，项目</w:t>
            </w:r>
            <w:r>
              <w:rPr>
                <w:rFonts w:hint="eastAsia" w:cs="Times New Roman"/>
                <w:color w:val="auto"/>
                <w:sz w:val="24"/>
                <w:szCs w:val="24"/>
                <w:lang w:val="en-US" w:eastAsia="zh-CN"/>
              </w:rPr>
              <w:t>所在区域</w:t>
            </w:r>
            <w:r>
              <w:rPr>
                <w:rFonts w:hint="eastAsia" w:ascii="Times New Roman" w:hAnsi="Times New Roman" w:eastAsia="宋体" w:cs="Times New Roman"/>
                <w:color w:val="auto"/>
                <w:sz w:val="24"/>
                <w:szCs w:val="24"/>
                <w:lang w:val="en-US" w:eastAsia="zh-CN"/>
              </w:rPr>
              <w:t>属于非沙化土地。</w:t>
            </w:r>
          </w:p>
          <w:p w14:paraId="035E58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根据现场勘查，项目实施占用不涉及其他已建设的防沙治沙设施。环评要求施工期应对原料堆放、机械设备及运输车辆的行走路线做好规划工作，</w:t>
            </w:r>
            <w:r>
              <w:rPr>
                <w:rFonts w:hint="eastAsia" w:cs="Times New Roman"/>
                <w:color w:val="auto"/>
                <w:sz w:val="24"/>
                <w:szCs w:val="24"/>
                <w:lang w:val="en-US" w:eastAsia="zh-CN"/>
              </w:rPr>
              <w:t>严格控制施工场地，对</w:t>
            </w:r>
            <w:r>
              <w:rPr>
                <w:rFonts w:hint="eastAsia" w:ascii="Times New Roman" w:hAnsi="Times New Roman" w:eastAsia="宋体" w:cs="Times New Roman"/>
                <w:color w:val="auto"/>
                <w:sz w:val="24"/>
                <w:szCs w:val="24"/>
                <w:lang w:val="en-US" w:eastAsia="zh-CN"/>
              </w:rPr>
              <w:t>施工开挖产生的临时土石方防尘布覆盖，定期洒水降尘；土石方堆放、物料堆放等施工临时用地不得超出</w:t>
            </w:r>
            <w:r>
              <w:rPr>
                <w:rFonts w:hint="eastAsia" w:cs="Times New Roman"/>
                <w:color w:val="auto"/>
                <w:sz w:val="24"/>
                <w:szCs w:val="24"/>
                <w:lang w:val="en-US" w:eastAsia="zh-CN"/>
              </w:rPr>
              <w:t>施工用地</w:t>
            </w:r>
            <w:r>
              <w:rPr>
                <w:rFonts w:hint="eastAsia" w:ascii="Times New Roman" w:hAnsi="Times New Roman" w:eastAsia="宋体" w:cs="Times New Roman"/>
                <w:color w:val="auto"/>
                <w:sz w:val="24"/>
                <w:szCs w:val="24"/>
                <w:lang w:val="en-US" w:eastAsia="zh-CN"/>
              </w:rPr>
              <w:t>范围</w:t>
            </w:r>
            <w:r>
              <w:rPr>
                <w:rFonts w:hint="eastAsia" w:cs="Times New Roman"/>
                <w:color w:val="auto"/>
                <w:sz w:val="24"/>
                <w:szCs w:val="24"/>
                <w:lang w:val="en-US" w:eastAsia="zh-CN"/>
              </w:rPr>
              <w:t>，对项目永久占地区域</w:t>
            </w:r>
            <w:r>
              <w:rPr>
                <w:rFonts w:hint="eastAsia" w:ascii="Times New Roman" w:hAnsi="Times New Roman" w:eastAsia="宋体" w:cs="Times New Roman"/>
                <w:color w:val="auto"/>
                <w:sz w:val="24"/>
                <w:szCs w:val="24"/>
                <w:lang w:val="en-US" w:eastAsia="zh-CN"/>
              </w:rPr>
              <w:t>进行硬化处理，在场地平整、基坑开挖等项目施工过程中要注意地表结皮的保护，防止沙化问题；项目建设完成后对施工迹地进行平整，恢复地貌，有效减少项目区的土地沙化影响。</w:t>
            </w:r>
          </w:p>
          <w:p w14:paraId="4F329B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）水土</w:t>
            </w:r>
            <w:r>
              <w:rPr>
                <w:rFonts w:hint="eastAsia" w:ascii="Times New Roman" w:hAnsi="Times New Roman" w:eastAsia="宋体" w:cs="Times New Roman"/>
                <w:color w:val="auto"/>
                <w:sz w:val="24"/>
                <w:szCs w:val="24"/>
                <w:lang w:val="en-US" w:eastAsia="zh-CN"/>
              </w:rPr>
              <w:t>保持</w:t>
            </w:r>
            <w:r>
              <w:rPr>
                <w:rFonts w:hint="default" w:ascii="Times New Roman" w:hAnsi="Times New Roman" w:eastAsia="宋体" w:cs="Times New Roman"/>
                <w:color w:val="auto"/>
                <w:sz w:val="24"/>
                <w:szCs w:val="24"/>
                <w:lang w:val="en-US" w:eastAsia="zh-CN"/>
              </w:rPr>
              <w:t>措施</w:t>
            </w:r>
          </w:p>
          <w:p w14:paraId="2FE5E9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根据《关于印发</w:t>
            </w:r>
            <w:r>
              <w:rPr>
                <w:rFonts w:hint="default" w:ascii="Times New Roman" w:hAnsi="Times New Roman" w:eastAsia="宋体" w:cs="Times New Roman"/>
                <w:color w:val="auto"/>
                <w:sz w:val="24"/>
                <w:szCs w:val="24"/>
                <w:lang w:val="en-US" w:eastAsia="zh-CN"/>
              </w:rPr>
              <w:t>&lt;</w:t>
            </w:r>
            <w:r>
              <w:rPr>
                <w:rFonts w:hint="eastAsia" w:ascii="Times New Roman" w:hAnsi="Times New Roman" w:eastAsia="宋体" w:cs="Times New Roman"/>
                <w:color w:val="auto"/>
                <w:sz w:val="24"/>
                <w:szCs w:val="24"/>
                <w:lang w:val="en-US" w:eastAsia="zh-CN"/>
              </w:rPr>
              <w:t>全国水土保持规划国家级水土流失重点预防区和重点治理区复核成果</w:t>
            </w:r>
            <w:r>
              <w:rPr>
                <w:rFonts w:hint="default" w:ascii="Times New Roman" w:hAnsi="Times New Roman" w:eastAsia="宋体" w:cs="Times New Roman"/>
                <w:color w:val="auto"/>
                <w:sz w:val="24"/>
                <w:szCs w:val="24"/>
                <w:lang w:val="en-US" w:eastAsia="zh-CN"/>
              </w:rPr>
              <w:t>&gt;</w:t>
            </w:r>
            <w:r>
              <w:rPr>
                <w:rFonts w:hint="eastAsia" w:ascii="Times New Roman" w:hAnsi="Times New Roman" w:eastAsia="宋体" w:cs="Times New Roman"/>
                <w:color w:val="auto"/>
                <w:sz w:val="24"/>
                <w:szCs w:val="24"/>
                <w:lang w:val="en-US" w:eastAsia="zh-CN"/>
              </w:rPr>
              <w:t>的通知》（办水保〔</w:t>
            </w:r>
            <w:r>
              <w:rPr>
                <w:rFonts w:hint="default" w:ascii="Times New Roman" w:hAnsi="Times New Roman" w:eastAsia="宋体" w:cs="Times New Roman"/>
                <w:color w:val="auto"/>
                <w:sz w:val="24"/>
                <w:szCs w:val="24"/>
                <w:lang w:val="en-US" w:eastAsia="zh-CN"/>
              </w:rPr>
              <w:t>2013</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188 </w:t>
            </w:r>
            <w:r>
              <w:rPr>
                <w:rFonts w:hint="eastAsia" w:ascii="Times New Roman" w:hAnsi="Times New Roman" w:eastAsia="宋体" w:cs="Times New Roman"/>
                <w:color w:val="auto"/>
                <w:sz w:val="24"/>
                <w:szCs w:val="24"/>
                <w:lang w:val="en-US" w:eastAsia="zh-CN"/>
              </w:rPr>
              <w:t>号）中附件，项目区属于“国家级水土流失重点预防区”中“天山北坡国家级水土流失重点预防区”；根据《关于印发</w:t>
            </w:r>
            <w:r>
              <w:rPr>
                <w:rFonts w:hint="default" w:ascii="Times New Roman" w:hAnsi="Times New Roman" w:eastAsia="宋体" w:cs="Times New Roman"/>
                <w:color w:val="auto"/>
                <w:sz w:val="24"/>
                <w:szCs w:val="24"/>
                <w:lang w:val="en-US" w:eastAsia="zh-CN"/>
              </w:rPr>
              <w:t>&lt;</w:t>
            </w:r>
            <w:r>
              <w:rPr>
                <w:rFonts w:hint="eastAsia" w:ascii="Times New Roman" w:hAnsi="Times New Roman" w:eastAsia="宋体" w:cs="Times New Roman"/>
                <w:color w:val="auto"/>
                <w:sz w:val="24"/>
                <w:szCs w:val="24"/>
                <w:lang w:val="en-US" w:eastAsia="zh-CN"/>
              </w:rPr>
              <w:t>新疆自治区级重点预防区和重点治理区复核划分成果</w:t>
            </w:r>
            <w:r>
              <w:rPr>
                <w:rFonts w:hint="default" w:ascii="Times New Roman" w:hAnsi="Times New Roman" w:eastAsia="宋体" w:cs="Times New Roman"/>
                <w:color w:val="auto"/>
                <w:sz w:val="24"/>
                <w:szCs w:val="24"/>
                <w:lang w:val="en-US" w:eastAsia="zh-CN"/>
              </w:rPr>
              <w:t>&gt;</w:t>
            </w:r>
            <w:r>
              <w:rPr>
                <w:rFonts w:hint="eastAsia" w:ascii="Times New Roman" w:hAnsi="Times New Roman" w:eastAsia="宋体" w:cs="Times New Roman"/>
                <w:color w:val="auto"/>
                <w:sz w:val="24"/>
                <w:szCs w:val="24"/>
                <w:lang w:val="en-US" w:eastAsia="zh-CN"/>
              </w:rPr>
              <w:t>的通知》（新水水保〔</w:t>
            </w:r>
            <w:r>
              <w:rPr>
                <w:rFonts w:hint="default" w:ascii="Times New Roman" w:hAnsi="Times New Roman" w:eastAsia="宋体" w:cs="Times New Roman"/>
                <w:color w:val="auto"/>
                <w:sz w:val="24"/>
                <w:szCs w:val="24"/>
                <w:lang w:val="en-US" w:eastAsia="zh-CN"/>
              </w:rPr>
              <w:t>2019</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4 </w:t>
            </w:r>
            <w:r>
              <w:rPr>
                <w:rFonts w:hint="eastAsia" w:ascii="Times New Roman" w:hAnsi="Times New Roman" w:eastAsia="宋体" w:cs="Times New Roman"/>
                <w:color w:val="auto"/>
                <w:sz w:val="24"/>
                <w:szCs w:val="24"/>
                <w:lang w:val="en-US" w:eastAsia="zh-CN"/>
              </w:rPr>
              <w:t>号）中附件，项目区属于“</w:t>
            </w:r>
            <w:r>
              <w:rPr>
                <w:rFonts w:hint="default" w:ascii="Times New Roman" w:hAnsi="Times New Roman" w:eastAsia="宋体" w:cs="Times New Roman"/>
                <w:color w:val="auto"/>
                <w:sz w:val="24"/>
                <w:szCs w:val="24"/>
                <w:lang w:val="en-US" w:eastAsia="zh-CN"/>
              </w:rPr>
              <w:t>Ⅱ</w:t>
            </w:r>
            <w:r>
              <w:rPr>
                <w:rFonts w:hint="eastAsia" w:ascii="Times New Roman" w:hAnsi="Times New Roman" w:eastAsia="宋体" w:cs="Times New Roman"/>
                <w:color w:val="auto"/>
                <w:sz w:val="24"/>
                <w:szCs w:val="24"/>
                <w:lang w:val="en-US" w:eastAsia="zh-CN"/>
              </w:rPr>
              <w:t>重点治理区”中“</w:t>
            </w:r>
            <w:r>
              <w:rPr>
                <w:rFonts w:hint="default" w:ascii="Times New Roman" w:hAnsi="Times New Roman" w:eastAsia="宋体" w:cs="Times New Roman"/>
                <w:color w:val="auto"/>
                <w:sz w:val="24"/>
                <w:szCs w:val="24"/>
                <w:lang w:val="en-US" w:eastAsia="zh-CN"/>
              </w:rPr>
              <w:t xml:space="preserve">Ⅱ2 </w:t>
            </w:r>
            <w:r>
              <w:rPr>
                <w:rFonts w:hint="eastAsia" w:ascii="Times New Roman" w:hAnsi="Times New Roman" w:eastAsia="宋体" w:cs="Times New Roman"/>
                <w:color w:val="auto"/>
                <w:sz w:val="24"/>
                <w:szCs w:val="24"/>
                <w:lang w:val="en-US" w:eastAsia="zh-CN"/>
              </w:rPr>
              <w:t>天山北坡诸小河流域重点治理区”；因此本工程建设区水土流失防治标准的执行等级为一级标准。根据《生产建设项目水土流失防治标准》（</w:t>
            </w:r>
            <w:r>
              <w:rPr>
                <w:rFonts w:hint="default" w:ascii="Times New Roman" w:hAnsi="Times New Roman" w:eastAsia="宋体" w:cs="Times New Roman"/>
                <w:color w:val="auto"/>
                <w:sz w:val="24"/>
                <w:szCs w:val="24"/>
                <w:lang w:val="en-US" w:eastAsia="zh-CN"/>
              </w:rPr>
              <w:t>GB/T50434-2018</w:t>
            </w:r>
            <w:r>
              <w:rPr>
                <w:rFonts w:hint="eastAsia" w:ascii="Times New Roman" w:hAnsi="Times New Roman" w:eastAsia="宋体" w:cs="Times New Roman"/>
                <w:color w:val="auto"/>
                <w:sz w:val="24"/>
                <w:szCs w:val="24"/>
                <w:lang w:val="en-US" w:eastAsia="zh-CN"/>
              </w:rPr>
              <w:t>），本项目水土流失防治目标值为：水土流失治理度</w:t>
            </w:r>
            <w:r>
              <w:rPr>
                <w:rFonts w:hint="default" w:ascii="Times New Roman" w:hAnsi="Times New Roman" w:eastAsia="宋体" w:cs="Times New Roman"/>
                <w:color w:val="auto"/>
                <w:sz w:val="24"/>
                <w:szCs w:val="24"/>
                <w:lang w:val="en-US" w:eastAsia="zh-CN"/>
              </w:rPr>
              <w:t>85%</w:t>
            </w:r>
            <w:r>
              <w:rPr>
                <w:rFonts w:hint="eastAsia" w:ascii="Times New Roman" w:hAnsi="Times New Roman" w:eastAsia="宋体" w:cs="Times New Roman"/>
                <w:color w:val="auto"/>
                <w:sz w:val="24"/>
                <w:szCs w:val="24"/>
                <w:lang w:val="en-US" w:eastAsia="zh-CN"/>
              </w:rPr>
              <w:t>，土壤流失控制比</w:t>
            </w:r>
            <w:r>
              <w:rPr>
                <w:rFonts w:hint="default" w:ascii="Times New Roman" w:hAnsi="Times New Roman" w:eastAsia="宋体" w:cs="Times New Roman"/>
                <w:color w:val="auto"/>
                <w:sz w:val="24"/>
                <w:szCs w:val="24"/>
                <w:lang w:val="en-US" w:eastAsia="zh-CN"/>
              </w:rPr>
              <w:t>0.80</w:t>
            </w:r>
            <w:r>
              <w:rPr>
                <w:rFonts w:hint="eastAsia" w:ascii="Times New Roman" w:hAnsi="Times New Roman" w:eastAsia="宋体" w:cs="Times New Roman"/>
                <w:color w:val="auto"/>
                <w:sz w:val="24"/>
                <w:szCs w:val="24"/>
                <w:lang w:val="en-US" w:eastAsia="zh-CN"/>
              </w:rPr>
              <w:t xml:space="preserve">，渣土 </w:t>
            </w:r>
          </w:p>
          <w:p w14:paraId="2745DF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防护率</w:t>
            </w:r>
            <w:r>
              <w:rPr>
                <w:rFonts w:hint="default" w:ascii="Times New Roman" w:hAnsi="Times New Roman" w:eastAsia="宋体" w:cs="Times New Roman"/>
                <w:color w:val="auto"/>
                <w:sz w:val="24"/>
                <w:szCs w:val="24"/>
                <w:lang w:val="en-US" w:eastAsia="zh-CN"/>
              </w:rPr>
              <w:t>87%</w:t>
            </w:r>
            <w:r>
              <w:rPr>
                <w:rFonts w:hint="eastAsia" w:ascii="Times New Roman" w:hAnsi="Times New Roman" w:eastAsia="宋体" w:cs="Times New Roman"/>
                <w:color w:val="auto"/>
                <w:sz w:val="24"/>
                <w:szCs w:val="24"/>
                <w:lang w:val="en-US" w:eastAsia="zh-CN"/>
              </w:rPr>
              <w:t>，林草植被恢复率</w:t>
            </w:r>
            <w:r>
              <w:rPr>
                <w:rFonts w:hint="default" w:ascii="Times New Roman" w:hAnsi="Times New Roman" w:eastAsia="宋体" w:cs="Times New Roman"/>
                <w:color w:val="auto"/>
                <w:sz w:val="24"/>
                <w:szCs w:val="24"/>
                <w:lang w:val="en-US" w:eastAsia="zh-CN"/>
              </w:rPr>
              <w:t>93%</w:t>
            </w:r>
            <w:r>
              <w:rPr>
                <w:rFonts w:hint="eastAsia" w:ascii="Times New Roman" w:hAnsi="Times New Roman" w:eastAsia="宋体" w:cs="Times New Roman"/>
                <w:color w:val="auto"/>
                <w:sz w:val="24"/>
                <w:szCs w:val="24"/>
                <w:lang w:val="en-US" w:eastAsia="zh-CN"/>
              </w:rPr>
              <w:t>，林草覆盖率</w:t>
            </w:r>
            <w:r>
              <w:rPr>
                <w:rFonts w:hint="default" w:ascii="Times New Roman" w:hAnsi="Times New Roman" w:eastAsia="宋体" w:cs="Times New Roman"/>
                <w:color w:val="auto"/>
                <w:sz w:val="24"/>
                <w:szCs w:val="24"/>
                <w:lang w:val="en-US" w:eastAsia="zh-CN"/>
              </w:rPr>
              <w:t>20%</w:t>
            </w:r>
            <w:r>
              <w:rPr>
                <w:rFonts w:hint="eastAsia" w:ascii="Times New Roman" w:hAnsi="Times New Roman" w:eastAsia="宋体" w:cs="Times New Roman"/>
                <w:color w:val="auto"/>
                <w:sz w:val="24"/>
                <w:szCs w:val="24"/>
                <w:lang w:val="en-US" w:eastAsia="zh-CN"/>
              </w:rPr>
              <w:t>，表土保护按实际情况确定，不作强制要求。</w:t>
            </w:r>
          </w:p>
          <w:p w14:paraId="44D66A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火区灭火工程中为减少施工阶段导致的水土流失，需对火区治理区、取土场设置截排水沟；取土场取土前需进行表土剥离，表土集中堆放，采取临时苫盖措施，后期用于灭火工程结束后植被恢复用土；待项目区覆土后，可进行撒播草籽，恢复植被。要认真执行火区治理中对环境影响的减缓措施，减少新污染对环境的破坏，通过土地复垦及植被恢复，以恢复其环境功能，从而达到合理利用土地资源。这将是一个长期的过程。采取上述措施，项目施工过程中对周围生态环境的破坏可降低至可接受水平。</w:t>
            </w:r>
          </w:p>
          <w:p w14:paraId="4F3353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6</w:t>
            </w:r>
            <w:r>
              <w:rPr>
                <w:rFonts w:hint="eastAsia" w:ascii="Times New Roman" w:hAnsi="Times New Roman" w:eastAsia="宋体" w:cs="Times New Roman"/>
                <w:color w:val="auto"/>
                <w:sz w:val="24"/>
                <w:szCs w:val="24"/>
                <w:lang w:val="en-US" w:eastAsia="zh-CN"/>
              </w:rPr>
              <w:t xml:space="preserve">）生态管理、生态补偿措施 </w:t>
            </w:r>
          </w:p>
          <w:p w14:paraId="1E7318A4">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jc w:val="both"/>
              <w:textAlignment w:val="auto"/>
              <w:rPr>
                <w:rFonts w:hint="default"/>
              </w:rPr>
            </w:pPr>
            <w:r>
              <w:rPr>
                <w:rFonts w:hint="default" w:ascii="Times New Roman" w:hAnsi="Times New Roman" w:cs="Times New Roman"/>
                <w:spacing w:val="-2"/>
              </w:rPr>
              <w:t>本项目</w:t>
            </w:r>
            <w:r>
              <w:rPr>
                <w:rFonts w:hint="default" w:ascii="Times New Roman" w:hAnsi="Times New Roman" w:cs="Times New Roman"/>
                <w:spacing w:val="-2"/>
                <w:lang w:val="en-US" w:eastAsia="zh-CN"/>
              </w:rPr>
              <w:t>2地子火区和3号子火区部分占地及取土场占地</w:t>
            </w:r>
            <w:r>
              <w:rPr>
                <w:rFonts w:hint="default" w:ascii="Times New Roman" w:hAnsi="Times New Roman" w:cs="Times New Roman"/>
                <w:spacing w:val="-2"/>
              </w:rPr>
              <w:t>属牧草地，应依据《关于调整草原补偿</w:t>
            </w:r>
            <w:r>
              <w:rPr>
                <w:rFonts w:hint="default" w:ascii="Times New Roman" w:hAnsi="Times New Roman" w:cs="Times New Roman"/>
                <w:spacing w:val="1"/>
              </w:rPr>
              <w:t>费和安置补助费收费标准</w:t>
            </w:r>
            <w:r>
              <w:rPr>
                <w:rFonts w:hint="default"/>
                <w:spacing w:val="1"/>
              </w:rPr>
              <w:t>的通知》（新发改收费〔</w:t>
            </w:r>
            <w:r>
              <w:rPr>
                <w:rFonts w:hint="default" w:ascii="Times New Roman" w:hAnsi="Times New Roman" w:eastAsia="Times New Roman" w:cs="Times New Roman"/>
                <w:spacing w:val="1"/>
              </w:rPr>
              <w:t>2010</w:t>
            </w:r>
            <w:r>
              <w:rPr>
                <w:rFonts w:hint="default"/>
                <w:spacing w:val="1"/>
              </w:rPr>
              <w:t>〕</w:t>
            </w:r>
            <w:r>
              <w:rPr>
                <w:rFonts w:hint="default" w:ascii="Times New Roman" w:hAnsi="Times New Roman" w:eastAsia="Times New Roman" w:cs="Times New Roman"/>
                <w:spacing w:val="1"/>
              </w:rPr>
              <w:t>2679</w:t>
            </w:r>
            <w:r>
              <w:rPr>
                <w:rFonts w:hint="default"/>
                <w:spacing w:val="1"/>
              </w:rPr>
              <w:t>号文</w:t>
            </w:r>
            <w:r>
              <w:rPr>
                <w:rFonts w:hint="default"/>
                <w:spacing w:val="10"/>
              </w:rPr>
              <w:t>），</w:t>
            </w:r>
            <w:r>
              <w:rPr>
                <w:rFonts w:hint="default"/>
                <w:spacing w:val="1"/>
              </w:rPr>
              <w:t>对本项</w:t>
            </w:r>
            <w:r>
              <w:rPr>
                <w:rFonts w:hint="default"/>
                <w:spacing w:val="-2"/>
              </w:rPr>
              <w:t>目涉及的牧草地进行补偿。</w:t>
            </w:r>
          </w:p>
          <w:p w14:paraId="0E84CCB1">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8" w:firstLineChars="200"/>
              <w:textAlignment w:val="auto"/>
              <w:rPr>
                <w:rFonts w:hint="default"/>
              </w:rPr>
            </w:pPr>
            <w:r>
              <w:rPr>
                <w:rFonts w:hint="default"/>
                <w:spacing w:val="2"/>
              </w:rPr>
              <w:t>为了彻底恢复煤田火区的环境，在煤田灭火施工中要特别重视环境保护与</w:t>
            </w:r>
            <w:r>
              <w:rPr>
                <w:rFonts w:hint="default"/>
                <w:spacing w:val="-1"/>
              </w:rPr>
              <w:t>恢复工作，防止出现环境的二次破坏。还应采取措施如下：</w:t>
            </w:r>
          </w:p>
          <w:p w14:paraId="10ADE42C">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8" w:firstLineChars="200"/>
              <w:textAlignment w:val="auto"/>
              <w:rPr>
                <w:rFonts w:hint="default" w:ascii="宋体" w:hAnsi="宋体" w:eastAsia="宋体" w:cs="宋体"/>
                <w:spacing w:val="2"/>
              </w:rPr>
            </w:pPr>
            <w:r>
              <w:rPr>
                <w:rFonts w:hint="default" w:ascii="Times New Roman" w:hAnsi="Times New Roman" w:eastAsia="Times New Roman" w:cs="Times New Roman"/>
                <w:spacing w:val="-3"/>
              </w:rPr>
              <w:t>1</w:t>
            </w:r>
            <w:r>
              <w:rPr>
                <w:rFonts w:hint="default"/>
                <w:spacing w:val="-3"/>
              </w:rPr>
              <w:t>）</w:t>
            </w:r>
            <w:r>
              <w:rPr>
                <w:rFonts w:hint="default" w:ascii="宋体" w:hAnsi="宋体" w:eastAsia="宋体" w:cs="宋体"/>
                <w:spacing w:val="2"/>
              </w:rPr>
              <w:t>采土场区</w:t>
            </w:r>
          </w:p>
          <w:p w14:paraId="672DC9FB">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8" w:firstLineChars="200"/>
              <w:textAlignment w:val="auto"/>
              <w:rPr>
                <w:rFonts w:hint="default" w:ascii="宋体" w:hAnsi="宋体" w:eastAsia="宋体" w:cs="宋体"/>
                <w:spacing w:val="2"/>
              </w:rPr>
            </w:pPr>
            <w:r>
              <w:rPr>
                <w:rFonts w:hint="default" w:ascii="宋体" w:hAnsi="宋体" w:eastAsia="宋体" w:cs="宋体"/>
                <w:spacing w:val="2"/>
              </w:rPr>
              <w:t>①采土场设置尽量少破坏地表植被</w:t>
            </w:r>
            <w:r>
              <w:rPr>
                <w:rFonts w:hint="eastAsia" w:cs="宋体"/>
                <w:spacing w:val="2"/>
                <w:lang w:eastAsia="zh-CN"/>
              </w:rPr>
              <w:t>，严</w:t>
            </w:r>
            <w:r>
              <w:rPr>
                <w:rFonts w:hint="eastAsia" w:ascii="宋体" w:hAnsi="宋体" w:eastAsia="宋体" w:cs="宋体"/>
                <w:spacing w:val="2"/>
                <w:lang w:val="en-US" w:eastAsia="zh-CN"/>
              </w:rPr>
              <w:t>格控制取土范围、规范开挖方式，取土后应及时固定边坡，按照技术规范要求比例进行放坡，防止取土场滑坡，取土场应设置截水沟以防止水土流失。</w:t>
            </w:r>
          </w:p>
          <w:p w14:paraId="34FB36E4">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8" w:firstLineChars="200"/>
              <w:textAlignment w:val="auto"/>
              <w:rPr>
                <w:rFonts w:hint="default"/>
              </w:rPr>
            </w:pPr>
            <w:r>
              <w:rPr>
                <w:rFonts w:hint="default"/>
                <w:spacing w:val="2"/>
              </w:rPr>
              <w:t>②取土采取挖掘机进行自上而下分台阶开挖。采土场取土后，固定边坡均</w:t>
            </w:r>
            <w:r>
              <w:rPr>
                <w:rFonts w:hint="default"/>
              </w:rPr>
              <w:t>采用</w:t>
            </w:r>
            <w:r>
              <w:rPr>
                <w:rFonts w:hint="default" w:ascii="Times New Roman" w:hAnsi="Times New Roman" w:eastAsia="Times New Roman" w:cs="Times New Roman"/>
              </w:rPr>
              <w:t>1:1</w:t>
            </w:r>
            <w:r>
              <w:rPr>
                <w:rFonts w:hint="default"/>
              </w:rPr>
              <w:t>放坡，防止采土场滑坡，地表应保留</w:t>
            </w:r>
            <w:r>
              <w:rPr>
                <w:rFonts w:hint="default" w:ascii="Times New Roman" w:hAnsi="Times New Roman" w:eastAsia="Times New Roman" w:cs="Times New Roman"/>
              </w:rPr>
              <w:t>0.5m</w:t>
            </w:r>
            <w:r>
              <w:rPr>
                <w:rFonts w:hint="default"/>
              </w:rPr>
              <w:t>以上的黄土层。采土场应</w:t>
            </w:r>
            <w:r>
              <w:rPr>
                <w:rFonts w:hint="default"/>
                <w:spacing w:val="-1"/>
              </w:rPr>
              <w:t>加强</w:t>
            </w:r>
            <w:r>
              <w:rPr>
                <w:rFonts w:hint="default"/>
                <w:spacing w:val="2"/>
              </w:rPr>
              <w:t>施工控制，采土场取土完成后进行削坡平整，选择植物种类与原生植被相近，</w:t>
            </w:r>
            <w:r>
              <w:rPr>
                <w:rFonts w:hint="default"/>
                <w:spacing w:val="-1"/>
              </w:rPr>
              <w:t>恢复景观与周围相协调。</w:t>
            </w:r>
          </w:p>
          <w:p w14:paraId="56E823DE">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8" w:firstLineChars="200"/>
              <w:textAlignment w:val="auto"/>
              <w:rPr>
                <w:rFonts w:hint="default"/>
              </w:rPr>
            </w:pPr>
            <w:r>
              <w:rPr>
                <w:rFonts w:hint="default"/>
                <w:spacing w:val="2"/>
              </w:rPr>
              <w:t>③取土后，土层上部的保护层被破坏，剩余黄土极易流失，应在取土后平</w:t>
            </w:r>
            <w:r>
              <w:rPr>
                <w:rFonts w:hint="default"/>
              </w:rPr>
              <w:t>整好土源地，并采取临时防护措施，以避免区域</w:t>
            </w:r>
            <w:r>
              <w:rPr>
                <w:rFonts w:hint="default"/>
                <w:spacing w:val="-1"/>
              </w:rPr>
              <w:t>生态环境恶化的潜在因素。</w:t>
            </w:r>
          </w:p>
          <w:p w14:paraId="794E3A0F">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8" w:firstLineChars="200"/>
              <w:textAlignment w:val="auto"/>
              <w:rPr>
                <w:rFonts w:hint="default"/>
              </w:rPr>
            </w:pPr>
            <w:r>
              <w:rPr>
                <w:rFonts w:hint="default"/>
                <w:spacing w:val="2"/>
              </w:rPr>
              <w:t>④对火区进行黄土覆盖时，取土应在规定的土源地进行取土，禁止随意取</w:t>
            </w:r>
            <w:r>
              <w:rPr>
                <w:rFonts w:hint="default"/>
                <w:spacing w:val="-1"/>
              </w:rPr>
              <w:t>土，造成大面积的植被破坏。</w:t>
            </w:r>
          </w:p>
          <w:p w14:paraId="2EFEB60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4" w:firstLineChars="200"/>
              <w:textAlignment w:val="auto"/>
              <w:rPr>
                <w:rFonts w:hint="default"/>
              </w:rPr>
            </w:pPr>
            <w:r>
              <w:rPr>
                <w:rFonts w:hint="default" w:ascii="Times New Roman" w:hAnsi="Times New Roman" w:eastAsia="Times New Roman" w:cs="Times New Roman"/>
                <w:spacing w:val="-4"/>
              </w:rPr>
              <w:t>3</w:t>
            </w:r>
            <w:r>
              <w:rPr>
                <w:rFonts w:hint="default"/>
                <w:spacing w:val="-4"/>
              </w:rPr>
              <w:t>）治理区</w:t>
            </w:r>
          </w:p>
          <w:p w14:paraId="3BF2929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8" w:firstLineChars="200"/>
              <w:textAlignment w:val="auto"/>
              <w:rPr>
                <w:rFonts w:hint="default"/>
              </w:rPr>
            </w:pPr>
            <w:r>
              <w:rPr>
                <w:rFonts w:hint="default"/>
                <w:spacing w:val="2"/>
              </w:rPr>
              <w:t>在开展辅助工程施工时，要尽可能沿用火区范围内的原有简易公路，尽可</w:t>
            </w:r>
            <w:r>
              <w:rPr>
                <w:rFonts w:hint="default"/>
                <w:spacing w:val="-2"/>
              </w:rPr>
              <w:t>能避免大面积</w:t>
            </w:r>
            <w:r>
              <w:rPr>
                <w:rFonts w:hint="eastAsia"/>
                <w:spacing w:val="-2"/>
                <w:lang w:eastAsia="zh-CN"/>
              </w:rPr>
              <w:t>地</w:t>
            </w:r>
            <w:r>
              <w:rPr>
                <w:rFonts w:hint="default"/>
                <w:spacing w:val="-2"/>
              </w:rPr>
              <w:t>破坏原始地貌。</w:t>
            </w:r>
          </w:p>
          <w:p w14:paraId="3E3D47BC">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textAlignment w:val="auto"/>
              <w:rPr>
                <w:rFonts w:hint="default" w:ascii="Times New Roman" w:hAnsi="Times New Roman" w:cs="Times New Roman"/>
              </w:rPr>
            </w:pPr>
            <w:r>
              <w:rPr>
                <w:rFonts w:hint="default" w:ascii="Times New Roman" w:hAnsi="Times New Roman" w:eastAsia="Times New Roman" w:cs="Times New Roman"/>
                <w:spacing w:val="-5"/>
              </w:rPr>
              <w:t>4</w:t>
            </w:r>
            <w:r>
              <w:rPr>
                <w:rFonts w:hint="default" w:ascii="Times New Roman" w:hAnsi="Times New Roman" w:cs="Times New Roman"/>
                <w:spacing w:val="-5"/>
              </w:rPr>
              <w:t>）其他</w:t>
            </w:r>
          </w:p>
          <w:p w14:paraId="25678B89">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8" w:firstLineChars="200"/>
              <w:textAlignment w:val="auto"/>
              <w:rPr>
                <w:rFonts w:hint="default" w:ascii="Times New Roman" w:hAnsi="Times New Roman" w:cs="Times New Roman"/>
              </w:rPr>
            </w:pPr>
            <w:r>
              <w:rPr>
                <w:rFonts w:hint="default" w:ascii="Times New Roman" w:hAnsi="Times New Roman" w:cs="Times New Roman"/>
                <w:spacing w:val="2"/>
              </w:rPr>
              <w:t>①在注水</w:t>
            </w:r>
            <w:r>
              <w:rPr>
                <w:rFonts w:hint="eastAsia" w:ascii="Times New Roman" w:hAnsi="Times New Roman" w:cs="Times New Roman"/>
                <w:spacing w:val="2"/>
                <w:lang w:eastAsia="zh-CN"/>
              </w:rPr>
              <w:t>、</w:t>
            </w:r>
            <w:r>
              <w:rPr>
                <w:rFonts w:hint="eastAsia" w:ascii="Times New Roman" w:hAnsi="Times New Roman" w:cs="Times New Roman"/>
                <w:spacing w:val="2"/>
                <w:lang w:val="en-US" w:eastAsia="zh-CN"/>
              </w:rPr>
              <w:t>注浆</w:t>
            </w:r>
            <w:r>
              <w:rPr>
                <w:rFonts w:hint="default" w:ascii="Times New Roman" w:hAnsi="Times New Roman" w:cs="Times New Roman"/>
                <w:spacing w:val="2"/>
              </w:rPr>
              <w:t>时，要严格按照有关操作规程进行，防止柴油、机油、汽</w:t>
            </w:r>
            <w:r>
              <w:rPr>
                <w:rFonts w:hint="default" w:ascii="Times New Roman" w:hAnsi="Times New Roman" w:cs="Times New Roman"/>
                <w:spacing w:val="-1"/>
              </w:rPr>
              <w:t>油等有害物污染地下水和土壤。</w:t>
            </w:r>
          </w:p>
          <w:p w14:paraId="41FEE9A3">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8" w:firstLineChars="200"/>
              <w:textAlignment w:val="auto"/>
              <w:rPr>
                <w:rFonts w:hint="default" w:ascii="Times New Roman" w:hAnsi="Times New Roman" w:cs="Times New Roman"/>
              </w:rPr>
            </w:pPr>
            <w:r>
              <w:rPr>
                <w:rFonts w:hint="default" w:ascii="Times New Roman" w:hAnsi="Times New Roman" w:cs="Times New Roman"/>
                <w:spacing w:val="2"/>
              </w:rPr>
              <w:t>②在火区上进行剥离、注水等工作时，应定期对施工的火区进行有毒、有</w:t>
            </w:r>
            <w:r>
              <w:rPr>
                <w:rFonts w:hint="default" w:ascii="Times New Roman" w:hAnsi="Times New Roman" w:cs="Times New Roman"/>
                <w:spacing w:val="-1"/>
              </w:rPr>
              <w:t>害气体监测。如果有害气体超标，工作人员需佩戴防毒面具。</w:t>
            </w:r>
          </w:p>
          <w:p w14:paraId="1E3732AD">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8" w:firstLineChars="200"/>
              <w:textAlignment w:val="auto"/>
              <w:rPr>
                <w:rFonts w:hint="default" w:ascii="Times New Roman" w:hAnsi="Times New Roman" w:cs="Times New Roman"/>
              </w:rPr>
            </w:pPr>
            <w:r>
              <w:rPr>
                <w:rFonts w:hint="default" w:ascii="Times New Roman" w:hAnsi="Times New Roman" w:cs="Times New Roman"/>
                <w:spacing w:val="2"/>
              </w:rPr>
              <w:t>③剥离及覆盖施工时，为避免灰尘对周围环境的影响，应采取施工作业面</w:t>
            </w:r>
            <w:r>
              <w:rPr>
                <w:rFonts w:hint="default" w:ascii="Times New Roman" w:hAnsi="Times New Roman" w:cs="Times New Roman"/>
                <w:spacing w:val="-1"/>
              </w:rPr>
              <w:t>洒水及路面洒水降尘的措施，运输黄土时要加以遮盖。</w:t>
            </w:r>
          </w:p>
          <w:p w14:paraId="05138660">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④对施工人员和队伍进行爱护环境、保护动物的宣传教育。禁止哄赶、捕杀野生动物。</w:t>
            </w:r>
          </w:p>
          <w:p w14:paraId="7893A8AA">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⑥</w:t>
            </w:r>
            <w:r>
              <w:rPr>
                <w:rFonts w:hint="default" w:ascii="Times New Roman" w:hAnsi="Times New Roman" w:eastAsia="宋体" w:cs="Times New Roman"/>
                <w:color w:val="auto"/>
                <w:sz w:val="24"/>
                <w:szCs w:val="24"/>
                <w:lang w:val="en-US" w:eastAsia="zh-CN"/>
              </w:rPr>
              <w:t>施工期对全线实施环境监控，严格将工程活动</w:t>
            </w:r>
            <w:r>
              <w:rPr>
                <w:rFonts w:hint="default" w:ascii="Times New Roman" w:hAnsi="Times New Roman" w:cs="Times New Roman"/>
                <w:color w:val="auto"/>
                <w:sz w:val="24"/>
                <w:szCs w:val="24"/>
                <w:lang w:val="en-US" w:eastAsia="zh-CN"/>
              </w:rPr>
              <w:t>纳入</w:t>
            </w:r>
            <w:r>
              <w:rPr>
                <w:rFonts w:hint="default" w:ascii="Times New Roman" w:hAnsi="Times New Roman" w:eastAsia="宋体" w:cs="Times New Roman"/>
                <w:color w:val="auto"/>
                <w:sz w:val="24"/>
                <w:szCs w:val="24"/>
                <w:lang w:val="en-US" w:eastAsia="zh-CN"/>
              </w:rPr>
              <w:t>有序的环境管理中。</w:t>
            </w:r>
          </w:p>
          <w:p w14:paraId="3B18035F">
            <w:pPr>
              <w:pStyle w:val="10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6" w:firstLineChars="200"/>
              <w:textAlignment w:val="auto"/>
              <w:rPr>
                <w:rFonts w:hint="default" w:ascii="Times New Roman" w:hAnsi="Times New Roman" w:cs="Times New Roman"/>
              </w:rPr>
            </w:pPr>
            <w:r>
              <w:rPr>
                <w:rFonts w:hint="default" w:ascii="Times New Roman" w:hAnsi="Times New Roman" w:eastAsia="仿宋_GB2312" w:cs="Times New Roman"/>
                <w:spacing w:val="-1"/>
              </w:rPr>
              <w:t>⑦</w:t>
            </w:r>
            <w:r>
              <w:rPr>
                <w:rFonts w:hint="default" w:ascii="Times New Roman" w:hAnsi="Times New Roman" w:cs="Times New Roman"/>
                <w:spacing w:val="-1"/>
              </w:rPr>
              <w:t>完工后对场地及时回填、平整。</w:t>
            </w:r>
          </w:p>
          <w:p w14:paraId="297BC78D">
            <w:pPr>
              <w:pStyle w:val="15"/>
              <w:keepNext w:val="0"/>
              <w:keepLines w:val="0"/>
              <w:suppressLineNumbers w:val="0"/>
              <w:spacing w:before="0" w:beforeAutospacing="0" w:after="0" w:afterAutospacing="0"/>
              <w:ind w:left="0" w:right="0" w:firstLine="420"/>
              <w:rPr>
                <w:rFonts w:hint="default"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生态恢复措施</w:t>
            </w:r>
          </w:p>
          <w:p w14:paraId="15570BF3">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eastAsia="zh-CN" w:bidi="ar"/>
              </w:rPr>
            </w:pPr>
            <w:r>
              <w:rPr>
                <w:rFonts w:hint="eastAsia" w:ascii="Times New Roman" w:hAnsi="Times New Roman" w:cs="Times New Roman"/>
                <w:color w:val="auto"/>
                <w:sz w:val="24"/>
                <w:szCs w:val="24"/>
                <w:lang w:val="en-US" w:eastAsia="zh-CN" w:bidi="ar"/>
              </w:rPr>
              <w:t>治理</w:t>
            </w:r>
            <w:r>
              <w:rPr>
                <w:rFonts w:hint="eastAsia" w:ascii="Times New Roman" w:hAnsi="Times New Roman" w:cs="Times New Roman"/>
                <w:color w:val="auto"/>
                <w:sz w:val="24"/>
                <w:szCs w:val="24"/>
                <w:lang w:bidi="ar"/>
              </w:rPr>
              <w:t>工程结束后对项目临时</w:t>
            </w:r>
            <w:r>
              <w:rPr>
                <w:rFonts w:hint="eastAsia" w:ascii="Times New Roman" w:hAnsi="Times New Roman" w:cs="Times New Roman"/>
                <w:color w:val="auto"/>
                <w:sz w:val="24"/>
                <w:szCs w:val="24"/>
                <w:lang w:val="en-US" w:eastAsia="zh-CN" w:bidi="ar"/>
              </w:rPr>
              <w:t>占用的天然牧草地根据《矿山生态环境保护与恢复治理技术规范（试行）》(HJ 651-2013)和《裸露坡面植被恢复技术规范》（GB/T 38360-2019）等</w:t>
            </w:r>
            <w:r>
              <w:rPr>
                <w:rFonts w:hint="eastAsia" w:ascii="Times New Roman" w:hAnsi="Times New Roman" w:cs="Times New Roman"/>
                <w:color w:val="auto"/>
                <w:sz w:val="24"/>
                <w:szCs w:val="24"/>
                <w:lang w:bidi="ar"/>
              </w:rPr>
              <w:t>进行</w:t>
            </w:r>
            <w:r>
              <w:rPr>
                <w:rFonts w:hint="eastAsia" w:ascii="Times New Roman" w:hAnsi="Times New Roman" w:cs="Times New Roman"/>
                <w:color w:val="auto"/>
                <w:sz w:val="24"/>
                <w:szCs w:val="24"/>
                <w:lang w:val="en-US" w:eastAsia="zh-CN" w:bidi="ar"/>
              </w:rPr>
              <w:t>植被恢复</w:t>
            </w:r>
            <w:r>
              <w:rPr>
                <w:rFonts w:hint="eastAsia" w:ascii="Times New Roman" w:hAnsi="Times New Roman" w:cs="Times New Roman"/>
                <w:color w:val="auto"/>
                <w:sz w:val="24"/>
                <w:szCs w:val="24"/>
                <w:lang w:bidi="ar"/>
              </w:rPr>
              <w:t>，</w:t>
            </w:r>
            <w:r>
              <w:rPr>
                <w:rFonts w:hint="eastAsia" w:ascii="Times New Roman" w:hAnsi="Times New Roman" w:cs="Times New Roman"/>
                <w:color w:val="auto"/>
                <w:sz w:val="24"/>
                <w:szCs w:val="24"/>
                <w:lang w:eastAsia="zh-CN" w:bidi="ar"/>
              </w:rPr>
              <w:t>恢复的</w:t>
            </w:r>
            <w:r>
              <w:rPr>
                <w:rFonts w:hint="eastAsia" w:ascii="Times New Roman" w:hAnsi="Times New Roman" w:cs="Times New Roman"/>
                <w:color w:val="auto"/>
                <w:sz w:val="24"/>
                <w:szCs w:val="24"/>
                <w:lang w:val="en-US" w:eastAsia="zh-CN" w:bidi="ar"/>
              </w:rPr>
              <w:t>地形地貌</w:t>
            </w:r>
            <w:r>
              <w:rPr>
                <w:rFonts w:hint="eastAsia" w:ascii="Times New Roman" w:hAnsi="Times New Roman" w:cs="Times New Roman"/>
                <w:color w:val="auto"/>
                <w:sz w:val="24"/>
                <w:szCs w:val="24"/>
                <w:lang w:eastAsia="zh-CN" w:bidi="ar"/>
              </w:rPr>
              <w:t>与周边相协调。</w:t>
            </w:r>
          </w:p>
          <w:p w14:paraId="11C65DC4">
            <w:pPr>
              <w:pStyle w:val="15"/>
              <w:keepNext w:val="0"/>
              <w:keepLines w:val="0"/>
              <w:suppressLineNumbers w:val="0"/>
              <w:spacing w:before="0" w:beforeAutospacing="0" w:after="0" w:afterAutospacing="0"/>
              <w:ind w:left="0" w:right="0" w:firstLine="420"/>
              <w:rPr>
                <w:rFonts w:hint="default" w:ascii="Times New Roman" w:hAnsi="Times New Roman" w:cs="Times New Roman"/>
                <w:color w:val="auto"/>
                <w:sz w:val="24"/>
                <w:szCs w:val="24"/>
                <w:lang w:val="en-US" w:eastAsia="zh-CN" w:bidi="ar"/>
              </w:rPr>
            </w:pPr>
            <w:r>
              <w:rPr>
                <w:rFonts w:hint="eastAsia" w:ascii="Times New Roman" w:hAnsi="Times New Roman" w:cs="Times New Roman"/>
                <w:color w:val="auto"/>
                <w:sz w:val="24"/>
                <w:szCs w:val="24"/>
                <w:lang w:val="en-US" w:eastAsia="zh-CN" w:bidi="ar"/>
              </w:rPr>
              <w:t>1）恢复范围</w:t>
            </w:r>
          </w:p>
          <w:p w14:paraId="1BE73876">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bidi="ar"/>
              </w:rPr>
            </w:pPr>
            <w:r>
              <w:rPr>
                <w:rFonts w:hint="eastAsia" w:ascii="Times New Roman" w:hAnsi="Times New Roman" w:cs="Times New Roman"/>
                <w:color w:val="auto"/>
                <w:sz w:val="24"/>
                <w:szCs w:val="24"/>
                <w:lang w:val="en-US" w:eastAsia="zh-CN" w:bidi="ar"/>
              </w:rPr>
              <w:t>根据煤田已损毁和本灭火项目拟损毁土地、破坏草原、各功能区布局位置、植被恢复时间和方式等具体情况，基于分类施策的理念，植被恢复区分别为</w:t>
            </w:r>
            <w:r>
              <w:rPr>
                <w:rFonts w:hint="default" w:ascii="Times New Roman" w:hAnsi="Times New Roman" w:cs="Times New Roman"/>
                <w:color w:val="auto"/>
                <w:sz w:val="24"/>
                <w:szCs w:val="24"/>
                <w:lang w:val="en-US" w:eastAsia="zh-CN" w:bidi="ar"/>
              </w:rPr>
              <w:t xml:space="preserve">2 </w:t>
            </w:r>
            <w:r>
              <w:rPr>
                <w:rFonts w:hint="eastAsia" w:ascii="Times New Roman" w:hAnsi="Times New Roman" w:cs="Times New Roman"/>
                <w:color w:val="auto"/>
                <w:sz w:val="24"/>
                <w:szCs w:val="24"/>
                <w:lang w:val="en-US" w:eastAsia="zh-CN" w:bidi="ar"/>
              </w:rPr>
              <w:t>地子火区、</w:t>
            </w:r>
            <w:r>
              <w:rPr>
                <w:rFonts w:hint="default" w:ascii="Times New Roman" w:hAnsi="Times New Roman" w:cs="Times New Roman"/>
                <w:color w:val="auto"/>
                <w:sz w:val="24"/>
                <w:szCs w:val="24"/>
                <w:lang w:val="en-US" w:eastAsia="zh-CN" w:bidi="ar"/>
              </w:rPr>
              <w:t>3</w:t>
            </w:r>
            <w:r>
              <w:rPr>
                <w:rFonts w:hint="eastAsia" w:ascii="Times New Roman" w:hAnsi="Times New Roman" w:cs="Times New Roman"/>
                <w:color w:val="auto"/>
                <w:sz w:val="24"/>
                <w:szCs w:val="24"/>
                <w:lang w:val="en-US" w:eastAsia="zh-CN" w:bidi="ar"/>
              </w:rPr>
              <w:t>号子火区和取土场。植被恢复面积</w:t>
            </w:r>
            <w:r>
              <w:rPr>
                <w:rFonts w:hint="default" w:ascii="Times New Roman" w:hAnsi="Times New Roman" w:cs="Times New Roman"/>
                <w:color w:val="auto"/>
                <w:sz w:val="24"/>
                <w:szCs w:val="24"/>
                <w:lang w:val="en-US" w:eastAsia="zh-CN" w:bidi="ar"/>
              </w:rPr>
              <w:t>2.9929</w:t>
            </w:r>
            <w:r>
              <w:rPr>
                <w:rFonts w:hint="eastAsia" w:ascii="Times New Roman" w:hAnsi="Times New Roman" w:cs="Times New Roman"/>
                <w:color w:val="auto"/>
                <w:sz w:val="24"/>
                <w:szCs w:val="24"/>
                <w:lang w:val="en-US" w:eastAsia="zh-CN" w:bidi="ar"/>
              </w:rPr>
              <w:t>公顷（折合</w:t>
            </w:r>
            <w:r>
              <w:rPr>
                <w:rFonts w:hint="default" w:ascii="Times New Roman" w:hAnsi="Times New Roman" w:cs="Times New Roman"/>
                <w:color w:val="auto"/>
                <w:sz w:val="24"/>
                <w:szCs w:val="24"/>
                <w:lang w:val="en-US" w:eastAsia="zh-CN" w:bidi="ar"/>
              </w:rPr>
              <w:t>44.8935</w:t>
            </w:r>
            <w:r>
              <w:rPr>
                <w:rFonts w:hint="eastAsia" w:ascii="Times New Roman" w:hAnsi="Times New Roman" w:cs="Times New Roman"/>
                <w:color w:val="auto"/>
                <w:sz w:val="24"/>
                <w:szCs w:val="24"/>
                <w:lang w:val="en-US" w:eastAsia="zh-CN" w:bidi="ar"/>
              </w:rPr>
              <w:t>亩）</w:t>
            </w:r>
            <w:r>
              <w:rPr>
                <w:rFonts w:hint="eastAsia" w:cs="Times New Roman"/>
                <w:color w:val="auto"/>
                <w:sz w:val="24"/>
                <w:szCs w:val="24"/>
                <w:lang w:val="en-US" w:eastAsia="zh-CN" w:bidi="ar"/>
              </w:rPr>
              <w:t>。</w:t>
            </w:r>
          </w:p>
          <w:p w14:paraId="6409D23B">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val="en-US" w:eastAsia="zh-CN" w:bidi="ar"/>
              </w:rPr>
            </w:pPr>
          </w:p>
          <w:p w14:paraId="298A7976">
            <w:pPr>
              <w:pStyle w:val="15"/>
              <w:keepNext w:val="0"/>
              <w:keepLines w:val="0"/>
              <w:suppressLineNumbers w:val="0"/>
              <w:spacing w:before="0" w:beforeAutospacing="0" w:after="0" w:afterAutospacing="0"/>
              <w:ind w:left="0" w:right="0" w:firstLine="420"/>
              <w:rPr>
                <w:rFonts w:hint="default" w:ascii="Times New Roman" w:hAnsi="Times New Roman" w:cs="Times New Roman"/>
                <w:color w:val="auto"/>
                <w:sz w:val="24"/>
                <w:szCs w:val="24"/>
                <w:lang w:val="en-US" w:eastAsia="zh-CN" w:bidi="ar"/>
              </w:rPr>
            </w:pPr>
            <w:r>
              <w:rPr>
                <w:rFonts w:hint="eastAsia" w:ascii="Times New Roman" w:hAnsi="Times New Roman" w:cs="Times New Roman"/>
                <w:color w:val="auto"/>
                <w:sz w:val="24"/>
                <w:szCs w:val="24"/>
                <w:lang w:val="en-US" w:eastAsia="zh-CN" w:bidi="ar"/>
              </w:rPr>
              <w:t>2）植被恢复方法</w:t>
            </w:r>
          </w:p>
          <w:p w14:paraId="58FA74E2">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val="en-US" w:eastAsia="zh-CN" w:bidi="ar"/>
              </w:rPr>
            </w:pPr>
            <w:r>
              <w:rPr>
                <w:rFonts w:hint="eastAsia" w:ascii="Times New Roman" w:hAnsi="Times New Roman" w:cs="Times New Roman"/>
                <w:color w:val="auto"/>
                <w:sz w:val="24"/>
                <w:szCs w:val="24"/>
                <w:lang w:val="en-US" w:eastAsia="zh-CN" w:bidi="ar"/>
              </w:rPr>
              <w:t>主要采用近自然人工修复（播种）受损草原生态系统的方式进行各功能区植被恢复。选择对土壤质地要求不高，对气候适应性强，生存能力强，抗逆性强，具有发达的根系，固土效果好，生长快、落叶期短，对地表的覆盖能力强的乡土草种。根据灌草结合、上繁草和下繁草搭配的原则，确定的草种有苦豆子、针茅、伊犁娟蒿、木地肤、藜，作为植被恢复用种。根据《生态修复用草种子质量分级》（</w:t>
            </w:r>
            <w:r>
              <w:rPr>
                <w:rFonts w:hint="default" w:ascii="Times New Roman" w:hAnsi="Times New Roman" w:cs="Times New Roman"/>
                <w:color w:val="auto"/>
                <w:sz w:val="24"/>
                <w:szCs w:val="24"/>
                <w:lang w:val="en-US" w:eastAsia="zh-CN" w:bidi="ar"/>
              </w:rPr>
              <w:t>LY/T3423-2025</w:t>
            </w:r>
            <w:r>
              <w:rPr>
                <w:rFonts w:hint="eastAsia" w:ascii="Times New Roman" w:hAnsi="Times New Roman" w:cs="Times New Roman"/>
                <w:color w:val="auto"/>
                <w:sz w:val="24"/>
                <w:szCs w:val="24"/>
                <w:lang w:val="en-US" w:eastAsia="zh-CN" w:bidi="ar"/>
              </w:rPr>
              <w:t>），项目选用的苦豆子、针茅、伊犁娟蒿、木地肤、藜种子质量应符合二级以上标准。</w:t>
            </w:r>
          </w:p>
          <w:p w14:paraId="4CB68C19">
            <w:pPr>
              <w:pStyle w:val="15"/>
              <w:keepNext w:val="0"/>
              <w:keepLines w:val="0"/>
              <w:suppressLineNumbers w:val="0"/>
              <w:spacing w:before="0" w:beforeAutospacing="0" w:after="0" w:afterAutospacing="0"/>
              <w:ind w:left="0" w:right="0" w:firstLine="420"/>
              <w:rPr>
                <w:rFonts w:hint="default" w:ascii="Times New Roman" w:hAnsi="Times New Roman" w:cs="Times New Roman"/>
                <w:color w:val="auto"/>
                <w:sz w:val="24"/>
                <w:szCs w:val="24"/>
                <w:lang w:val="en-US" w:eastAsia="zh-CN" w:bidi="ar"/>
              </w:rPr>
            </w:pPr>
            <w:r>
              <w:rPr>
                <w:rFonts w:hint="eastAsia" w:ascii="Times New Roman" w:hAnsi="Times New Roman" w:cs="Times New Roman"/>
                <w:color w:val="auto"/>
                <w:sz w:val="24"/>
                <w:szCs w:val="24"/>
                <w:lang w:val="en-US" w:eastAsia="zh-CN" w:bidi="ar"/>
              </w:rPr>
              <w:t>3）植被恢复工程设计</w:t>
            </w:r>
          </w:p>
          <w:p w14:paraId="11EC5B20">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val="en-US" w:eastAsia="zh-CN" w:bidi="ar"/>
              </w:rPr>
            </w:pPr>
            <w:r>
              <w:rPr>
                <w:rFonts w:hint="eastAsia" w:ascii="Times New Roman" w:hAnsi="Times New Roman" w:cs="Times New Roman"/>
                <w:color w:val="auto"/>
                <w:sz w:val="24"/>
                <w:szCs w:val="24"/>
                <w:lang w:val="en-US" w:eastAsia="zh-CN" w:bidi="ar"/>
              </w:rPr>
              <w:t>植被恢复工程主要是进行场地土地平整、松土、撒播草籽、补充灌溉等措施，以便于生态恢复。</w:t>
            </w:r>
          </w:p>
          <w:p w14:paraId="489A6836">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val="en-US" w:eastAsia="zh-CN" w:bidi="ar"/>
              </w:rPr>
            </w:pPr>
            <w:r>
              <w:rPr>
                <w:rFonts w:hint="eastAsia" w:ascii="仿宋_GB2312" w:hAnsi="仿宋_GB2312" w:eastAsia="仿宋_GB2312" w:cs="仿宋_GB2312"/>
                <w:color w:val="auto"/>
                <w:sz w:val="24"/>
                <w:szCs w:val="24"/>
                <w:lang w:val="en-US" w:eastAsia="zh-CN" w:bidi="ar"/>
              </w:rPr>
              <w:t>①</w:t>
            </w:r>
            <w:r>
              <w:rPr>
                <w:rFonts w:hint="eastAsia" w:ascii="Times New Roman" w:hAnsi="Times New Roman" w:cs="Times New Roman"/>
                <w:color w:val="auto"/>
                <w:sz w:val="24"/>
                <w:szCs w:val="24"/>
                <w:lang w:val="en-US" w:eastAsia="zh-CN" w:bidi="ar"/>
              </w:rPr>
              <w:t>土地平整</w:t>
            </w:r>
            <w:r>
              <w:rPr>
                <w:rFonts w:hint="eastAsia" w:cs="Times New Roman"/>
                <w:color w:val="auto"/>
                <w:sz w:val="24"/>
                <w:szCs w:val="24"/>
                <w:lang w:val="en-US" w:eastAsia="zh-CN" w:bidi="ar"/>
              </w:rPr>
              <w:t>：</w:t>
            </w:r>
            <w:r>
              <w:rPr>
                <w:rFonts w:hint="eastAsia" w:ascii="Times New Roman" w:hAnsi="Times New Roman" w:cs="Times New Roman"/>
                <w:color w:val="auto"/>
                <w:sz w:val="24"/>
                <w:szCs w:val="24"/>
                <w:lang w:val="en-US" w:eastAsia="zh-CN" w:bidi="ar"/>
              </w:rPr>
              <w:t>灭火工程已完成表土剥离和砂土覆盖施工，覆盖范围为三个子火区范围全覆盖，覆盖厚度</w:t>
            </w:r>
            <w:r>
              <w:rPr>
                <w:rFonts w:hint="default" w:ascii="Times New Roman" w:hAnsi="Times New Roman" w:cs="Times New Roman"/>
                <w:color w:val="auto"/>
                <w:sz w:val="24"/>
                <w:szCs w:val="24"/>
                <w:lang w:val="en-US" w:eastAsia="zh-CN" w:bidi="ar"/>
              </w:rPr>
              <w:t>1.5m</w:t>
            </w:r>
            <w:r>
              <w:rPr>
                <w:rFonts w:hint="eastAsia" w:ascii="Times New Roman" w:hAnsi="Times New Roman" w:cs="Times New Roman"/>
                <w:color w:val="auto"/>
                <w:sz w:val="24"/>
                <w:szCs w:val="24"/>
                <w:lang w:val="en-US" w:eastAsia="zh-CN" w:bidi="ar"/>
              </w:rPr>
              <w:t>，包含平整、压实、腐殖土覆盖，植被恢复</w:t>
            </w:r>
            <w:r>
              <w:rPr>
                <w:rFonts w:hint="eastAsia" w:cs="Times New Roman"/>
                <w:color w:val="auto"/>
                <w:sz w:val="24"/>
                <w:szCs w:val="24"/>
                <w:lang w:val="en-US" w:eastAsia="zh-CN" w:bidi="ar"/>
              </w:rPr>
              <w:t>前只需进行</w:t>
            </w:r>
            <w:r>
              <w:rPr>
                <w:rFonts w:hint="eastAsia" w:ascii="Times New Roman" w:hAnsi="Times New Roman" w:cs="Times New Roman"/>
                <w:color w:val="auto"/>
                <w:sz w:val="24"/>
                <w:szCs w:val="24"/>
                <w:lang w:val="en-US" w:eastAsia="zh-CN" w:bidi="ar"/>
              </w:rPr>
              <w:t>土地平整。以项目区为一个平整单元，以平整单元内部土方挖填平衡为基础，对场地进行整平，推平地面高低不平的区域，将凹凸不平的地表进行机械平整，局部机械无法进入的边角采用人工推平。</w:t>
            </w:r>
          </w:p>
          <w:p w14:paraId="0F76A93A">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val="en-US" w:eastAsia="zh-CN" w:bidi="ar"/>
              </w:rPr>
            </w:pPr>
            <w:r>
              <w:rPr>
                <w:rFonts w:hint="eastAsia" w:ascii="仿宋_GB2312" w:hAnsi="仿宋_GB2312" w:eastAsia="仿宋_GB2312" w:cs="仿宋_GB2312"/>
                <w:color w:val="auto"/>
                <w:sz w:val="24"/>
                <w:szCs w:val="24"/>
                <w:lang w:val="en-US" w:eastAsia="zh-CN" w:bidi="ar"/>
              </w:rPr>
              <w:t>②</w:t>
            </w:r>
            <w:r>
              <w:rPr>
                <w:rFonts w:hint="eastAsia" w:ascii="Times New Roman" w:hAnsi="Times New Roman" w:cs="Times New Roman"/>
                <w:color w:val="auto"/>
                <w:sz w:val="24"/>
                <w:szCs w:val="24"/>
                <w:lang w:val="en-US" w:eastAsia="zh-CN" w:bidi="ar"/>
              </w:rPr>
              <w:t>土地松土</w:t>
            </w:r>
            <w:r>
              <w:rPr>
                <w:rFonts w:hint="eastAsia" w:cs="Times New Roman"/>
                <w:color w:val="auto"/>
                <w:sz w:val="24"/>
                <w:szCs w:val="24"/>
                <w:lang w:val="en-US" w:eastAsia="zh-CN" w:bidi="ar"/>
              </w:rPr>
              <w:t>：</w:t>
            </w:r>
            <w:r>
              <w:rPr>
                <w:rFonts w:hint="eastAsia" w:ascii="Times New Roman" w:hAnsi="Times New Roman" w:cs="Times New Roman"/>
                <w:color w:val="auto"/>
                <w:sz w:val="24"/>
                <w:szCs w:val="24"/>
                <w:lang w:val="en-US" w:eastAsia="zh-CN" w:bidi="ar"/>
              </w:rPr>
              <w:t xml:space="preserve">为保证植被正常生长对于土壤物理性质的要求，需对压实度较高的区域设计松土措施。针对项目区需要恢复植被的草原，对压实度较高的区域设计松土措施，利用松土机松土，打破紧实层，有利于土壤保墒增墒。 </w:t>
            </w:r>
          </w:p>
          <w:p w14:paraId="09A122D9">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val="en-US" w:eastAsia="zh-CN" w:bidi="ar"/>
              </w:rPr>
            </w:pPr>
            <w:r>
              <w:rPr>
                <w:rFonts w:hint="eastAsia" w:ascii="仿宋_GB2312" w:hAnsi="仿宋_GB2312" w:eastAsia="仿宋_GB2312" w:cs="仿宋_GB2312"/>
                <w:color w:val="auto"/>
                <w:sz w:val="24"/>
                <w:szCs w:val="24"/>
                <w:lang w:val="en-US" w:eastAsia="zh-CN" w:bidi="ar"/>
              </w:rPr>
              <w:t>③</w:t>
            </w:r>
            <w:r>
              <w:rPr>
                <w:rFonts w:hint="eastAsia" w:ascii="Times New Roman" w:hAnsi="Times New Roman" w:cs="Times New Roman"/>
                <w:color w:val="auto"/>
                <w:sz w:val="24"/>
                <w:szCs w:val="24"/>
                <w:lang w:val="en-US" w:eastAsia="zh-CN" w:bidi="ar"/>
              </w:rPr>
              <w:t>土壤培肥</w:t>
            </w:r>
            <w:r>
              <w:rPr>
                <w:rFonts w:hint="eastAsia" w:cs="Times New Roman"/>
                <w:color w:val="auto"/>
                <w:sz w:val="24"/>
                <w:szCs w:val="24"/>
                <w:lang w:val="en-US" w:eastAsia="zh-CN" w:bidi="ar"/>
              </w:rPr>
              <w:t>：</w:t>
            </w:r>
            <w:r>
              <w:rPr>
                <w:rFonts w:hint="eastAsia" w:ascii="Times New Roman" w:hAnsi="Times New Roman" w:cs="Times New Roman"/>
                <w:color w:val="auto"/>
                <w:sz w:val="24"/>
                <w:szCs w:val="24"/>
                <w:lang w:val="en-US" w:eastAsia="zh-CN" w:bidi="ar"/>
              </w:rPr>
              <w:t>针对需要恢复植被的草原，由于在使用过程中地表已被表土剥离、覆土回填、压实等破坏，原有土壤结构遭到破坏，造成了土地肥力降低。为提高重构土壤的肥力，本方案针对恢复区采取培肥措施，施用有机－无机复混肥以保证植被恢复土地的质量。根据土地复垦质量要求，设计植被恢复草原的施用量为</w:t>
            </w:r>
            <w:r>
              <w:rPr>
                <w:rFonts w:hint="default" w:ascii="Times New Roman" w:hAnsi="Times New Roman" w:cs="Times New Roman"/>
                <w:color w:val="auto"/>
                <w:sz w:val="24"/>
                <w:szCs w:val="24"/>
                <w:lang w:val="en-US" w:eastAsia="zh-CN" w:bidi="ar"/>
              </w:rPr>
              <w:t>30kg/</w:t>
            </w:r>
            <w:r>
              <w:rPr>
                <w:rFonts w:hint="eastAsia" w:ascii="Times New Roman" w:hAnsi="Times New Roman" w:cs="Times New Roman"/>
                <w:color w:val="auto"/>
                <w:sz w:val="24"/>
                <w:szCs w:val="24"/>
                <w:lang w:val="en-US" w:eastAsia="zh-CN" w:bidi="ar"/>
              </w:rPr>
              <w:t xml:space="preserve">亩。 </w:t>
            </w:r>
          </w:p>
          <w:p w14:paraId="6ABCF973">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val="en-US" w:eastAsia="zh-CN" w:bidi="ar"/>
              </w:rPr>
            </w:pPr>
            <w:r>
              <w:rPr>
                <w:rFonts w:hint="eastAsia" w:ascii="仿宋_GB2312" w:hAnsi="仿宋_GB2312" w:eastAsia="仿宋_GB2312" w:cs="仿宋_GB2312"/>
                <w:color w:val="auto"/>
                <w:sz w:val="24"/>
                <w:szCs w:val="24"/>
                <w:lang w:val="en-US" w:eastAsia="zh-CN" w:bidi="ar"/>
              </w:rPr>
              <w:t>④</w:t>
            </w:r>
            <w:r>
              <w:rPr>
                <w:rFonts w:hint="eastAsia" w:ascii="Times New Roman" w:hAnsi="Times New Roman" w:cs="Times New Roman"/>
                <w:color w:val="auto"/>
                <w:sz w:val="24"/>
                <w:szCs w:val="24"/>
                <w:lang w:val="en-US" w:eastAsia="zh-CN" w:bidi="ar"/>
              </w:rPr>
              <w:t>植被重建</w:t>
            </w:r>
            <w:r>
              <w:rPr>
                <w:rFonts w:hint="eastAsia" w:cs="Times New Roman"/>
                <w:color w:val="auto"/>
                <w:sz w:val="24"/>
                <w:szCs w:val="24"/>
                <w:lang w:val="en-US" w:eastAsia="zh-CN" w:bidi="ar"/>
              </w:rPr>
              <w:t>：</w:t>
            </w:r>
            <w:r>
              <w:rPr>
                <w:rFonts w:hint="eastAsia" w:ascii="Times New Roman" w:hAnsi="Times New Roman" w:cs="Times New Roman"/>
                <w:color w:val="auto"/>
                <w:sz w:val="24"/>
                <w:szCs w:val="24"/>
                <w:lang w:val="en-US" w:eastAsia="zh-CN" w:bidi="ar"/>
              </w:rPr>
              <w:t>考虑到地形和面积因素，该区域主要采用人工播种，在播种过程中，为了加快草种入土过程，提高草种萌发率和竞争力，选择草原植物生长发芽最弱的时期进行播种，这样可以减少原有植物对幼苗的抑制作用。</w:t>
            </w:r>
          </w:p>
          <w:p w14:paraId="0025B215">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val="en-US" w:eastAsia="zh-CN" w:bidi="ar"/>
              </w:rPr>
            </w:pPr>
          </w:p>
          <w:p w14:paraId="3EA6871D">
            <w:pPr>
              <w:pStyle w:val="15"/>
              <w:keepNext w:val="0"/>
              <w:keepLines w:val="0"/>
              <w:suppressLineNumbers w:val="0"/>
              <w:spacing w:before="0" w:beforeAutospacing="0" w:after="0" w:afterAutospacing="0"/>
              <w:ind w:left="0" w:right="0" w:firstLine="420"/>
              <w:rPr>
                <w:rFonts w:hint="default" w:ascii="Times New Roman" w:hAnsi="Times New Roman" w:cs="Times New Roman"/>
                <w:color w:val="auto"/>
                <w:sz w:val="24"/>
                <w:szCs w:val="24"/>
                <w:lang w:val="en-US" w:eastAsia="zh-CN" w:bidi="ar"/>
              </w:rPr>
            </w:pPr>
            <w:r>
              <w:rPr>
                <w:rFonts w:hint="eastAsia" w:ascii="Times New Roman" w:hAnsi="Times New Roman" w:cs="Times New Roman"/>
                <w:color w:val="auto"/>
                <w:sz w:val="24"/>
                <w:szCs w:val="24"/>
                <w:lang w:val="en-US" w:eastAsia="zh-CN" w:bidi="ar"/>
              </w:rPr>
              <w:t>4）管护方案</w:t>
            </w:r>
          </w:p>
          <w:p w14:paraId="5779FA81">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val="en-US" w:eastAsia="zh-CN" w:bidi="ar"/>
              </w:rPr>
            </w:pPr>
            <w:r>
              <w:rPr>
                <w:rFonts w:hint="default" w:ascii="Times New Roman" w:hAnsi="Times New Roman" w:cs="Times New Roman"/>
                <w:color w:val="auto"/>
                <w:sz w:val="24"/>
                <w:szCs w:val="24"/>
                <w:lang w:val="en-US" w:eastAsia="zh-CN" w:bidi="ar"/>
              </w:rPr>
              <w:t>对于</w:t>
            </w:r>
            <w:r>
              <w:rPr>
                <w:rFonts w:hint="eastAsia" w:ascii="Times New Roman" w:hAnsi="Times New Roman" w:cs="Times New Roman"/>
                <w:color w:val="auto"/>
                <w:sz w:val="24"/>
                <w:szCs w:val="24"/>
                <w:lang w:val="en-US" w:eastAsia="zh-CN" w:bidi="ar"/>
              </w:rPr>
              <w:t>临时占地上恢复的</w:t>
            </w:r>
            <w:r>
              <w:rPr>
                <w:rFonts w:hint="default" w:ascii="Times New Roman" w:hAnsi="Times New Roman" w:cs="Times New Roman"/>
                <w:color w:val="auto"/>
                <w:sz w:val="24"/>
                <w:szCs w:val="24"/>
                <w:lang w:val="en-US" w:eastAsia="zh-CN" w:bidi="ar"/>
              </w:rPr>
              <w:t>植被，加强后期的管理</w:t>
            </w:r>
            <w:r>
              <w:rPr>
                <w:rFonts w:hint="eastAsia" w:ascii="Times New Roman" w:hAnsi="Times New Roman" w:cs="Times New Roman"/>
                <w:color w:val="auto"/>
                <w:sz w:val="24"/>
                <w:szCs w:val="24"/>
                <w:lang w:val="en-US" w:eastAsia="zh-CN" w:bidi="ar"/>
              </w:rPr>
              <w:t>，</w:t>
            </w:r>
            <w:r>
              <w:rPr>
                <w:rFonts w:hint="default" w:ascii="Times New Roman" w:hAnsi="Times New Roman" w:cs="Times New Roman"/>
                <w:color w:val="auto"/>
                <w:sz w:val="24"/>
                <w:szCs w:val="24"/>
                <w:lang w:val="en-US" w:eastAsia="zh-CN" w:bidi="ar"/>
              </w:rPr>
              <w:t>安排合适人员和经费，在</w:t>
            </w:r>
            <w:r>
              <w:rPr>
                <w:rFonts w:hint="eastAsia" w:ascii="Times New Roman" w:hAnsi="Times New Roman" w:cs="Times New Roman"/>
                <w:color w:val="auto"/>
                <w:sz w:val="24"/>
                <w:szCs w:val="24"/>
                <w:lang w:val="en-US" w:eastAsia="zh-CN" w:bidi="ar"/>
              </w:rPr>
              <w:t>恢复后进行</w:t>
            </w:r>
            <w:r>
              <w:rPr>
                <w:rFonts w:hint="default" w:ascii="Times New Roman" w:hAnsi="Times New Roman" w:cs="Times New Roman"/>
                <w:color w:val="auto"/>
                <w:sz w:val="24"/>
                <w:szCs w:val="24"/>
                <w:lang w:val="en-US" w:eastAsia="zh-CN" w:bidi="ar"/>
              </w:rPr>
              <w:t>抚育，包括浇水、施肥、补植、补种、病虫害防治等工作</w:t>
            </w:r>
            <w:r>
              <w:rPr>
                <w:rFonts w:hint="eastAsia" w:ascii="Times New Roman" w:hAnsi="Times New Roman" w:cs="Times New Roman"/>
                <w:color w:val="auto"/>
                <w:sz w:val="24"/>
                <w:szCs w:val="24"/>
                <w:lang w:val="en-US" w:eastAsia="zh-CN" w:bidi="ar"/>
              </w:rPr>
              <w:t>，以确保恢复效果</w:t>
            </w:r>
            <w:r>
              <w:rPr>
                <w:rFonts w:hint="default" w:ascii="Times New Roman" w:hAnsi="Times New Roman" w:cs="Times New Roman"/>
                <w:color w:val="auto"/>
                <w:sz w:val="24"/>
                <w:szCs w:val="24"/>
                <w:lang w:val="en-US" w:eastAsia="zh-CN" w:bidi="ar"/>
              </w:rPr>
              <w:t>。</w:t>
            </w:r>
          </w:p>
          <w:p w14:paraId="2D8D75B7">
            <w:pPr>
              <w:pStyle w:val="15"/>
              <w:keepNext w:val="0"/>
              <w:keepLines w:val="0"/>
              <w:suppressLineNumbers w:val="0"/>
              <w:spacing w:before="0" w:beforeAutospacing="0" w:after="0" w:afterAutospacing="0"/>
              <w:ind w:left="0" w:right="0" w:firstLine="420"/>
              <w:rPr>
                <w:rFonts w:hint="default" w:ascii="Times New Roman" w:hAnsi="Times New Roman" w:cs="Times New Roman"/>
                <w:color w:val="auto"/>
                <w:sz w:val="24"/>
                <w:szCs w:val="24"/>
                <w:lang w:val="en-US" w:eastAsia="zh-CN" w:bidi="ar"/>
              </w:rPr>
            </w:pPr>
            <w:r>
              <w:rPr>
                <w:rFonts w:hint="eastAsia" w:cs="Times New Roman"/>
                <w:color w:val="auto"/>
                <w:sz w:val="24"/>
                <w:szCs w:val="24"/>
                <w:lang w:val="en-US" w:eastAsia="zh-CN" w:bidi="ar"/>
              </w:rPr>
              <w:t>5</w:t>
            </w:r>
            <w:r>
              <w:rPr>
                <w:rFonts w:hint="eastAsia" w:ascii="Times New Roman" w:hAnsi="Times New Roman" w:cs="Times New Roman"/>
                <w:color w:val="auto"/>
                <w:sz w:val="24"/>
                <w:szCs w:val="24"/>
                <w:lang w:val="en-US" w:eastAsia="zh-CN" w:bidi="ar"/>
              </w:rPr>
              <w:t>）</w:t>
            </w:r>
            <w:r>
              <w:rPr>
                <w:rFonts w:hint="eastAsia" w:cs="Times New Roman"/>
                <w:color w:val="auto"/>
                <w:sz w:val="24"/>
                <w:szCs w:val="24"/>
                <w:lang w:val="en-US" w:eastAsia="zh-CN" w:bidi="ar"/>
              </w:rPr>
              <w:t>植被恢复效果</w:t>
            </w:r>
          </w:p>
          <w:p w14:paraId="1B49E61E">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val="en-US" w:eastAsia="zh-CN" w:bidi="ar"/>
              </w:rPr>
            </w:pPr>
            <w:r>
              <w:rPr>
                <w:rFonts w:hint="eastAsia" w:ascii="Times New Roman" w:hAnsi="Times New Roman" w:cs="Times New Roman"/>
                <w:color w:val="auto"/>
                <w:sz w:val="24"/>
                <w:szCs w:val="24"/>
                <w:lang w:val="en-US" w:eastAsia="zh-CN" w:bidi="ar"/>
              </w:rPr>
              <w:t>挖损、压占是对项目区土壤造成的直接损毁，修复措施需恢复项目区土壤结构，土壤黏粒含量和土壤细粒含量必须不低于未破坏前的原生土壤的含量；</w:t>
            </w:r>
            <w:r>
              <w:rPr>
                <w:rFonts w:hint="default" w:ascii="Times New Roman" w:hAnsi="Times New Roman" w:cs="Times New Roman"/>
                <w:color w:val="auto"/>
                <w:sz w:val="24"/>
                <w:szCs w:val="24"/>
                <w:lang w:val="en-US" w:eastAsia="zh-CN" w:bidi="ar"/>
              </w:rPr>
              <w:t xml:space="preserve">0-10cm </w:t>
            </w:r>
            <w:r>
              <w:rPr>
                <w:rFonts w:hint="eastAsia" w:ascii="Times New Roman" w:hAnsi="Times New Roman" w:cs="Times New Roman"/>
                <w:color w:val="auto"/>
                <w:sz w:val="24"/>
                <w:szCs w:val="24"/>
                <w:lang w:val="en-US" w:eastAsia="zh-CN" w:bidi="ar"/>
              </w:rPr>
              <w:t>层土壤容重应小于等于未破坏前的容重；碾压后的覆土通常碱性大，修复后土壤</w:t>
            </w:r>
            <w:r>
              <w:rPr>
                <w:rFonts w:hint="default" w:ascii="Times New Roman" w:hAnsi="Times New Roman" w:cs="Times New Roman"/>
                <w:color w:val="auto"/>
                <w:sz w:val="24"/>
                <w:szCs w:val="24"/>
                <w:lang w:val="en-US" w:eastAsia="zh-CN" w:bidi="ar"/>
              </w:rPr>
              <w:t>pH</w:t>
            </w:r>
            <w:r>
              <w:rPr>
                <w:rFonts w:hint="eastAsia" w:ascii="Times New Roman" w:hAnsi="Times New Roman" w:cs="Times New Roman"/>
                <w:color w:val="auto"/>
                <w:sz w:val="24"/>
                <w:szCs w:val="24"/>
                <w:lang w:val="en-US" w:eastAsia="zh-CN" w:bidi="ar"/>
              </w:rPr>
              <w:t xml:space="preserve">值应降至破坏前或略高于健康的原生土壤。 </w:t>
            </w:r>
          </w:p>
          <w:p w14:paraId="6C4AA1D2">
            <w:pPr>
              <w:pStyle w:val="15"/>
              <w:keepNext w:val="0"/>
              <w:keepLines w:val="0"/>
              <w:suppressLineNumbers w:val="0"/>
              <w:spacing w:before="0" w:beforeAutospacing="0" w:after="0" w:afterAutospacing="0"/>
              <w:ind w:left="0" w:right="0" w:firstLine="420"/>
              <w:rPr>
                <w:rFonts w:hint="eastAsia" w:ascii="Times New Roman" w:hAnsi="Times New Roman" w:cs="Times New Roman"/>
                <w:color w:val="auto"/>
                <w:sz w:val="24"/>
                <w:szCs w:val="24"/>
                <w:lang w:val="en-US" w:eastAsia="zh-CN" w:bidi="ar"/>
              </w:rPr>
            </w:pPr>
            <w:r>
              <w:rPr>
                <w:rFonts w:hint="eastAsia" w:ascii="Times New Roman" w:hAnsi="Times New Roman" w:cs="Times New Roman"/>
                <w:color w:val="auto"/>
                <w:sz w:val="24"/>
                <w:szCs w:val="24"/>
                <w:lang w:val="en-US" w:eastAsia="zh-CN" w:bidi="ar"/>
              </w:rPr>
              <w:t>植被的恢复主要体现在植被群落总盖度、植被平均高度、植被多样性、群落结构变化等方面。从各植被种的个体形成较为稳定的种群，再从各种群形成结构相对复杂的群落，都需要一定的发展时间和空间。根据所选修复植物的特点，通常</w:t>
            </w:r>
            <w:r>
              <w:rPr>
                <w:rFonts w:hint="default" w:ascii="Times New Roman" w:hAnsi="Times New Roman" w:cs="Times New Roman"/>
                <w:color w:val="auto"/>
                <w:sz w:val="24"/>
                <w:szCs w:val="24"/>
                <w:lang w:val="en-US" w:eastAsia="zh-CN" w:bidi="ar"/>
              </w:rPr>
              <w:t>1</w:t>
            </w:r>
            <w:r>
              <w:rPr>
                <w:rFonts w:hint="eastAsia" w:ascii="Times New Roman" w:hAnsi="Times New Roman" w:cs="Times New Roman"/>
                <w:color w:val="auto"/>
                <w:sz w:val="24"/>
                <w:szCs w:val="24"/>
                <w:lang w:val="en-US" w:eastAsia="zh-CN" w:bidi="ar"/>
              </w:rPr>
              <w:t>年可以基本形成贴地表植被层，群落总盖度不低于</w:t>
            </w:r>
            <w:r>
              <w:rPr>
                <w:rFonts w:hint="default" w:ascii="Times New Roman" w:hAnsi="Times New Roman" w:cs="Times New Roman"/>
                <w:color w:val="auto"/>
                <w:sz w:val="24"/>
                <w:szCs w:val="24"/>
                <w:lang w:val="en-US" w:eastAsia="zh-CN" w:bidi="ar"/>
              </w:rPr>
              <w:t>40%</w:t>
            </w:r>
            <w:r>
              <w:rPr>
                <w:rFonts w:hint="eastAsia" w:ascii="Times New Roman" w:hAnsi="Times New Roman" w:cs="Times New Roman"/>
                <w:color w:val="auto"/>
                <w:sz w:val="24"/>
                <w:szCs w:val="24"/>
                <w:lang w:val="en-US" w:eastAsia="zh-CN" w:bidi="ar"/>
              </w:rPr>
              <w:t>，植被平均高度不低于</w:t>
            </w:r>
            <w:r>
              <w:rPr>
                <w:rFonts w:hint="default" w:ascii="Times New Roman" w:hAnsi="Times New Roman" w:cs="Times New Roman"/>
                <w:color w:val="auto"/>
                <w:sz w:val="24"/>
                <w:szCs w:val="24"/>
                <w:lang w:val="en-US" w:eastAsia="zh-CN" w:bidi="ar"/>
              </w:rPr>
              <w:t>10cm</w:t>
            </w:r>
            <w:r>
              <w:rPr>
                <w:rFonts w:hint="eastAsia" w:ascii="Times New Roman" w:hAnsi="Times New Roman" w:cs="Times New Roman"/>
                <w:color w:val="auto"/>
                <w:sz w:val="24"/>
                <w:szCs w:val="24"/>
                <w:lang w:val="en-US" w:eastAsia="zh-CN" w:bidi="ar"/>
              </w:rPr>
              <w:t>，撒播、条播草种成活率不低于</w:t>
            </w:r>
            <w:r>
              <w:rPr>
                <w:rFonts w:hint="default" w:ascii="Times New Roman" w:hAnsi="Times New Roman" w:cs="Times New Roman"/>
                <w:color w:val="auto"/>
                <w:sz w:val="24"/>
                <w:szCs w:val="24"/>
                <w:lang w:val="en-US" w:eastAsia="zh-CN" w:bidi="ar"/>
              </w:rPr>
              <w:t>70%</w:t>
            </w:r>
            <w:r>
              <w:rPr>
                <w:rFonts w:hint="eastAsia" w:ascii="Times New Roman" w:hAnsi="Times New Roman" w:cs="Times New Roman"/>
                <w:color w:val="auto"/>
                <w:sz w:val="24"/>
                <w:szCs w:val="24"/>
                <w:lang w:val="en-US" w:eastAsia="zh-CN" w:bidi="ar"/>
              </w:rPr>
              <w:t>，且各种植物种群可明显辨识；</w:t>
            </w:r>
            <w:r>
              <w:rPr>
                <w:rFonts w:hint="default" w:ascii="Times New Roman" w:hAnsi="Times New Roman" w:cs="Times New Roman"/>
                <w:color w:val="auto"/>
                <w:sz w:val="24"/>
                <w:szCs w:val="24"/>
                <w:lang w:val="en-US" w:eastAsia="zh-CN" w:bidi="ar"/>
              </w:rPr>
              <w:t>2</w:t>
            </w:r>
            <w:r>
              <w:rPr>
                <w:rFonts w:hint="eastAsia" w:ascii="Times New Roman" w:hAnsi="Times New Roman" w:cs="Times New Roman"/>
                <w:color w:val="auto"/>
                <w:sz w:val="24"/>
                <w:szCs w:val="24"/>
                <w:lang w:val="en-US" w:eastAsia="zh-CN" w:bidi="ar"/>
              </w:rPr>
              <w:t>年的恢复可形成较明显的草层和灌层结构，植被平均高度不低于</w:t>
            </w:r>
            <w:r>
              <w:rPr>
                <w:rFonts w:hint="default" w:ascii="Times New Roman" w:hAnsi="Times New Roman" w:cs="Times New Roman"/>
                <w:color w:val="auto"/>
                <w:sz w:val="24"/>
                <w:szCs w:val="24"/>
                <w:lang w:val="en-US" w:eastAsia="zh-CN" w:bidi="ar"/>
              </w:rPr>
              <w:t>20cm</w:t>
            </w:r>
            <w:r>
              <w:rPr>
                <w:rFonts w:hint="eastAsia" w:ascii="Times New Roman" w:hAnsi="Times New Roman" w:cs="Times New Roman"/>
                <w:color w:val="auto"/>
                <w:sz w:val="24"/>
                <w:szCs w:val="24"/>
                <w:lang w:val="en-US" w:eastAsia="zh-CN" w:bidi="ar"/>
              </w:rPr>
              <w:t xml:space="preserve">，地上生物量较前一年提高，植物多样性增加，一年生伴生植物明显增多。 </w:t>
            </w:r>
          </w:p>
          <w:p w14:paraId="6D00BC45">
            <w:pPr>
              <w:pStyle w:val="15"/>
              <w:keepNext w:val="0"/>
              <w:keepLines w:val="0"/>
              <w:suppressLineNumbers w:val="0"/>
              <w:spacing w:before="0" w:beforeAutospacing="0" w:after="0" w:afterAutospacing="0"/>
              <w:ind w:left="0" w:right="0" w:firstLine="420"/>
              <w:rPr>
                <w:rFonts w:hint="default"/>
              </w:rPr>
            </w:pPr>
            <w:r>
              <w:rPr>
                <w:rFonts w:hint="eastAsia" w:ascii="Times New Roman" w:hAnsi="Times New Roman" w:cs="Times New Roman"/>
                <w:color w:val="auto"/>
                <w:sz w:val="24"/>
                <w:szCs w:val="24"/>
                <w:lang w:val="en-US" w:eastAsia="zh-CN" w:bidi="ar"/>
              </w:rPr>
              <w:t>景观恢复效果要与当地自然景观相协调，经过一段时间的自然演替，恢复景观生态的有机更新和再生，使矿区和矿区生态系统持续协调发展。具体要求地被植物与原始自然环境相协调，灭火工程造成的剥离面、回填面、堆土面最终要与未破坏的原始地形一致或协调。</w:t>
            </w:r>
          </w:p>
          <w:p w14:paraId="6F1D996A">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r>
              <w:rPr>
                <w:rFonts w:hint="eastAsia" w:cs="Times New Roman"/>
                <w:b/>
                <w:bCs/>
                <w:color w:val="auto"/>
                <w:sz w:val="24"/>
                <w:szCs w:val="24"/>
                <w:lang w:val="en-US" w:eastAsia="zh-CN"/>
              </w:rPr>
              <w:t>2、施工期</w:t>
            </w:r>
            <w:r>
              <w:rPr>
                <w:rFonts w:hint="eastAsia" w:ascii="Times New Roman" w:hAnsi="Times New Roman" w:cs="Times New Roman"/>
                <w:b/>
                <w:bCs/>
                <w:color w:val="auto"/>
                <w:sz w:val="24"/>
                <w:szCs w:val="24"/>
              </w:rPr>
              <w:t>大气环境保护措施</w:t>
            </w:r>
          </w:p>
          <w:p w14:paraId="53271F27">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 xml:space="preserve">）取土场取土扬尘 </w:t>
            </w:r>
          </w:p>
          <w:p w14:paraId="38ED674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取土场取黄土过程中产生扬尘需采取定期洒水降尘措施，以减少扬尘影响；取土后裸露地面应采取防尘网、防尘布等材料进行覆盖，为防止风蚀、水蚀等现象发生；待灭火工程结束后，取土场实施土地整治过程产生的扬尘采取洒水降尘措施，最后撒播草籽恢复原有地貌。</w:t>
            </w:r>
          </w:p>
          <w:p w14:paraId="500881A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p>
          <w:p w14:paraId="03E7A6E0">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p>
          <w:p w14:paraId="5D9F3B6B">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 xml:space="preserve">）装卸、运输车辆粉尘 </w:t>
            </w:r>
          </w:p>
          <w:p w14:paraId="176DA26F">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黄土在装卸过程中由于落差及撞击会产生扬尘，降低区域内的粉尘浓度；在施工场地出入口设置清洗车轮的设施，减少出入工地扬尘的车辆产生的扬尘；运输车辆需加盖篷布，减少运输过程中对大气的污染，同时配备洒水车，运输通道及时清扫、冲洗，减少车辆行驶扬尘。</w:t>
            </w:r>
          </w:p>
          <w:p w14:paraId="6EF91D58">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lang w:val="en-US" w:eastAsia="zh-CN"/>
              </w:rPr>
              <w:t xml:space="preserve">）爆破作业扬尘 </w:t>
            </w:r>
          </w:p>
          <w:p w14:paraId="49F70AE8">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爆破作业过程中会产生扬尘，应合理布置炮孔，正确选择爆破参数和加强装药、冲填等作业的管理，可以抑制粉尘的产生；利用洒水车对爆破工作面实施洒水作业，抑制起尘减轻环境空气污染。</w:t>
            </w:r>
          </w:p>
          <w:p w14:paraId="4F2FE7A4">
            <w:pPr>
              <w:keepNext w:val="0"/>
              <w:keepLines w:val="0"/>
              <w:suppressLineNumbers w:val="0"/>
              <w:spacing w:before="0" w:beforeAutospacing="0" w:after="0" w:afterAutospacing="0" w:line="360" w:lineRule="auto"/>
              <w:ind w:left="0" w:right="0" w:firstLine="480"/>
              <w:rPr>
                <w:rFonts w:hint="eastAsia" w:ascii="Times New Roman" w:hAnsi="Times New Roman"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4</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注</w:t>
            </w:r>
            <w:r>
              <w:rPr>
                <w:rFonts w:hint="eastAsia" w:ascii="Times New Roman" w:hAnsi="Times New Roman" w:eastAsia="宋体" w:cs="Times New Roman"/>
                <w:color w:val="auto"/>
                <w:sz w:val="24"/>
                <w:szCs w:val="24"/>
                <w:lang w:val="en-US" w:eastAsia="zh-CN"/>
              </w:rPr>
              <w:t>浆站配料粉尘</w:t>
            </w:r>
          </w:p>
          <w:p w14:paraId="4D337C02">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注</w:t>
            </w:r>
            <w:r>
              <w:rPr>
                <w:rFonts w:hint="eastAsia" w:ascii="Times New Roman" w:hAnsi="Times New Roman" w:eastAsia="宋体" w:cs="Times New Roman"/>
                <w:color w:val="auto"/>
                <w:sz w:val="24"/>
                <w:szCs w:val="24"/>
                <w:lang w:val="en-US" w:eastAsia="zh-CN"/>
              </w:rPr>
              <w:t>浆站上料、制浆机混合搅拌过程产生粉尘，</w:t>
            </w:r>
            <w:r>
              <w:rPr>
                <w:rFonts w:hint="eastAsia" w:cs="Times New Roman"/>
                <w:color w:val="auto"/>
                <w:sz w:val="24"/>
                <w:szCs w:val="24"/>
                <w:lang w:val="en-US" w:eastAsia="zh-CN"/>
              </w:rPr>
              <w:t>通过在</w:t>
            </w:r>
            <w:r>
              <w:rPr>
                <w:rFonts w:hint="eastAsia" w:ascii="Times New Roman" w:hAnsi="Times New Roman" w:eastAsia="宋体" w:cs="Times New Roman"/>
                <w:color w:val="auto"/>
                <w:sz w:val="24"/>
                <w:szCs w:val="24"/>
                <w:lang w:val="en-US" w:eastAsia="zh-CN"/>
              </w:rPr>
              <w:t>注浆站上料区域四周设置围挡，上料过程密闭或采用湿法作业</w:t>
            </w:r>
            <w:r>
              <w:rPr>
                <w:rFonts w:hint="eastAsia" w:cs="Times New Roman"/>
                <w:color w:val="auto"/>
                <w:sz w:val="24"/>
                <w:szCs w:val="24"/>
                <w:lang w:val="en-US" w:eastAsia="zh-CN"/>
              </w:rPr>
              <w:t>降低扬尘对周边环境影响。</w:t>
            </w: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HYPERLINK "https://www.cj.gov.cn/p122/xzxk/20240930/287586.html" \t "https://chat.deepseek.com/a/chat/s/_blank"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fldChar w:fldCharType="end"/>
            </w:r>
          </w:p>
          <w:p w14:paraId="3FBB089B">
            <w:pPr>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auto"/>
                <w:sz w:val="24"/>
                <w:szCs w:val="24"/>
                <w:lang w:val="en-US"/>
              </w:rPr>
            </w:pPr>
            <w:r>
              <w:rPr>
                <w:rFonts w:hint="eastAsia" w:ascii="Times New Roman" w:hAnsi="Times New Roman" w:cs="Times New Roman"/>
                <w:color w:val="auto"/>
                <w:sz w:val="24"/>
                <w:szCs w:val="24"/>
                <w:lang w:val="en-US" w:eastAsia="zh-CN"/>
              </w:rPr>
              <w:t>（</w:t>
            </w:r>
            <w:r>
              <w:rPr>
                <w:rFonts w:hint="eastAsia" w:cs="Times New Roman"/>
                <w:color w:val="auto"/>
                <w:sz w:val="24"/>
                <w:szCs w:val="24"/>
                <w:lang w:val="en-US" w:eastAsia="zh-CN"/>
              </w:rPr>
              <w:t>5</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机械</w:t>
            </w:r>
            <w:r>
              <w:rPr>
                <w:rFonts w:hint="eastAsia" w:cs="Times New Roman"/>
                <w:color w:val="auto"/>
                <w:sz w:val="24"/>
                <w:szCs w:val="24"/>
                <w:lang w:eastAsia="zh-CN"/>
              </w:rPr>
              <w:t>、</w:t>
            </w:r>
            <w:r>
              <w:rPr>
                <w:rFonts w:hint="eastAsia" w:cs="Times New Roman"/>
                <w:color w:val="auto"/>
                <w:sz w:val="24"/>
                <w:szCs w:val="24"/>
                <w:lang w:val="en-US" w:eastAsia="zh-CN"/>
              </w:rPr>
              <w:t>运输车辆尾气防治措施</w:t>
            </w:r>
          </w:p>
          <w:p w14:paraId="6F22D3B7">
            <w:pPr>
              <w:pStyle w:val="58"/>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施工过程中</w:t>
            </w:r>
            <w:r>
              <w:rPr>
                <w:rFonts w:hint="default" w:ascii="Times New Roman" w:hAnsi="Times New Roman" w:cs="Times New Roman"/>
                <w:color w:val="auto"/>
                <w:sz w:val="24"/>
                <w:szCs w:val="24"/>
              </w:rPr>
              <w:t>施工机械</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运输车辆</w:t>
            </w:r>
            <w:r>
              <w:rPr>
                <w:rFonts w:hint="default" w:ascii="Times New Roman" w:hAnsi="Times New Roman" w:cs="Times New Roman"/>
                <w:color w:val="auto"/>
                <w:sz w:val="24"/>
                <w:szCs w:val="24"/>
              </w:rPr>
              <w:t>将有少量的燃烧烟气产生，主要污染物为</w:t>
            </w:r>
            <w:r>
              <w:rPr>
                <w:rFonts w:hint="default" w:ascii="Times New Roman" w:hAnsi="Times New Roman" w:eastAsia="宋体" w:cs="Times New Roman"/>
                <w:color w:val="auto"/>
                <w:sz w:val="24"/>
                <w:szCs w:val="24"/>
                <w:lang w:val="en-US" w:eastAsia="zh-CN"/>
              </w:rPr>
              <w:t>CO</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THC</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NO</w:t>
            </w:r>
            <w:r>
              <w:rPr>
                <w:rFonts w:hint="eastAsia" w:ascii="Times New Roman" w:hAnsi="Times New Roman" w:eastAsia="宋体" w:cs="Times New Roman"/>
                <w:color w:val="auto"/>
                <w:sz w:val="24"/>
                <w:szCs w:val="24"/>
                <w:lang w:val="en-US" w:eastAsia="zh-CN"/>
              </w:rPr>
              <w:t>x</w:t>
            </w:r>
            <w:r>
              <w:rPr>
                <w:rFonts w:hint="default" w:ascii="Times New Roman" w:hAnsi="Times New Roman" w:cs="Times New Roman"/>
                <w:color w:val="auto"/>
                <w:sz w:val="24"/>
                <w:szCs w:val="24"/>
              </w:rPr>
              <w:t>等。由于废气量较小，且施工现场均在野外，有利于空气的扩散，同时废气污染源具有间歇性和流动性，因此对局部地区的环境影响较轻。</w:t>
            </w:r>
            <w:r>
              <w:rPr>
                <w:rFonts w:hint="default" w:ascii="Times New Roman" w:hAnsi="Times New Roman" w:cs="Times New Roman"/>
                <w:color w:val="auto"/>
                <w:sz w:val="24"/>
                <w:szCs w:val="24"/>
                <w:lang w:bidi="ar"/>
              </w:rPr>
              <w:t>本次评价要求施工设备使用高效节能环保型设备，并加强施工机械保养提高效率降低柴油消耗量等来减少废气的污染。采取以上污染防治措施后，本项目对大气环境的影响较小。</w:t>
            </w:r>
          </w:p>
          <w:p w14:paraId="52B8EE4B">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r>
              <w:rPr>
                <w:rFonts w:hint="eastAsia" w:cs="Times New Roman"/>
                <w:b/>
                <w:bCs/>
                <w:color w:val="auto"/>
                <w:sz w:val="24"/>
                <w:szCs w:val="24"/>
                <w:lang w:val="en-US" w:eastAsia="zh-CN"/>
              </w:rPr>
              <w:t>3、施工期</w:t>
            </w:r>
            <w:r>
              <w:rPr>
                <w:rFonts w:hint="eastAsia" w:ascii="Times New Roman" w:hAnsi="Times New Roman" w:cs="Times New Roman"/>
                <w:b/>
                <w:bCs/>
                <w:color w:val="auto"/>
                <w:sz w:val="24"/>
                <w:szCs w:val="24"/>
              </w:rPr>
              <w:t>水环境保护措施</w:t>
            </w:r>
          </w:p>
          <w:p w14:paraId="70CDD828">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项目</w:t>
            </w:r>
            <w:r>
              <w:rPr>
                <w:rFonts w:hint="eastAsia" w:cs="Times New Roman"/>
                <w:color w:val="auto"/>
                <w:sz w:val="24"/>
                <w:szCs w:val="24"/>
                <w:lang w:val="en-US" w:eastAsia="zh-CN"/>
              </w:rPr>
              <w:t>施工</w:t>
            </w:r>
            <w:r>
              <w:rPr>
                <w:rFonts w:hint="eastAsia" w:ascii="Times New Roman" w:hAnsi="Times New Roman" w:cs="Times New Roman"/>
                <w:color w:val="auto"/>
                <w:sz w:val="24"/>
                <w:szCs w:val="24"/>
              </w:rPr>
              <w:t>产生的废水主要为</w:t>
            </w:r>
            <w:r>
              <w:rPr>
                <w:rFonts w:hint="eastAsia" w:cs="Times New Roman"/>
                <w:color w:val="auto"/>
                <w:sz w:val="24"/>
                <w:szCs w:val="24"/>
                <w:lang w:val="en-US" w:eastAsia="zh-CN"/>
              </w:rPr>
              <w:t>施工废水</w:t>
            </w:r>
            <w:r>
              <w:rPr>
                <w:rFonts w:hint="eastAsia" w:ascii="Times New Roman" w:hAnsi="Times New Roman" w:cs="Times New Roman"/>
                <w:color w:val="auto"/>
                <w:sz w:val="24"/>
                <w:szCs w:val="24"/>
              </w:rPr>
              <w:t>和</w:t>
            </w:r>
            <w:r>
              <w:rPr>
                <w:rFonts w:hint="eastAsia" w:cs="Times New Roman"/>
                <w:color w:val="auto"/>
                <w:sz w:val="24"/>
                <w:szCs w:val="24"/>
                <w:lang w:val="en-US" w:eastAsia="zh-CN"/>
              </w:rPr>
              <w:t>施工</w:t>
            </w:r>
            <w:r>
              <w:rPr>
                <w:rFonts w:hint="eastAsia" w:ascii="Times New Roman" w:hAnsi="Times New Roman" w:cs="Times New Roman"/>
                <w:color w:val="auto"/>
                <w:sz w:val="24"/>
                <w:szCs w:val="24"/>
              </w:rPr>
              <w:t>人员生活污水，针对本项目的工程特点，提出如下措施：</w:t>
            </w:r>
          </w:p>
          <w:p w14:paraId="433B650A">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①施工废水主要来自</w:t>
            </w:r>
            <w:r>
              <w:rPr>
                <w:rFonts w:hint="eastAsia" w:cs="Times New Roman"/>
                <w:color w:val="auto"/>
                <w:kern w:val="2"/>
                <w:sz w:val="24"/>
                <w:szCs w:val="24"/>
                <w:lang w:val="en-US" w:eastAsia="zh-CN" w:bidi="ar-SA"/>
              </w:rPr>
              <w:t>注浆站制浆设备清洗及注浆管道清洗产生的泥浆废水，</w:t>
            </w:r>
            <w:r>
              <w:rPr>
                <w:rFonts w:hint="eastAsia" w:ascii="Times New Roman" w:hAnsi="Times New Roman" w:cs="Times New Roman"/>
                <w:spacing w:val="-1"/>
                <w:sz w:val="24"/>
                <w:szCs w:val="24"/>
                <w:lang w:val="en-US" w:eastAsia="zh-CN"/>
              </w:rPr>
              <w:t>钻探设备清洗产生的清洗废水</w:t>
            </w: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成分</w:t>
            </w:r>
            <w:r>
              <w:rPr>
                <w:rFonts w:hint="eastAsia" w:ascii="Times New Roman" w:hAnsi="Times New Roman" w:eastAsia="宋体" w:cs="Times New Roman"/>
                <w:color w:val="auto"/>
                <w:kern w:val="2"/>
                <w:sz w:val="24"/>
                <w:szCs w:val="24"/>
                <w:lang w:val="en-US" w:eastAsia="zh-CN" w:bidi="ar-SA"/>
              </w:rPr>
              <w:t>相对比较简单，污染物浓度低，水量较少，且一般瞬时排放，废水进入施工沉淀池收集沉淀后用于施工场地洒水，不外排。</w:t>
            </w:r>
          </w:p>
          <w:p w14:paraId="08547591">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kern w:val="2"/>
                <w:sz w:val="24"/>
                <w:szCs w:val="24"/>
                <w:lang w:val="en-US" w:eastAsia="zh-CN" w:bidi="ar-SA"/>
              </w:rPr>
              <w:t>②</w:t>
            </w:r>
            <w:r>
              <w:rPr>
                <w:rFonts w:hint="eastAsia" w:ascii="Times New Roman" w:hAnsi="Times New Roman" w:eastAsia="宋体" w:cs="Times New Roman"/>
                <w:color w:val="auto"/>
                <w:sz w:val="24"/>
                <w:szCs w:val="24"/>
                <w:lang w:val="en-US" w:eastAsia="zh-CN"/>
              </w:rPr>
              <w:t>项目不设施工营地，</w:t>
            </w:r>
            <w:r>
              <w:rPr>
                <w:rFonts w:hint="eastAsia" w:ascii="Times New Roman" w:hAnsi="Times New Roman" w:eastAsia="宋体" w:cs="Times New Roman"/>
                <w:color w:val="auto"/>
                <w:spacing w:val="-1"/>
                <w:sz w:val="24"/>
                <w:szCs w:val="24"/>
                <w:lang w:val="en-US" w:eastAsia="zh-CN"/>
              </w:rPr>
              <w:t>依托</w:t>
            </w:r>
            <w:r>
              <w:rPr>
                <w:rFonts w:hint="default" w:ascii="Times New Roman" w:hAnsi="Times New Roman" w:eastAsia="宋体" w:cs="Times New Roman"/>
                <w:color w:val="auto"/>
                <w:spacing w:val="-1"/>
                <w:kern w:val="2"/>
                <w:sz w:val="24"/>
                <w:szCs w:val="24"/>
                <w:highlight w:val="none"/>
                <w:lang w:val="en-US" w:eastAsia="zh-CN" w:bidi="ar-SA"/>
              </w:rPr>
              <w:t>康龙煤矿</w:t>
            </w:r>
            <w:r>
              <w:rPr>
                <w:rFonts w:hint="eastAsia" w:cs="Times New Roman"/>
                <w:color w:val="auto"/>
                <w:spacing w:val="-1"/>
                <w:kern w:val="2"/>
                <w:sz w:val="24"/>
                <w:szCs w:val="24"/>
                <w:lang w:val="en-US" w:eastAsia="zh-CN" w:bidi="ar-SA"/>
              </w:rPr>
              <w:t>行政福利生活场地</w:t>
            </w:r>
            <w:r>
              <w:rPr>
                <w:rFonts w:hint="eastAsia" w:cs="Times New Roman"/>
                <w:color w:val="auto"/>
                <w:spacing w:val="-1"/>
                <w:sz w:val="24"/>
                <w:szCs w:val="24"/>
                <w:lang w:eastAsia="zh-CN"/>
              </w:rPr>
              <w:t>，</w:t>
            </w:r>
            <w:r>
              <w:rPr>
                <w:rFonts w:hint="eastAsia" w:ascii="Times New Roman" w:hAnsi="Times New Roman" w:eastAsia="宋体" w:cs="Times New Roman"/>
                <w:color w:val="auto"/>
                <w:sz w:val="24"/>
                <w:szCs w:val="24"/>
                <w:lang w:val="en-US" w:eastAsia="zh-CN"/>
              </w:rPr>
              <w:t>施工人员生活污水依托</w:t>
            </w:r>
            <w:r>
              <w:rPr>
                <w:rFonts w:hint="eastAsia" w:cs="Times New Roman"/>
                <w:color w:val="auto"/>
                <w:kern w:val="0"/>
                <w:sz w:val="24"/>
                <w:szCs w:val="24"/>
                <w:highlight w:val="none"/>
                <w:lang w:val="en-US" w:eastAsia="zh-CN"/>
              </w:rPr>
              <w:t>康龙煤矿</w:t>
            </w:r>
            <w:r>
              <w:rPr>
                <w:rFonts w:hint="eastAsia" w:cs="Times New Roman"/>
                <w:color w:val="auto"/>
                <w:spacing w:val="-1"/>
                <w:kern w:val="2"/>
                <w:sz w:val="24"/>
                <w:szCs w:val="24"/>
                <w:lang w:val="en-US" w:eastAsia="zh-CN" w:bidi="ar-SA"/>
              </w:rPr>
              <w:t>行政福利生活场地</w:t>
            </w:r>
            <w:r>
              <w:rPr>
                <w:rFonts w:hint="eastAsia" w:cs="Times New Roman"/>
                <w:color w:val="auto"/>
                <w:kern w:val="0"/>
                <w:sz w:val="24"/>
                <w:szCs w:val="24"/>
                <w:highlight w:val="none"/>
                <w:lang w:val="en-US" w:eastAsia="zh-CN"/>
              </w:rPr>
              <w:t>已建地埋式污水处理设备处理后用于绿化</w:t>
            </w:r>
            <w:r>
              <w:rPr>
                <w:rFonts w:hint="eastAsia" w:ascii="Times New Roman" w:hAnsi="Times New Roman" w:eastAsia="宋体" w:cs="Times New Roman"/>
                <w:color w:val="auto"/>
                <w:sz w:val="24"/>
                <w:szCs w:val="24"/>
                <w:lang w:val="en-US" w:eastAsia="zh-CN"/>
              </w:rPr>
              <w:t>。</w:t>
            </w:r>
          </w:p>
          <w:p w14:paraId="04C6DC35">
            <w:pPr>
              <w:keepNext w:val="0"/>
              <w:keepLines w:val="0"/>
              <w:suppressLineNumbers w:val="0"/>
              <w:adjustRightInd w:val="0"/>
              <w:snapToGrid w:val="0"/>
              <w:spacing w:before="0" w:beforeAutospacing="0" w:after="0" w:afterAutospacing="0" w:line="360" w:lineRule="auto"/>
              <w:ind w:left="0" w:right="0" w:firstLine="476" w:firstLineChars="200"/>
              <w:rPr>
                <w:rFonts w:hint="default" w:cs="Times New Roman"/>
                <w:color w:val="auto"/>
                <w:spacing w:val="-1"/>
                <w:sz w:val="24"/>
                <w:szCs w:val="24"/>
                <w:highlight w:val="none"/>
                <w:lang w:val="en-US" w:eastAsia="zh-CN"/>
              </w:rPr>
            </w:pPr>
            <w:r>
              <w:rPr>
                <w:rFonts w:hint="eastAsia" w:cs="Times New Roman"/>
                <w:color w:val="auto"/>
                <w:spacing w:val="-1"/>
                <w:sz w:val="24"/>
                <w:szCs w:val="24"/>
                <w:highlight w:val="none"/>
                <w:lang w:val="en-US" w:eastAsia="zh-CN"/>
              </w:rPr>
              <w:t>依托可行性分析：</w:t>
            </w:r>
          </w:p>
          <w:p w14:paraId="377593B2">
            <w:pPr>
              <w:keepNext w:val="0"/>
              <w:keepLines w:val="0"/>
              <w:suppressLineNumbers w:val="0"/>
              <w:adjustRightInd w:val="0"/>
              <w:snapToGrid w:val="0"/>
              <w:spacing w:before="0" w:beforeAutospacing="0" w:after="0" w:afterAutospacing="0" w:line="360" w:lineRule="auto"/>
              <w:ind w:left="0" w:right="0" w:firstLine="476" w:firstLineChars="200"/>
              <w:rPr>
                <w:rFonts w:hint="eastAsia" w:cs="Times New Roman"/>
                <w:color w:val="auto"/>
                <w:spacing w:val="-1"/>
                <w:sz w:val="24"/>
                <w:szCs w:val="24"/>
                <w:highlight w:val="none"/>
                <w:lang w:val="en-US" w:eastAsia="zh-CN"/>
              </w:rPr>
            </w:pPr>
            <w:r>
              <w:rPr>
                <w:rFonts w:hint="eastAsia" w:cs="Times New Roman"/>
                <w:color w:val="auto"/>
                <w:spacing w:val="-1"/>
                <w:sz w:val="24"/>
                <w:szCs w:val="24"/>
                <w:highlight w:val="none"/>
                <w:lang w:val="en-US" w:eastAsia="zh-CN"/>
              </w:rPr>
              <w:t>（1）</w:t>
            </w:r>
            <w:r>
              <w:rPr>
                <w:rFonts w:hint="eastAsia" w:cs="Times New Roman"/>
                <w:color w:val="auto"/>
                <w:kern w:val="0"/>
                <w:sz w:val="24"/>
                <w:szCs w:val="24"/>
                <w:highlight w:val="none"/>
                <w:lang w:val="en-US" w:eastAsia="zh-CN"/>
              </w:rPr>
              <w:t>康龙煤矿</w:t>
            </w:r>
            <w:r>
              <w:rPr>
                <w:rFonts w:hint="eastAsia" w:cs="Times New Roman"/>
                <w:color w:val="auto"/>
                <w:spacing w:val="-1"/>
                <w:kern w:val="2"/>
                <w:sz w:val="24"/>
                <w:szCs w:val="24"/>
                <w:lang w:val="en-US" w:eastAsia="zh-CN" w:bidi="ar-SA"/>
              </w:rPr>
              <w:t>行政福利生活场地</w:t>
            </w:r>
            <w:r>
              <w:rPr>
                <w:rFonts w:hint="eastAsia" w:cs="Times New Roman"/>
                <w:color w:val="auto"/>
                <w:spacing w:val="-1"/>
                <w:sz w:val="24"/>
                <w:szCs w:val="24"/>
                <w:highlight w:val="none"/>
                <w:lang w:val="en-US" w:eastAsia="zh-CN"/>
              </w:rPr>
              <w:t>依托可行性</w:t>
            </w:r>
          </w:p>
          <w:p w14:paraId="2A0BCD77">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9" w:firstLine="475"/>
              <w:jc w:val="both"/>
              <w:textAlignment w:val="auto"/>
              <w:rPr>
                <w:rFonts w:hint="default" w:ascii="Times New Roman" w:hAnsi="Times New Roman" w:eastAsia="宋体" w:cs="Times New Roman"/>
                <w:color w:val="auto"/>
                <w:spacing w:val="-1"/>
                <w:kern w:val="2"/>
                <w:sz w:val="24"/>
                <w:szCs w:val="24"/>
                <w:lang w:val="en-US" w:eastAsia="zh-CN" w:bidi="ar-SA"/>
              </w:rPr>
            </w:pPr>
            <w:r>
              <w:rPr>
                <w:rFonts w:hint="eastAsia" w:cs="宋体"/>
                <w:color w:val="auto"/>
                <w:sz w:val="24"/>
                <w:szCs w:val="24"/>
                <w:lang w:val="en-US" w:eastAsia="zh-CN"/>
              </w:rPr>
              <w:t>阜康西沙沟煤田火区灭火工程所治理的3个</w:t>
            </w:r>
            <w:r>
              <w:rPr>
                <w:rFonts w:hint="default" w:ascii="Times New Roman" w:hAnsi="Times New Roman" w:eastAsia="宋体" w:cs="Times New Roman"/>
                <w:color w:val="auto"/>
                <w:spacing w:val="-1"/>
                <w:kern w:val="2"/>
                <w:sz w:val="24"/>
                <w:szCs w:val="24"/>
                <w:lang w:val="en-US" w:eastAsia="zh-CN" w:bidi="ar-SA"/>
              </w:rPr>
              <w:t>火区所在区域位于新疆富城矿业投资有限公司阜康市康龙煤矿</w:t>
            </w:r>
            <w:r>
              <w:rPr>
                <w:rFonts w:hint="eastAsia" w:cs="Times New Roman"/>
                <w:color w:val="auto"/>
                <w:spacing w:val="-1"/>
                <w:kern w:val="2"/>
                <w:sz w:val="24"/>
                <w:szCs w:val="24"/>
                <w:lang w:val="en-US" w:eastAsia="zh-CN" w:bidi="ar-SA"/>
              </w:rPr>
              <w:t>（以下简称康龙煤矿）</w:t>
            </w:r>
            <w:r>
              <w:rPr>
                <w:rFonts w:hint="default" w:ascii="Times New Roman" w:hAnsi="Times New Roman" w:eastAsia="宋体" w:cs="Times New Roman"/>
                <w:color w:val="auto"/>
                <w:spacing w:val="-1"/>
                <w:kern w:val="2"/>
                <w:sz w:val="24"/>
                <w:szCs w:val="24"/>
                <w:lang w:val="en-US" w:eastAsia="zh-CN" w:bidi="ar-SA"/>
              </w:rPr>
              <w:t>范围内，治理主体为新疆富城矿业投资有限公司。</w:t>
            </w:r>
          </w:p>
          <w:p w14:paraId="052E75BE">
            <w:pPr>
              <w:keepNext w:val="0"/>
              <w:keepLines w:val="0"/>
              <w:suppressLineNumbers w:val="0"/>
              <w:adjustRightInd w:val="0"/>
              <w:snapToGrid w:val="0"/>
              <w:spacing w:before="0" w:beforeAutospacing="0" w:after="0" w:afterAutospacing="0" w:line="360" w:lineRule="auto"/>
              <w:ind w:left="0" w:right="0" w:firstLine="476" w:firstLineChars="200"/>
              <w:rPr>
                <w:rFonts w:hint="eastAsia" w:cs="Times New Roman"/>
                <w:b/>
                <w:bCs/>
                <w:color w:val="auto"/>
                <w:sz w:val="24"/>
                <w:szCs w:val="24"/>
                <w:lang w:val="en-US" w:eastAsia="zh-CN"/>
              </w:rPr>
            </w:pPr>
            <w:r>
              <w:rPr>
                <w:rFonts w:hint="eastAsia" w:cs="Times New Roman"/>
                <w:color w:val="auto"/>
                <w:spacing w:val="-1"/>
                <w:sz w:val="24"/>
                <w:szCs w:val="24"/>
                <w:highlight w:val="none"/>
                <w:lang w:val="en-US" w:eastAsia="zh-CN"/>
              </w:rPr>
              <w:t>2014年2月8日，</w:t>
            </w:r>
            <w:r>
              <w:rPr>
                <w:rFonts w:hint="default" w:ascii="Times New Roman" w:hAnsi="Times New Roman" w:eastAsia="宋体" w:cs="Times New Roman"/>
                <w:color w:val="auto"/>
                <w:spacing w:val="-1"/>
                <w:kern w:val="2"/>
                <w:sz w:val="24"/>
                <w:szCs w:val="24"/>
                <w:lang w:val="en-US" w:eastAsia="zh-CN" w:bidi="ar-SA"/>
              </w:rPr>
              <w:t>新疆富城矿业投资有限公司</w:t>
            </w:r>
            <w:r>
              <w:rPr>
                <w:rFonts w:hint="eastAsia" w:ascii="Times New Roman" w:hAnsi="Times New Roman" w:eastAsia="宋体" w:cs="Times New Roman"/>
                <w:color w:val="auto"/>
                <w:spacing w:val="-1"/>
                <w:kern w:val="2"/>
                <w:sz w:val="24"/>
                <w:szCs w:val="24"/>
                <w:lang w:val="en-US" w:eastAsia="zh-CN" w:bidi="ar-SA"/>
              </w:rPr>
              <w:t>阜康市康龙煤矿60万吨/年改扩建项目</w:t>
            </w:r>
            <w:r>
              <w:rPr>
                <w:rFonts w:hint="eastAsia" w:cs="Times New Roman"/>
                <w:color w:val="auto"/>
                <w:spacing w:val="-1"/>
                <w:sz w:val="24"/>
                <w:szCs w:val="24"/>
                <w:highlight w:val="none"/>
                <w:lang w:val="en-US" w:eastAsia="zh-CN"/>
              </w:rPr>
              <w:t>取得原新疆维吾尔自治区环境保护厅环评批复《关于</w:t>
            </w:r>
            <w:r>
              <w:rPr>
                <w:rFonts w:hint="default" w:ascii="Times New Roman" w:hAnsi="Times New Roman" w:eastAsia="宋体" w:cs="Times New Roman"/>
                <w:color w:val="auto"/>
                <w:spacing w:val="-1"/>
                <w:kern w:val="2"/>
                <w:sz w:val="24"/>
                <w:szCs w:val="24"/>
                <w:lang w:val="en-US" w:eastAsia="zh-CN" w:bidi="ar-SA"/>
              </w:rPr>
              <w:t>新疆富城矿业投资有限公司</w:t>
            </w:r>
            <w:r>
              <w:rPr>
                <w:rFonts w:hint="eastAsia" w:ascii="Times New Roman" w:hAnsi="Times New Roman" w:eastAsia="宋体" w:cs="Times New Roman"/>
                <w:color w:val="auto"/>
                <w:spacing w:val="-1"/>
                <w:kern w:val="2"/>
                <w:sz w:val="24"/>
                <w:szCs w:val="24"/>
                <w:lang w:val="en-US" w:eastAsia="zh-CN" w:bidi="ar-SA"/>
              </w:rPr>
              <w:t>阜康市康龙煤矿60万吨/年改扩建项目</w:t>
            </w:r>
            <w:r>
              <w:rPr>
                <w:rFonts w:hint="eastAsia" w:cs="Times New Roman"/>
                <w:color w:val="auto"/>
                <w:spacing w:val="-1"/>
                <w:sz w:val="24"/>
                <w:szCs w:val="24"/>
                <w:highlight w:val="none"/>
                <w:lang w:val="en-US" w:eastAsia="zh-CN"/>
              </w:rPr>
              <w:t>环境影响报告书的批复》（新环函〔2014〕143号），目前</w:t>
            </w:r>
            <w:r>
              <w:rPr>
                <w:rFonts w:hint="default" w:ascii="Times New Roman" w:hAnsi="Times New Roman" w:eastAsia="宋体" w:cs="Times New Roman"/>
                <w:color w:val="auto"/>
                <w:spacing w:val="-1"/>
                <w:kern w:val="2"/>
                <w:sz w:val="24"/>
                <w:szCs w:val="24"/>
                <w:lang w:val="en-US" w:eastAsia="zh-CN" w:bidi="ar-SA"/>
              </w:rPr>
              <w:t>新疆富城矿业投资有限公司</w:t>
            </w:r>
            <w:r>
              <w:rPr>
                <w:rFonts w:hint="eastAsia" w:ascii="Times New Roman" w:hAnsi="Times New Roman" w:eastAsia="宋体" w:cs="Times New Roman"/>
                <w:color w:val="auto"/>
                <w:spacing w:val="-1"/>
                <w:kern w:val="2"/>
                <w:sz w:val="24"/>
                <w:szCs w:val="24"/>
                <w:lang w:val="en-US" w:eastAsia="zh-CN" w:bidi="ar-SA"/>
              </w:rPr>
              <w:t>阜康市康龙煤矿</w:t>
            </w:r>
            <w:r>
              <w:rPr>
                <w:rFonts w:hint="eastAsia" w:cs="Times New Roman"/>
                <w:color w:val="auto"/>
                <w:spacing w:val="-1"/>
                <w:sz w:val="24"/>
                <w:szCs w:val="24"/>
                <w:highlight w:val="none"/>
                <w:lang w:val="en-US" w:eastAsia="zh-CN"/>
              </w:rPr>
              <w:t>已建</w:t>
            </w:r>
            <w:r>
              <w:rPr>
                <w:rFonts w:hint="eastAsia" w:cs="Times New Roman"/>
                <w:color w:val="auto"/>
                <w:spacing w:val="-1"/>
                <w:kern w:val="2"/>
                <w:sz w:val="24"/>
                <w:szCs w:val="24"/>
                <w:lang w:val="en-US" w:eastAsia="zh-CN" w:bidi="ar-SA"/>
              </w:rPr>
              <w:t>行政福利生活场地</w:t>
            </w:r>
            <w:r>
              <w:rPr>
                <w:rFonts w:hint="eastAsia" w:cs="Times New Roman"/>
                <w:color w:val="auto"/>
                <w:spacing w:val="-1"/>
                <w:sz w:val="24"/>
                <w:szCs w:val="24"/>
                <w:highlight w:val="none"/>
                <w:lang w:val="en-US" w:eastAsia="zh-CN"/>
              </w:rPr>
              <w:t>正常投入使用。因此，本项目施工期依托</w:t>
            </w:r>
            <w:r>
              <w:rPr>
                <w:rFonts w:hint="default" w:ascii="Times New Roman" w:hAnsi="Times New Roman" w:eastAsia="宋体" w:cs="Times New Roman"/>
                <w:color w:val="auto"/>
                <w:spacing w:val="-1"/>
                <w:kern w:val="2"/>
                <w:sz w:val="24"/>
                <w:szCs w:val="24"/>
                <w:highlight w:val="none"/>
                <w:lang w:val="en-US" w:eastAsia="zh-CN" w:bidi="ar-SA"/>
              </w:rPr>
              <w:t>康龙煤矿</w:t>
            </w:r>
            <w:r>
              <w:rPr>
                <w:rFonts w:hint="eastAsia" w:cs="Times New Roman"/>
                <w:color w:val="auto"/>
                <w:spacing w:val="-1"/>
                <w:kern w:val="2"/>
                <w:sz w:val="24"/>
                <w:szCs w:val="24"/>
                <w:lang w:val="en-US" w:eastAsia="zh-CN" w:bidi="ar-SA"/>
              </w:rPr>
              <w:t>行政福利生活场地</w:t>
            </w:r>
            <w:r>
              <w:rPr>
                <w:rFonts w:hint="eastAsia" w:cs="Times New Roman"/>
                <w:color w:val="auto"/>
                <w:spacing w:val="-1"/>
                <w:sz w:val="24"/>
                <w:szCs w:val="24"/>
                <w:highlight w:val="none"/>
                <w:lang w:val="en-US" w:eastAsia="zh-CN"/>
              </w:rPr>
              <w:t>可行。</w:t>
            </w:r>
          </w:p>
          <w:p w14:paraId="7ED1ED17">
            <w:pPr>
              <w:keepNext w:val="0"/>
              <w:keepLines w:val="0"/>
              <w:suppressLineNumbers w:val="0"/>
              <w:adjustRightInd w:val="0"/>
              <w:snapToGrid w:val="0"/>
              <w:spacing w:before="0" w:beforeAutospacing="0" w:after="0" w:afterAutospacing="0" w:line="360" w:lineRule="auto"/>
              <w:ind w:left="0" w:right="0" w:firstLine="476" w:firstLineChars="200"/>
              <w:rPr>
                <w:rFonts w:hint="eastAsia" w:cs="Times New Roman"/>
                <w:color w:val="auto"/>
                <w:spacing w:val="-1"/>
                <w:sz w:val="24"/>
                <w:szCs w:val="24"/>
                <w:highlight w:val="none"/>
                <w:lang w:val="en-US" w:eastAsia="zh-CN"/>
              </w:rPr>
            </w:pPr>
            <w:r>
              <w:rPr>
                <w:rFonts w:hint="eastAsia" w:cs="Times New Roman"/>
                <w:color w:val="auto"/>
                <w:spacing w:val="-1"/>
                <w:sz w:val="24"/>
                <w:szCs w:val="24"/>
                <w:highlight w:val="none"/>
                <w:lang w:val="en-US" w:eastAsia="zh-CN"/>
              </w:rPr>
              <w:t>（2）</w:t>
            </w:r>
            <w:r>
              <w:rPr>
                <w:rFonts w:hint="eastAsia" w:cs="Times New Roman"/>
                <w:color w:val="auto"/>
                <w:kern w:val="0"/>
                <w:sz w:val="24"/>
                <w:szCs w:val="24"/>
                <w:highlight w:val="none"/>
                <w:lang w:val="en-US" w:eastAsia="zh-CN"/>
              </w:rPr>
              <w:t>康龙煤矿</w:t>
            </w:r>
            <w:r>
              <w:rPr>
                <w:rFonts w:hint="eastAsia" w:cs="Times New Roman"/>
                <w:color w:val="auto"/>
                <w:spacing w:val="-1"/>
                <w:kern w:val="2"/>
                <w:sz w:val="24"/>
                <w:szCs w:val="24"/>
                <w:lang w:val="en-US" w:eastAsia="zh-CN" w:bidi="ar-SA"/>
              </w:rPr>
              <w:t>行政福利生活场地</w:t>
            </w:r>
            <w:r>
              <w:rPr>
                <w:rFonts w:hint="eastAsia" w:cs="Times New Roman"/>
                <w:color w:val="auto"/>
                <w:spacing w:val="-1"/>
                <w:sz w:val="24"/>
                <w:szCs w:val="24"/>
                <w:highlight w:val="none"/>
                <w:lang w:val="en-US" w:eastAsia="zh-CN"/>
              </w:rPr>
              <w:t>生活污水处理设施依托可行性</w:t>
            </w:r>
          </w:p>
          <w:p w14:paraId="7B344E86">
            <w:pPr>
              <w:keepNext w:val="0"/>
              <w:keepLines w:val="0"/>
              <w:suppressLineNumbers w:val="0"/>
              <w:adjustRightInd w:val="0"/>
              <w:snapToGrid w:val="0"/>
              <w:spacing w:before="0" w:beforeAutospacing="0" w:after="0" w:afterAutospacing="0" w:line="360" w:lineRule="auto"/>
              <w:ind w:left="0" w:right="0" w:firstLine="476" w:firstLineChars="200"/>
              <w:rPr>
                <w:rFonts w:hint="eastAsia" w:cs="Times New Roman"/>
                <w:color w:val="auto"/>
                <w:spacing w:val="-1"/>
                <w:sz w:val="24"/>
                <w:szCs w:val="24"/>
                <w:highlight w:val="none"/>
                <w:lang w:val="en-US" w:eastAsia="zh-CN"/>
              </w:rPr>
            </w:pPr>
            <w:r>
              <w:rPr>
                <w:rFonts w:hint="default" w:ascii="Times New Roman" w:hAnsi="Times New Roman" w:eastAsia="宋体" w:cs="Times New Roman"/>
                <w:color w:val="auto"/>
                <w:spacing w:val="-1"/>
                <w:kern w:val="2"/>
                <w:sz w:val="24"/>
                <w:szCs w:val="24"/>
                <w:lang w:val="en-US" w:eastAsia="zh-CN" w:bidi="ar-SA"/>
              </w:rPr>
              <w:t>新疆富城矿业投资有限公司</w:t>
            </w:r>
            <w:r>
              <w:rPr>
                <w:rFonts w:hint="eastAsia" w:ascii="Times New Roman" w:hAnsi="Times New Roman" w:eastAsia="宋体" w:cs="Times New Roman"/>
                <w:color w:val="auto"/>
                <w:spacing w:val="-1"/>
                <w:kern w:val="2"/>
                <w:sz w:val="24"/>
                <w:szCs w:val="24"/>
                <w:lang w:val="en-US" w:eastAsia="zh-CN" w:bidi="ar-SA"/>
              </w:rPr>
              <w:t>阜康市康龙煤矿</w:t>
            </w:r>
            <w:r>
              <w:rPr>
                <w:rFonts w:hint="eastAsia" w:cs="Times New Roman"/>
                <w:color w:val="auto"/>
                <w:spacing w:val="-1"/>
                <w:kern w:val="2"/>
                <w:sz w:val="24"/>
                <w:szCs w:val="24"/>
                <w:lang w:val="en-US" w:eastAsia="zh-CN" w:bidi="ar-SA"/>
              </w:rPr>
              <w:t>行政福利生活场地建设有一体化污水处理设备，处理工艺为</w:t>
            </w:r>
            <w:r>
              <w:rPr>
                <w:rFonts w:hint="default" w:ascii="宋体" w:hAnsi="宋体"/>
                <w:color w:val="auto"/>
                <w:sz w:val="24"/>
                <w:szCs w:val="24"/>
              </w:rPr>
              <w:t>“机械格栅→曝气调节→接触氧化→加药混合→纤维球过滤→消毒”</w:t>
            </w:r>
            <w:r>
              <w:rPr>
                <w:rFonts w:hint="eastAsia" w:cs="Times New Roman"/>
                <w:color w:val="auto"/>
                <w:spacing w:val="-1"/>
                <w:sz w:val="24"/>
                <w:szCs w:val="24"/>
                <w:highlight w:val="none"/>
                <w:lang w:val="en-US" w:eastAsia="zh-CN"/>
              </w:rPr>
              <w:t>。生活污水分别经</w:t>
            </w:r>
            <w:r>
              <w:rPr>
                <w:rFonts w:hint="eastAsia" w:cs="Times New Roman"/>
                <w:color w:val="auto"/>
                <w:spacing w:val="-1"/>
                <w:kern w:val="2"/>
                <w:sz w:val="24"/>
                <w:szCs w:val="24"/>
                <w:lang w:val="en-US" w:eastAsia="zh-CN" w:bidi="ar-SA"/>
              </w:rPr>
              <w:t>一体化污水处理设备</w:t>
            </w:r>
            <w:r>
              <w:rPr>
                <w:rFonts w:hint="eastAsia" w:cs="Times New Roman"/>
                <w:color w:val="auto"/>
                <w:spacing w:val="-1"/>
                <w:sz w:val="24"/>
                <w:szCs w:val="24"/>
                <w:highlight w:val="none"/>
                <w:lang w:val="en-US" w:eastAsia="zh-CN"/>
              </w:rPr>
              <w:t>处理，处理后用于绿化。</w:t>
            </w:r>
          </w:p>
          <w:p w14:paraId="7B8B915E">
            <w:pPr>
              <w:keepNext w:val="0"/>
              <w:keepLines w:val="0"/>
              <w:suppressLineNumbers w:val="0"/>
              <w:adjustRightInd w:val="0"/>
              <w:snapToGrid w:val="0"/>
              <w:spacing w:before="0" w:beforeAutospacing="0" w:after="0" w:afterAutospacing="0" w:line="360" w:lineRule="auto"/>
              <w:ind w:left="0" w:right="0"/>
              <w:rPr>
                <w:rFonts w:hint="eastAsia" w:cs="Times New Roman"/>
                <w:color w:val="auto"/>
                <w:spacing w:val="-1"/>
                <w:sz w:val="24"/>
                <w:szCs w:val="24"/>
                <w:highlight w:val="none"/>
                <w:lang w:val="en-US" w:eastAsia="zh-CN"/>
              </w:rPr>
            </w:pPr>
            <w:r>
              <w:rPr>
                <w:rFonts w:hint="eastAsia" w:cs="Times New Roman"/>
                <w:color w:val="auto"/>
                <w:spacing w:val="-1"/>
                <w:sz w:val="24"/>
                <w:szCs w:val="24"/>
                <w:highlight w:val="none"/>
                <w:lang w:val="en-US" w:eastAsia="zh-CN"/>
              </w:rPr>
              <w:t>本项目施工期生活污水排放量为1.08m</w:t>
            </w:r>
            <w:r>
              <w:rPr>
                <w:rFonts w:hint="eastAsia" w:cs="Times New Roman"/>
                <w:color w:val="auto"/>
                <w:spacing w:val="-1"/>
                <w:sz w:val="24"/>
                <w:szCs w:val="24"/>
                <w:highlight w:val="none"/>
                <w:vertAlign w:val="superscript"/>
                <w:lang w:val="en-US" w:eastAsia="zh-CN"/>
              </w:rPr>
              <w:t>3</w:t>
            </w:r>
            <w:r>
              <w:rPr>
                <w:rFonts w:hint="eastAsia" w:cs="Times New Roman"/>
                <w:color w:val="auto"/>
                <w:spacing w:val="-1"/>
                <w:sz w:val="24"/>
                <w:szCs w:val="24"/>
                <w:highlight w:val="none"/>
                <w:lang w:val="en-US" w:eastAsia="zh-CN"/>
              </w:rPr>
              <w:t>/d，可完全容纳本项目生活污水，因此依托可行。</w:t>
            </w:r>
          </w:p>
          <w:p w14:paraId="5DD14785">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r>
              <w:rPr>
                <w:rFonts w:hint="eastAsia" w:cs="Times New Roman"/>
                <w:b/>
                <w:bCs/>
                <w:color w:val="auto"/>
                <w:sz w:val="24"/>
                <w:szCs w:val="24"/>
                <w:lang w:val="en-US" w:eastAsia="zh-CN"/>
              </w:rPr>
              <w:t>4、施工期</w:t>
            </w:r>
            <w:r>
              <w:rPr>
                <w:rFonts w:hint="eastAsia" w:ascii="Times New Roman" w:hAnsi="Times New Roman" w:cs="Times New Roman"/>
                <w:b/>
                <w:bCs/>
                <w:color w:val="auto"/>
                <w:sz w:val="24"/>
                <w:szCs w:val="24"/>
              </w:rPr>
              <w:t>声环境保护措施</w:t>
            </w:r>
          </w:p>
          <w:p w14:paraId="03A0C45E">
            <w:pPr>
              <w:keepNext w:val="0"/>
              <w:keepLines w:val="0"/>
              <w:suppressLineNumbers w:val="0"/>
              <w:adjustRightInd w:val="0"/>
              <w:snapToGrid w:val="0"/>
              <w:spacing w:before="0" w:beforeAutospacing="0" w:after="0" w:afterAutospacing="0" w:line="360" w:lineRule="auto"/>
              <w:ind w:left="0" w:right="0" w:firstLine="476" w:firstLineChars="200"/>
              <w:rPr>
                <w:rFonts w:hint="eastAsia" w:ascii="Times New Roman" w:hAnsi="Times New Roman" w:eastAsia="宋体" w:cs="Times New Roman"/>
                <w:color w:val="auto"/>
                <w:spacing w:val="-1"/>
                <w:kern w:val="2"/>
                <w:sz w:val="24"/>
                <w:szCs w:val="24"/>
                <w:lang w:val="en-US" w:eastAsia="zh-CN" w:bidi="ar-SA"/>
              </w:rPr>
            </w:pPr>
            <w:r>
              <w:rPr>
                <w:rFonts w:hint="eastAsia" w:ascii="Times New Roman" w:hAnsi="Times New Roman" w:eastAsia="宋体" w:cs="Times New Roman"/>
                <w:color w:val="auto"/>
                <w:spacing w:val="-1"/>
                <w:kern w:val="2"/>
                <w:sz w:val="24"/>
                <w:szCs w:val="24"/>
                <w:lang w:val="en-US" w:eastAsia="zh-CN" w:bidi="ar-SA"/>
              </w:rPr>
              <w:t>施工期间应加强管理，确保项目施工场界噪声排放达到《建筑施工噪声排放标准》（GB 12523-2025）的规定要求，本次评价要求项目施工单位采取如下措施：</w:t>
            </w:r>
          </w:p>
          <w:p w14:paraId="56917502">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尽量采用低噪声机械，工程施工所用的施工机械设备应事先对其进行常规工作状态下的噪声测量，超过国家标准的机械应禁止其入场施工。施工过程中还应经常对设备进行维修保养，避免由于设备性能差导致噪声增强现象的发生。</w:t>
            </w:r>
          </w:p>
          <w:p w14:paraId="1D7C3505">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②要加强</w:t>
            </w:r>
            <w:r>
              <w:rPr>
                <w:rFonts w:hint="eastAsia" w:cs="Times New Roman"/>
                <w:color w:val="auto"/>
                <w:kern w:val="2"/>
                <w:sz w:val="24"/>
                <w:szCs w:val="24"/>
                <w:lang w:val="en-US" w:eastAsia="zh-CN" w:bidi="ar-SA"/>
              </w:rPr>
              <w:t>潜孔钻机、泥浆搅拌机、泥浆泵等高噪声</w:t>
            </w:r>
            <w:r>
              <w:rPr>
                <w:rFonts w:hint="eastAsia" w:ascii="Times New Roman" w:hAnsi="Times New Roman" w:eastAsia="宋体" w:cs="Times New Roman"/>
                <w:color w:val="auto"/>
                <w:kern w:val="2"/>
                <w:sz w:val="24"/>
                <w:szCs w:val="24"/>
                <w:lang w:val="en-US" w:eastAsia="zh-CN" w:bidi="ar-SA"/>
              </w:rPr>
              <w:t>设备安装过程中的减振</w:t>
            </w:r>
            <w:r>
              <w:rPr>
                <w:rFonts w:hint="eastAsia" w:cs="Times New Roman"/>
                <w:color w:val="auto"/>
                <w:kern w:val="2"/>
                <w:sz w:val="24"/>
                <w:szCs w:val="24"/>
                <w:lang w:val="en-US" w:eastAsia="zh-CN" w:bidi="ar-SA"/>
              </w:rPr>
              <w:t>、隔声</w:t>
            </w:r>
            <w:r>
              <w:rPr>
                <w:rFonts w:hint="eastAsia" w:ascii="Times New Roman" w:hAnsi="Times New Roman" w:eastAsia="宋体" w:cs="Times New Roman"/>
                <w:color w:val="auto"/>
                <w:kern w:val="2"/>
                <w:sz w:val="24"/>
                <w:szCs w:val="24"/>
                <w:lang w:val="en-US" w:eastAsia="zh-CN" w:bidi="ar-SA"/>
              </w:rPr>
              <w:t xml:space="preserve">措施，整体设备应安放稳固，并与地面保持良好接触，有条件的应使用减振机座，降低噪声。施工过程中加强检查、维护和保养机械设备，保持润滑，紧固各部件，减少运行振动噪声。 </w:t>
            </w:r>
          </w:p>
          <w:p w14:paraId="59D84440">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③施工单位应合理安排工作人员轮流操作产生高强噪声的施工机械，减少接触高噪声的时间，或穿插安排高噪声和低噪声的工作。加强对施工人员的个人防护，对高噪声设备附近工作的施工人员，可采取配备、使用耳塞、耳机、防声头盔等防噪用具。</w:t>
            </w:r>
          </w:p>
          <w:p w14:paraId="464E1638">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④加强施工期间道路交通的管理，保持道路畅通也是减缓施工</w:t>
            </w:r>
            <w:r>
              <w:rPr>
                <w:rFonts w:hint="eastAsia" w:cs="Times New Roman"/>
                <w:color w:val="auto"/>
                <w:kern w:val="2"/>
                <w:sz w:val="24"/>
                <w:szCs w:val="24"/>
                <w:lang w:val="en-US" w:eastAsia="zh-CN" w:bidi="ar-SA"/>
              </w:rPr>
              <w:t>期间</w:t>
            </w:r>
            <w:r>
              <w:rPr>
                <w:rFonts w:hint="eastAsia" w:ascii="Times New Roman" w:hAnsi="Times New Roman" w:eastAsia="宋体" w:cs="Times New Roman"/>
                <w:color w:val="auto"/>
                <w:kern w:val="2"/>
                <w:sz w:val="24"/>
                <w:szCs w:val="24"/>
                <w:lang w:val="en-US" w:eastAsia="zh-CN" w:bidi="ar-SA"/>
              </w:rPr>
              <w:t>噪声影响的重要手段。建议应合理安排施工车辆进出场地的行驶线路和时间，对工程车辆加强管理，禁止鸣号、注意限速行驶，文明驾驶以</w:t>
            </w:r>
            <w:r>
              <w:rPr>
                <w:rFonts w:hint="eastAsia" w:cs="Times New Roman"/>
                <w:color w:val="auto"/>
                <w:kern w:val="2"/>
                <w:sz w:val="24"/>
                <w:szCs w:val="24"/>
                <w:lang w:val="en-US" w:eastAsia="zh-CN" w:bidi="ar-SA"/>
              </w:rPr>
              <w:t>减少</w:t>
            </w:r>
            <w:r>
              <w:rPr>
                <w:rFonts w:hint="eastAsia" w:ascii="Times New Roman" w:hAnsi="Times New Roman" w:eastAsia="宋体" w:cs="Times New Roman"/>
                <w:color w:val="auto"/>
                <w:kern w:val="2"/>
                <w:sz w:val="24"/>
                <w:szCs w:val="24"/>
                <w:lang w:val="en-US" w:eastAsia="zh-CN" w:bidi="ar-SA"/>
              </w:rPr>
              <w:t>交通噪声。</w:t>
            </w:r>
          </w:p>
          <w:p w14:paraId="198DDDCA">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施工期噪声影响为短期影响，施工结束后即可消除。但考虑施工期对周围环境的影响，要求建设单位在建设过程中必须认真遵守各项管理制度，落实本报告提出的防治措施及建议，做到文明施工、严格管理、缩短工期，力争将项目建设过程中对周围环境产生的影响降到最低限度。</w:t>
            </w:r>
          </w:p>
          <w:p w14:paraId="49032DED">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bCs/>
                <w:color w:val="auto"/>
                <w:sz w:val="24"/>
                <w:szCs w:val="24"/>
              </w:rPr>
            </w:pPr>
            <w:r>
              <w:rPr>
                <w:rFonts w:hint="eastAsia" w:cs="Times New Roman"/>
                <w:b/>
                <w:bCs/>
                <w:color w:val="auto"/>
                <w:sz w:val="24"/>
                <w:szCs w:val="24"/>
                <w:lang w:val="en-US" w:eastAsia="zh-CN"/>
              </w:rPr>
              <w:t>5、施工期</w:t>
            </w:r>
            <w:r>
              <w:rPr>
                <w:rFonts w:hint="eastAsia" w:ascii="Times New Roman" w:hAnsi="Times New Roman" w:cs="Times New Roman"/>
                <w:b/>
                <w:bCs/>
                <w:color w:val="auto"/>
                <w:sz w:val="24"/>
                <w:szCs w:val="24"/>
              </w:rPr>
              <w:t>固体废物处置措施</w:t>
            </w:r>
          </w:p>
          <w:p w14:paraId="66DC6E3F">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本项目</w:t>
            </w:r>
            <w:r>
              <w:rPr>
                <w:rFonts w:hint="eastAsia" w:cs="Times New Roman"/>
                <w:color w:val="auto"/>
                <w:sz w:val="24"/>
                <w:szCs w:val="24"/>
                <w:lang w:val="en-US" w:eastAsia="zh-CN"/>
              </w:rPr>
              <w:t>施工期</w:t>
            </w:r>
            <w:r>
              <w:rPr>
                <w:rFonts w:hint="eastAsia" w:ascii="Times New Roman" w:hAnsi="Times New Roman" w:cs="Times New Roman"/>
                <w:color w:val="auto"/>
                <w:sz w:val="24"/>
                <w:szCs w:val="24"/>
              </w:rPr>
              <w:t>产生的固体废物</w:t>
            </w:r>
            <w:r>
              <w:rPr>
                <w:rFonts w:hint="eastAsia" w:ascii="Times New Roman" w:hAnsi="Times New Roman" w:eastAsia="宋体" w:cs="Times New Roman"/>
                <w:color w:val="auto"/>
                <w:sz w:val="24"/>
                <w:szCs w:val="24"/>
                <w:lang w:val="en-US" w:eastAsia="zh-CN"/>
              </w:rPr>
              <w:t>主要来自施工产生的建筑垃圾和施工人员产生的生活垃圾</w:t>
            </w:r>
            <w:r>
              <w:rPr>
                <w:rFonts w:hint="eastAsia" w:ascii="Times New Roman" w:hAnsi="Times New Roman" w:cs="Times New Roman"/>
                <w:color w:val="auto"/>
                <w:sz w:val="24"/>
                <w:szCs w:val="24"/>
              </w:rPr>
              <w:t>。针对本项目产生的固体废物，提出如下处置措施：</w:t>
            </w:r>
          </w:p>
          <w:p w14:paraId="06445BBD">
            <w:pPr>
              <w:keepNext w:val="0"/>
              <w:keepLines w:val="0"/>
              <w:suppressLineNumbers w:val="0"/>
              <w:adjustRightInd w:val="0"/>
              <w:snapToGrid w:val="0"/>
              <w:spacing w:before="0" w:beforeAutospacing="0" w:after="0" w:afterAutospacing="0" w:line="360" w:lineRule="auto"/>
              <w:ind w:left="0" w:right="0" w:firstLine="480" w:firstLineChars="200"/>
              <w:rPr>
                <w:rFonts w:hint="default"/>
                <w:spacing w:val="-1"/>
                <w:sz w:val="24"/>
                <w:szCs w:val="24"/>
              </w:rPr>
            </w:pPr>
            <w:r>
              <w:rPr>
                <w:rFonts w:hint="eastAsia" w:ascii="Times New Roman" w:hAnsi="Times New Roman" w:eastAsia="宋体" w:cs="Times New Roman"/>
                <w:color w:val="auto"/>
                <w:sz w:val="24"/>
                <w:szCs w:val="24"/>
              </w:rPr>
              <w:t>①</w:t>
            </w:r>
            <w:r>
              <w:rPr>
                <w:rFonts w:hint="eastAsia" w:cs="Times New Roman"/>
                <w:color w:val="auto"/>
                <w:kern w:val="0"/>
                <w:sz w:val="24"/>
                <w:szCs w:val="24"/>
                <w:highlight w:val="none"/>
                <w:lang w:val="en-US" w:eastAsia="zh-CN"/>
              </w:rPr>
              <w:t>剥离工程剥离土方不外排，剥离台阶土方直接向低处甩方自然堆弃，不设置排土场</w:t>
            </w:r>
            <w:r>
              <w:rPr>
                <w:rFonts w:hint="eastAsia" w:ascii="Times New Roman" w:hAnsi="Times New Roman" w:cs="Times New Roman"/>
                <w:color w:val="auto"/>
                <w:sz w:val="24"/>
                <w:szCs w:val="24"/>
                <w:lang w:bidi="ar"/>
              </w:rPr>
              <w:t>。</w:t>
            </w:r>
            <w:r>
              <w:rPr>
                <w:rFonts w:hint="eastAsia" w:ascii="Times New Roman" w:hAnsi="Times New Roman" w:eastAsia="宋体" w:cs="Times New Roman"/>
                <w:color w:val="auto"/>
                <w:sz w:val="24"/>
                <w:szCs w:val="24"/>
                <w:lang w:val="en-US" w:eastAsia="zh-CN" w:bidi="ar"/>
              </w:rPr>
              <w:t>土石方堆放限制在火区治理范围内</w:t>
            </w:r>
            <w:r>
              <w:rPr>
                <w:rFonts w:hint="eastAsia" w:cs="Times New Roman"/>
                <w:color w:val="auto"/>
                <w:sz w:val="24"/>
                <w:szCs w:val="24"/>
                <w:lang w:val="en-US" w:eastAsia="zh-CN" w:bidi="ar"/>
              </w:rPr>
              <w:t>，</w:t>
            </w:r>
            <w:r>
              <w:rPr>
                <w:rFonts w:hint="default"/>
                <w:spacing w:val="-1"/>
                <w:sz w:val="24"/>
                <w:szCs w:val="24"/>
              </w:rPr>
              <w:t>治理结束后可进行边坡防护、场地平整，再进行生态恢复。</w:t>
            </w:r>
          </w:p>
          <w:p w14:paraId="05305A58">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②</w:t>
            </w:r>
            <w:r>
              <w:rPr>
                <w:rFonts w:hint="eastAsia" w:cs="Times New Roman"/>
                <w:color w:val="auto"/>
                <w:sz w:val="24"/>
                <w:szCs w:val="24"/>
                <w:lang w:val="en-US" w:eastAsia="zh-CN"/>
              </w:rPr>
              <w:t>施工结束后沉淀池内底泥用于场地平整。</w:t>
            </w:r>
          </w:p>
          <w:p w14:paraId="4EFAE7AD">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color w:val="auto"/>
                <w:sz w:val="24"/>
                <w:szCs w:val="24"/>
                <w:lang w:val="en-US" w:eastAsia="zh-CN"/>
              </w:rPr>
            </w:pPr>
            <w:r>
              <w:rPr>
                <w:rFonts w:hint="eastAsia" w:ascii="仿宋" w:hAnsi="仿宋" w:eastAsia="仿宋" w:cs="仿宋"/>
                <w:color w:val="auto"/>
                <w:sz w:val="24"/>
                <w:szCs w:val="24"/>
                <w:lang w:val="en-US" w:eastAsia="zh-CN"/>
              </w:rPr>
              <w:t>③</w:t>
            </w:r>
            <w:r>
              <w:rPr>
                <w:rFonts w:hint="eastAsia" w:ascii="Times New Roman" w:hAnsi="Times New Roman" w:eastAsia="宋体" w:cs="Times New Roman"/>
                <w:color w:val="auto"/>
                <w:sz w:val="24"/>
                <w:szCs w:val="24"/>
                <w:lang w:val="en-US" w:eastAsia="zh-CN"/>
              </w:rPr>
              <w:t>生活垃圾统一定点收集，委托环卫部门拉运至当地生活垃圾填埋场处理</w:t>
            </w:r>
            <w:r>
              <w:rPr>
                <w:rFonts w:hint="eastAsia" w:cs="Times New Roman"/>
                <w:color w:val="auto"/>
                <w:sz w:val="24"/>
                <w:szCs w:val="24"/>
                <w:lang w:val="en-US" w:eastAsia="zh-CN"/>
              </w:rPr>
              <w:t>。</w:t>
            </w:r>
          </w:p>
          <w:p w14:paraId="0C8D4D7A">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6、地下水及</w:t>
            </w:r>
            <w:r>
              <w:rPr>
                <w:rFonts w:hint="default" w:ascii="Times New Roman" w:hAnsi="Times New Roman" w:eastAsia="宋体" w:cs="Times New Roman"/>
                <w:b/>
                <w:bCs/>
                <w:color w:val="auto"/>
                <w:sz w:val="24"/>
                <w:szCs w:val="24"/>
                <w:lang w:val="en-US" w:eastAsia="zh-CN"/>
              </w:rPr>
              <w:t>土壤</w:t>
            </w:r>
            <w:r>
              <w:rPr>
                <w:rFonts w:hint="eastAsia" w:ascii="Times New Roman" w:hAnsi="Times New Roman" w:eastAsia="宋体" w:cs="Times New Roman"/>
                <w:b/>
                <w:bCs/>
                <w:color w:val="auto"/>
                <w:sz w:val="24"/>
                <w:szCs w:val="24"/>
                <w:lang w:val="en-US" w:eastAsia="zh-CN"/>
              </w:rPr>
              <w:t>环境保护措施</w:t>
            </w:r>
          </w:p>
          <w:p w14:paraId="445E862C">
            <w:pPr>
              <w:pStyle w:val="58"/>
              <w:keepNext w:val="0"/>
              <w:keepLines w:val="0"/>
              <w:suppressLineNumbers w:val="0"/>
              <w:adjustRightInd/>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szCs w:val="24"/>
                <w:lang w:eastAsia="zh-CN" w:bidi="ar"/>
              </w:rPr>
            </w:pPr>
            <w:r>
              <w:rPr>
                <w:rFonts w:hint="default" w:ascii="Times New Roman" w:hAnsi="Times New Roman" w:cs="Times New Roman"/>
                <w:bCs/>
                <w:color w:val="auto"/>
                <w:sz w:val="24"/>
                <w:szCs w:val="24"/>
                <w:lang w:eastAsia="zh-CN" w:bidi="ar"/>
              </w:rPr>
              <w:t>（</w:t>
            </w:r>
            <w:r>
              <w:rPr>
                <w:rFonts w:hint="default" w:ascii="Times New Roman" w:hAnsi="Times New Roman" w:cs="Times New Roman"/>
                <w:bCs/>
                <w:color w:val="auto"/>
                <w:sz w:val="24"/>
                <w:szCs w:val="24"/>
                <w:lang w:val="en-US" w:eastAsia="zh-CN" w:bidi="ar"/>
              </w:rPr>
              <w:t>1</w:t>
            </w:r>
            <w:r>
              <w:rPr>
                <w:rFonts w:hint="default" w:ascii="Times New Roman" w:hAnsi="Times New Roman" w:cs="Times New Roman"/>
                <w:bCs/>
                <w:color w:val="auto"/>
                <w:sz w:val="24"/>
                <w:szCs w:val="24"/>
                <w:lang w:eastAsia="zh-CN" w:bidi="ar"/>
              </w:rPr>
              <w:t>）</w:t>
            </w:r>
            <w:r>
              <w:rPr>
                <w:rFonts w:hint="default" w:ascii="Times New Roman" w:hAnsi="Times New Roman" w:cs="Times New Roman"/>
                <w:bCs/>
                <w:color w:val="auto"/>
                <w:sz w:val="24"/>
                <w:szCs w:val="24"/>
                <w:lang w:bidi="ar"/>
              </w:rPr>
              <w:t>在</w:t>
            </w:r>
            <w:r>
              <w:rPr>
                <w:rFonts w:hint="eastAsia" w:ascii="Times New Roman" w:hAnsi="Times New Roman" w:cs="Times New Roman"/>
                <w:bCs/>
                <w:color w:val="auto"/>
                <w:sz w:val="24"/>
                <w:szCs w:val="24"/>
                <w:lang w:val="en-US" w:eastAsia="zh-CN" w:bidi="ar"/>
              </w:rPr>
              <w:t>注浆</w:t>
            </w:r>
            <w:r>
              <w:rPr>
                <w:rFonts w:hint="default" w:ascii="Times New Roman" w:hAnsi="Times New Roman" w:cs="Times New Roman"/>
                <w:bCs/>
                <w:color w:val="auto"/>
                <w:sz w:val="24"/>
                <w:szCs w:val="24"/>
                <w:lang w:bidi="ar"/>
              </w:rPr>
              <w:t>过</w:t>
            </w:r>
            <w:r>
              <w:rPr>
                <w:rFonts w:hint="eastAsia" w:ascii="Times New Roman" w:hAnsi="Times New Roman" w:cs="Times New Roman"/>
                <w:bCs/>
                <w:color w:val="auto"/>
                <w:sz w:val="24"/>
                <w:szCs w:val="24"/>
                <w:lang w:eastAsia="zh-CN" w:bidi="ar"/>
              </w:rPr>
              <w:t>程中</w:t>
            </w:r>
            <w:r>
              <w:rPr>
                <w:rFonts w:hint="default" w:ascii="Times New Roman" w:hAnsi="Times New Roman" w:cs="Times New Roman"/>
                <w:bCs/>
                <w:color w:val="auto"/>
                <w:sz w:val="24"/>
                <w:szCs w:val="24"/>
                <w:lang w:bidi="ar"/>
              </w:rPr>
              <w:t>对泥浆进行实时监测，一旦有漏失发生，立即采取堵漏措施</w:t>
            </w:r>
            <w:r>
              <w:rPr>
                <w:rFonts w:hint="eastAsia" w:ascii="Times New Roman" w:hAnsi="Times New Roman" w:cs="Times New Roman"/>
                <w:bCs/>
                <w:color w:val="auto"/>
                <w:sz w:val="24"/>
                <w:szCs w:val="24"/>
                <w:lang w:eastAsia="zh-CN" w:bidi="ar"/>
              </w:rPr>
              <w:t>，</w:t>
            </w:r>
            <w:r>
              <w:rPr>
                <w:rFonts w:hint="default" w:ascii="宋体" w:hAnsi="宋体" w:eastAsia="宋体" w:cs="宋体"/>
                <w:sz w:val="24"/>
                <w:szCs w:val="24"/>
              </w:rPr>
              <w:t>泄漏浆液立即清理，收集泥浆进入沉淀池，清理受污染表层土体集中处置</w:t>
            </w:r>
            <w:r>
              <w:rPr>
                <w:rFonts w:hint="eastAsia" w:ascii="宋体" w:hAnsi="宋体" w:eastAsia="宋体" w:cs="宋体"/>
                <w:sz w:val="24"/>
                <w:szCs w:val="24"/>
                <w:lang w:eastAsia="zh-CN"/>
              </w:rPr>
              <w:t>。</w:t>
            </w:r>
          </w:p>
          <w:p w14:paraId="7687E9A8">
            <w:pPr>
              <w:pStyle w:val="58"/>
              <w:keepNext w:val="0"/>
              <w:keepLines w:val="0"/>
              <w:suppressLineNumbers w:val="0"/>
              <w:adjustRightInd/>
              <w:spacing w:before="0" w:beforeAutospacing="0" w:after="0" w:afterAutospacing="0" w:line="360" w:lineRule="auto"/>
              <w:ind w:left="0" w:right="0" w:firstLine="480" w:firstLineChars="200"/>
              <w:jc w:val="left"/>
              <w:rPr>
                <w:rFonts w:hint="default" w:ascii="Times New Roman" w:hAnsi="Times New Roman" w:eastAsia="宋体" w:cs="Times New Roman"/>
                <w:bCs/>
                <w:color w:val="auto"/>
                <w:sz w:val="24"/>
                <w:szCs w:val="24"/>
                <w:lang w:bidi="ar"/>
              </w:rPr>
            </w:pPr>
            <w:r>
              <w:rPr>
                <w:rFonts w:hint="default" w:ascii="Times New Roman" w:hAnsi="Times New Roman" w:cs="Times New Roman"/>
                <w:color w:val="auto"/>
                <w:sz w:val="24"/>
                <w:szCs w:val="24"/>
                <w:lang w:eastAsia="zh-CN" w:bidi="ar"/>
              </w:rPr>
              <w:t>（</w:t>
            </w:r>
            <w:r>
              <w:rPr>
                <w:rFonts w:hint="default" w:ascii="Times New Roman" w:hAnsi="Times New Roman" w:cs="Times New Roman"/>
                <w:color w:val="auto"/>
                <w:sz w:val="24"/>
                <w:szCs w:val="24"/>
                <w:lang w:val="en-US" w:eastAsia="zh-CN" w:bidi="ar"/>
              </w:rPr>
              <w:t>2</w:t>
            </w:r>
            <w:r>
              <w:rPr>
                <w:rFonts w:hint="default" w:ascii="Times New Roman" w:hAnsi="Times New Roman" w:cs="Times New Roman"/>
                <w:color w:val="auto"/>
                <w:sz w:val="24"/>
                <w:szCs w:val="24"/>
                <w:lang w:eastAsia="zh-CN" w:bidi="ar"/>
              </w:rPr>
              <w:t>）</w:t>
            </w:r>
            <w:r>
              <w:rPr>
                <w:rFonts w:hint="default" w:ascii="Times New Roman" w:hAnsi="Times New Roman" w:cs="Times New Roman"/>
                <w:bCs/>
                <w:color w:val="auto"/>
                <w:sz w:val="24"/>
                <w:szCs w:val="24"/>
                <w:lang w:bidi="ar"/>
              </w:rPr>
              <w:t>工程施工时必须做好防治地下水串层的措施，项目</w:t>
            </w:r>
            <w:r>
              <w:rPr>
                <w:rFonts w:hint="eastAsia" w:ascii="Times New Roman" w:hAnsi="Times New Roman" w:cs="Times New Roman"/>
                <w:bCs/>
                <w:color w:val="auto"/>
                <w:sz w:val="24"/>
                <w:szCs w:val="24"/>
                <w:lang w:val="en-US" w:eastAsia="zh-CN" w:bidi="ar"/>
              </w:rPr>
              <w:t>若</w:t>
            </w:r>
            <w:r>
              <w:rPr>
                <w:rFonts w:hint="default" w:ascii="Times New Roman" w:hAnsi="Times New Roman" w:cs="Times New Roman"/>
                <w:bCs/>
                <w:color w:val="auto"/>
                <w:sz w:val="24"/>
                <w:szCs w:val="24"/>
                <w:lang w:bidi="ar"/>
              </w:rPr>
              <w:t>钻至隔水层，采用速</w:t>
            </w:r>
            <w:r>
              <w:rPr>
                <w:rFonts w:hint="default" w:ascii="Times New Roman" w:hAnsi="Times New Roman" w:eastAsia="宋体" w:cs="Times New Roman"/>
                <w:bCs/>
                <w:color w:val="auto"/>
                <w:sz w:val="24"/>
                <w:szCs w:val="24"/>
                <w:lang w:bidi="ar"/>
              </w:rPr>
              <w:t>凝水泥迅速封堵隔水层孔洞，</w:t>
            </w:r>
            <w:r>
              <w:rPr>
                <w:rFonts w:hint="eastAsia" w:ascii="Times New Roman" w:hAnsi="Times New Roman" w:eastAsia="宋体" w:cs="Times New Roman"/>
                <w:bCs/>
                <w:color w:val="auto"/>
                <w:sz w:val="24"/>
                <w:szCs w:val="24"/>
                <w:lang w:eastAsia="zh-CN" w:bidi="ar"/>
              </w:rPr>
              <w:t>防止</w:t>
            </w:r>
            <w:r>
              <w:rPr>
                <w:rFonts w:hint="default" w:ascii="Times New Roman" w:hAnsi="Times New Roman" w:eastAsia="宋体" w:cs="Times New Roman"/>
                <w:bCs/>
                <w:color w:val="auto"/>
                <w:sz w:val="24"/>
                <w:szCs w:val="24"/>
                <w:lang w:bidi="ar"/>
              </w:rPr>
              <w:t>地下水串层污染。</w:t>
            </w:r>
          </w:p>
          <w:p w14:paraId="3D29E4F9">
            <w:pPr>
              <w:pStyle w:val="58"/>
              <w:keepNext w:val="0"/>
              <w:keepLines w:val="0"/>
              <w:suppressLineNumbers w:val="0"/>
              <w:adjustRightInd/>
              <w:spacing w:before="0" w:beforeAutospacing="0" w:after="0" w:afterAutospacing="0" w:line="360" w:lineRule="auto"/>
              <w:ind w:left="0" w:right="0" w:firstLine="480" w:firstLineChars="200"/>
              <w:jc w:val="left"/>
              <w:rPr>
                <w:rFonts w:hint="eastAsia" w:ascii="Times New Roman" w:hAnsi="Times New Roman" w:eastAsia="宋体" w:cs="Times New Roman"/>
                <w:bCs/>
                <w:color w:val="auto"/>
                <w:sz w:val="24"/>
                <w:szCs w:val="24"/>
                <w:lang w:val="en-US" w:eastAsia="zh-CN" w:bidi="ar"/>
              </w:rPr>
            </w:pPr>
            <w:r>
              <w:rPr>
                <w:rFonts w:hint="eastAsia" w:ascii="Times New Roman" w:hAnsi="Times New Roman" w:eastAsia="宋体" w:cs="Times New Roman"/>
                <w:bCs/>
                <w:color w:val="auto"/>
                <w:sz w:val="24"/>
                <w:szCs w:val="24"/>
                <w:lang w:val="en-US" w:eastAsia="zh-CN" w:bidi="ar"/>
              </w:rPr>
              <w:t>（</w:t>
            </w:r>
            <w:r>
              <w:rPr>
                <w:rFonts w:hint="default" w:ascii="Times New Roman" w:hAnsi="Times New Roman" w:eastAsia="宋体" w:cs="Times New Roman"/>
                <w:bCs/>
                <w:color w:val="auto"/>
                <w:sz w:val="24"/>
                <w:szCs w:val="24"/>
                <w:lang w:val="en-US" w:eastAsia="zh-CN" w:bidi="ar"/>
              </w:rPr>
              <w:t>3）</w:t>
            </w:r>
            <w:r>
              <w:rPr>
                <w:rFonts w:hint="eastAsia" w:ascii="Times New Roman" w:hAnsi="Times New Roman" w:eastAsia="宋体" w:cs="Times New Roman"/>
                <w:bCs/>
                <w:color w:val="auto"/>
                <w:sz w:val="24"/>
                <w:szCs w:val="24"/>
                <w:lang w:val="en-US" w:eastAsia="zh-CN" w:bidi="ar"/>
              </w:rPr>
              <w:t>钻探设备、注浆设备进场后，所有涉油、涉水设备下部均铺设土工膜及防渗布，设备周围铺设围堰，防止油、水跑冒渗漏，并及时清理防渗布表面油、水等污渍。</w:t>
            </w:r>
          </w:p>
          <w:p w14:paraId="60091364">
            <w:pPr>
              <w:pStyle w:val="58"/>
              <w:keepNext w:val="0"/>
              <w:keepLines w:val="0"/>
              <w:suppressLineNumbers w:val="0"/>
              <w:adjustRightInd/>
              <w:spacing w:before="0" w:beforeAutospacing="0" w:after="0" w:afterAutospacing="0" w:line="360" w:lineRule="auto"/>
              <w:ind w:left="0" w:right="0" w:firstLine="480" w:firstLineChars="200"/>
              <w:jc w:val="left"/>
              <w:rPr>
                <w:rFonts w:hint="eastAsia" w:ascii="Times New Roman" w:hAnsi="Times New Roman" w:eastAsia="宋体" w:cs="Times New Roman"/>
                <w:bCs/>
                <w:color w:val="auto"/>
                <w:kern w:val="2"/>
                <w:sz w:val="24"/>
                <w:szCs w:val="24"/>
                <w:lang w:val="en-US" w:eastAsia="zh-CN" w:bidi="ar"/>
              </w:rPr>
            </w:pPr>
            <w:r>
              <w:rPr>
                <w:rFonts w:hint="eastAsia" w:ascii="Times New Roman" w:hAnsi="Times New Roman" w:eastAsia="宋体" w:cs="Times New Roman"/>
                <w:bCs/>
                <w:color w:val="auto"/>
                <w:sz w:val="24"/>
                <w:szCs w:val="24"/>
                <w:lang w:val="en-US" w:eastAsia="zh-CN" w:bidi="ar"/>
              </w:rPr>
              <w:t>（4</w:t>
            </w:r>
            <w:r>
              <w:rPr>
                <w:rFonts w:hint="default" w:ascii="Times New Roman" w:hAnsi="Times New Roman" w:eastAsia="宋体" w:cs="Times New Roman"/>
                <w:bCs/>
                <w:color w:val="auto"/>
                <w:sz w:val="24"/>
                <w:szCs w:val="24"/>
                <w:lang w:val="en-US" w:eastAsia="zh-CN" w:bidi="ar"/>
              </w:rPr>
              <w:t>）为有效</w:t>
            </w:r>
            <w:r>
              <w:rPr>
                <w:rFonts w:hint="default" w:ascii="Times New Roman" w:hAnsi="Times New Roman" w:eastAsia="宋体" w:cs="Times New Roman"/>
                <w:bCs/>
                <w:color w:val="auto"/>
                <w:kern w:val="2"/>
                <w:sz w:val="24"/>
                <w:szCs w:val="24"/>
                <w:lang w:val="en-US" w:eastAsia="zh-CN" w:bidi="ar"/>
              </w:rPr>
              <w:t>预防地下水及土壤污染，本项目采取分区防渗措施。根据场地内天然包气带防污性能、污染控制难易程度和污染物特性，</w:t>
            </w:r>
            <w:r>
              <w:rPr>
                <w:rFonts w:hint="eastAsia" w:ascii="Times New Roman" w:hAnsi="Times New Roman" w:eastAsia="宋体" w:cs="Times New Roman"/>
                <w:color w:val="auto"/>
                <w:sz w:val="24"/>
                <w:szCs w:val="24"/>
                <w:highlight w:val="none"/>
                <w:lang w:val="en-US" w:eastAsia="zh-CN"/>
              </w:rPr>
              <w:t>钻台区</w:t>
            </w:r>
            <w:r>
              <w:rPr>
                <w:rFonts w:hint="eastAsia" w:ascii="Times New Roman" w:hAnsi="Times New Roman" w:eastAsia="宋体" w:cs="Times New Roman"/>
                <w:color w:val="auto"/>
                <w:spacing w:val="-3"/>
                <w:sz w:val="24"/>
                <w:szCs w:val="24"/>
                <w:highlight w:val="none"/>
                <w:lang w:val="en-US" w:eastAsia="zh-CN"/>
              </w:rPr>
              <w:t>、</w:t>
            </w:r>
            <w:r>
              <w:rPr>
                <w:rFonts w:hint="eastAsia" w:ascii="Times New Roman" w:hAnsi="Times New Roman" w:cs="Times New Roman"/>
                <w:color w:val="auto"/>
                <w:spacing w:val="-3"/>
                <w:sz w:val="24"/>
                <w:szCs w:val="24"/>
                <w:highlight w:val="none"/>
                <w:lang w:val="en-US" w:eastAsia="zh-CN"/>
              </w:rPr>
              <w:t>泥浆池</w:t>
            </w:r>
            <w:r>
              <w:rPr>
                <w:rFonts w:hint="eastAsia" w:ascii="Times New Roman" w:hAnsi="Times New Roman" w:eastAsia="宋体" w:cs="Times New Roman"/>
                <w:bCs/>
                <w:color w:val="auto"/>
                <w:kern w:val="2"/>
                <w:sz w:val="24"/>
                <w:szCs w:val="24"/>
                <w:lang w:val="en-US" w:eastAsia="zh-CN" w:bidi="ar"/>
              </w:rPr>
              <w:t>等为一般防渗；其他区域为简单防渗。</w:t>
            </w:r>
          </w:p>
          <w:p w14:paraId="2362C5BF">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cs="Times New Roman"/>
                <w:b/>
                <w:color w:val="auto"/>
                <w:sz w:val="24"/>
                <w:szCs w:val="24"/>
              </w:rPr>
            </w:pPr>
            <w:r>
              <w:rPr>
                <w:rFonts w:hint="eastAsia" w:cs="Times New Roman"/>
                <w:b/>
                <w:color w:val="auto"/>
                <w:sz w:val="24"/>
                <w:szCs w:val="24"/>
                <w:lang w:val="en-US" w:eastAsia="zh-CN"/>
              </w:rPr>
              <w:t>7、施工期</w:t>
            </w:r>
            <w:r>
              <w:rPr>
                <w:rFonts w:hint="eastAsia" w:ascii="Times New Roman" w:hAnsi="Times New Roman" w:cs="Times New Roman"/>
                <w:b/>
                <w:color w:val="auto"/>
                <w:sz w:val="24"/>
                <w:szCs w:val="24"/>
              </w:rPr>
              <w:t>环境风险防范措施</w:t>
            </w:r>
          </w:p>
          <w:p w14:paraId="1B435F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cs="Times New Roman"/>
                <w:bCs/>
                <w:color w:val="auto"/>
                <w:spacing w:val="0"/>
                <w:kern w:val="2"/>
                <w:sz w:val="24"/>
                <w:szCs w:val="24"/>
                <w:lang w:val="en-US" w:eastAsia="zh-CN" w:bidi="ar"/>
              </w:rPr>
            </w:pPr>
            <w:r>
              <w:rPr>
                <w:rFonts w:hint="eastAsia" w:cs="Times New Roman"/>
                <w:bCs/>
                <w:color w:val="auto"/>
                <w:spacing w:val="0"/>
                <w:kern w:val="2"/>
                <w:sz w:val="24"/>
                <w:szCs w:val="24"/>
                <w:lang w:val="en-US" w:eastAsia="zh-CN" w:bidi="ar"/>
              </w:rPr>
              <w:t>为保障火区治理过程中的环境保护，预防环境污染事故的发生，降低事故对环境的影响，提高施工队伍应对突发环境事件的能力，建立突发环境事件应急预案体系。</w:t>
            </w:r>
          </w:p>
          <w:p w14:paraId="1E1F0B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cs="Times New Roman"/>
                <w:bCs/>
                <w:color w:val="auto"/>
                <w:spacing w:val="0"/>
                <w:kern w:val="2"/>
                <w:sz w:val="24"/>
                <w:szCs w:val="24"/>
                <w:lang w:val="en-US" w:eastAsia="zh-CN" w:bidi="ar"/>
              </w:rPr>
            </w:pPr>
            <w:r>
              <w:rPr>
                <w:rFonts w:hint="eastAsia" w:cs="Times New Roman"/>
                <w:bCs/>
                <w:color w:val="auto"/>
                <w:spacing w:val="0"/>
                <w:kern w:val="2"/>
                <w:sz w:val="24"/>
                <w:szCs w:val="24"/>
                <w:lang w:val="en-US" w:eastAsia="zh-CN" w:bidi="ar"/>
              </w:rPr>
              <w:t>（1）组织机构及职责</w:t>
            </w:r>
          </w:p>
          <w:p w14:paraId="795F66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cs="Times New Roman"/>
                <w:bCs/>
                <w:color w:val="auto"/>
                <w:spacing w:val="0"/>
                <w:kern w:val="2"/>
                <w:sz w:val="24"/>
                <w:szCs w:val="24"/>
                <w:lang w:val="en-US" w:eastAsia="zh-CN" w:bidi="ar"/>
              </w:rPr>
            </w:pPr>
            <w:r>
              <w:rPr>
                <w:rFonts w:hint="eastAsia" w:cs="Times New Roman"/>
                <w:bCs/>
                <w:color w:val="auto"/>
                <w:spacing w:val="0"/>
                <w:kern w:val="2"/>
                <w:sz w:val="24"/>
                <w:szCs w:val="24"/>
                <w:lang w:val="en-US" w:eastAsia="zh-CN" w:bidi="ar"/>
              </w:rPr>
              <w:t>环保应急领导小组：负责组织、协调、指挥施工队环保应急工作。</w:t>
            </w:r>
          </w:p>
          <w:p w14:paraId="6F64A9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cs="Times New Roman"/>
                <w:bCs/>
                <w:color w:val="auto"/>
                <w:spacing w:val="0"/>
                <w:kern w:val="2"/>
                <w:sz w:val="24"/>
                <w:szCs w:val="24"/>
                <w:lang w:val="en-US" w:eastAsia="zh-CN" w:bidi="ar"/>
              </w:rPr>
            </w:pPr>
            <w:r>
              <w:rPr>
                <w:rFonts w:hint="eastAsia" w:cs="Times New Roman"/>
                <w:bCs/>
                <w:color w:val="auto"/>
                <w:spacing w:val="0"/>
                <w:kern w:val="2"/>
                <w:sz w:val="24"/>
                <w:szCs w:val="24"/>
                <w:lang w:val="en-US" w:eastAsia="zh-CN" w:bidi="ar"/>
              </w:rPr>
              <w:t>环保应急小组：负责具体实施环保应急措施。</w:t>
            </w:r>
          </w:p>
          <w:p w14:paraId="2F6E30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cs="Times New Roman"/>
                <w:bCs/>
                <w:color w:val="auto"/>
                <w:spacing w:val="0"/>
                <w:kern w:val="2"/>
                <w:sz w:val="24"/>
                <w:szCs w:val="24"/>
                <w:lang w:val="en-US" w:eastAsia="zh-CN" w:bidi="ar"/>
              </w:rPr>
            </w:pPr>
            <w:r>
              <w:rPr>
                <w:rFonts w:hint="eastAsia" w:cs="Times New Roman"/>
                <w:bCs/>
                <w:color w:val="auto"/>
                <w:spacing w:val="0"/>
                <w:kern w:val="2"/>
                <w:sz w:val="24"/>
                <w:szCs w:val="24"/>
                <w:lang w:val="en-US" w:eastAsia="zh-CN" w:bidi="ar"/>
              </w:rPr>
              <w:t>（2）事故分级及响应</w:t>
            </w:r>
          </w:p>
          <w:p w14:paraId="0AB592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spacing w:val="0"/>
                <w:kern w:val="2"/>
                <w:sz w:val="24"/>
                <w:szCs w:val="24"/>
                <w:lang w:val="en-US" w:eastAsia="zh-CN" w:bidi="ar"/>
              </w:rPr>
            </w:pPr>
            <w:r>
              <w:rPr>
                <w:rFonts w:hint="eastAsia" w:ascii="Times New Roman" w:hAnsi="Times New Roman" w:eastAsia="宋体" w:cs="Times New Roman"/>
                <w:bCs/>
                <w:color w:val="auto"/>
                <w:spacing w:val="0"/>
                <w:kern w:val="2"/>
                <w:sz w:val="24"/>
                <w:szCs w:val="24"/>
                <w:lang w:val="en-US" w:eastAsia="zh-CN" w:bidi="ar"/>
              </w:rPr>
              <w:t>①事故分级</w:t>
            </w:r>
          </w:p>
          <w:p w14:paraId="382A68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spacing w:val="0"/>
                <w:kern w:val="2"/>
                <w:sz w:val="24"/>
                <w:szCs w:val="24"/>
                <w:lang w:val="en-US" w:eastAsia="zh-CN" w:bidi="ar"/>
              </w:rPr>
            </w:pPr>
            <w:r>
              <w:rPr>
                <w:rFonts w:hint="eastAsia" w:ascii="Times New Roman" w:hAnsi="Times New Roman" w:eastAsia="宋体" w:cs="Times New Roman"/>
                <w:bCs/>
                <w:color w:val="auto"/>
                <w:spacing w:val="0"/>
                <w:kern w:val="2"/>
                <w:sz w:val="24"/>
                <w:szCs w:val="24"/>
                <w:lang w:val="en-US" w:eastAsia="zh-CN" w:bidi="ar"/>
              </w:rPr>
              <w:t>根据事故的严重程度和影响范围，将事故分为四个等级：一般事故：对环境造成一定影响，但未对人民群众生命财产安全造成威胁。较大事故：对环境造成较大影响，可能对人民群众生命财产安全造成威胁。重大事故：对环境造成严重影响，可能对人民群众生命财产安全造成严重威胁。特别重大事故：对环境造成极其严重影响，可能对人民群众生命财产安全造成极大威胁。</w:t>
            </w:r>
          </w:p>
          <w:p w14:paraId="4B3920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宋体" w:cs="Times New Roman"/>
                <w:bCs/>
                <w:color w:val="auto"/>
                <w:spacing w:val="0"/>
                <w:kern w:val="2"/>
                <w:sz w:val="24"/>
                <w:szCs w:val="24"/>
                <w:lang w:val="en-US" w:eastAsia="zh-CN" w:bidi="ar"/>
              </w:rPr>
              <w:t>②响应</w:t>
            </w:r>
          </w:p>
          <w:p w14:paraId="6872A5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宋体" w:cs="Times New Roman"/>
                <w:bCs/>
                <w:color w:val="auto"/>
                <w:spacing w:val="0"/>
                <w:kern w:val="2"/>
                <w:sz w:val="24"/>
                <w:szCs w:val="24"/>
                <w:lang w:val="en-US" w:eastAsia="zh-CN" w:bidi="ar"/>
              </w:rPr>
              <w:t>一般事故：现场救援小组立即进行处置，监测小组进行监测，医疗救护小组做好应急准备。较大事故：启动应急响应，现场救援小组、监测小组、医疗救护小组全力进行处置，向上级主管部门报告。重大事故：启动应急响应，向上级主管部门报告，请求支援，全面进行处置。特别重大事故：启动应急响应，向上级主管部门报告，请求支援，全力进行处置。</w:t>
            </w:r>
          </w:p>
          <w:p w14:paraId="5B2BBA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宋体" w:cs="Times New Roman"/>
                <w:bCs/>
                <w:color w:val="auto"/>
                <w:spacing w:val="0"/>
                <w:kern w:val="2"/>
                <w:sz w:val="24"/>
                <w:szCs w:val="24"/>
                <w:lang w:val="en-US" w:eastAsia="zh-CN" w:bidi="ar"/>
              </w:rPr>
              <w:t>（3）风险防范措施</w:t>
            </w:r>
          </w:p>
          <w:p w14:paraId="74238F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Times New Roman" w:hAnsi="Times New Roman" w:eastAsia="宋体" w:cs="Times New Roman"/>
                <w:bCs/>
                <w:color w:val="auto"/>
                <w:spacing w:val="0"/>
                <w:kern w:val="2"/>
                <w:sz w:val="24"/>
                <w:szCs w:val="24"/>
                <w:lang w:val="en-US" w:eastAsia="zh-CN" w:bidi="ar"/>
              </w:rPr>
              <w:t>1）爆破风险防范措施</w:t>
            </w:r>
          </w:p>
          <w:p w14:paraId="19C263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spacing w:val="0"/>
                <w:kern w:val="2"/>
                <w:sz w:val="24"/>
                <w:szCs w:val="24"/>
                <w:lang w:val="en-US" w:eastAsia="zh-CN" w:bidi="ar"/>
              </w:rPr>
            </w:pPr>
            <w:r>
              <w:rPr>
                <w:rFonts w:hint="eastAsia" w:ascii="Times New Roman" w:hAnsi="Times New Roman" w:eastAsia="宋体" w:cs="Times New Roman"/>
                <w:bCs/>
                <w:color w:val="auto"/>
                <w:spacing w:val="0"/>
                <w:kern w:val="2"/>
                <w:sz w:val="24"/>
                <w:szCs w:val="24"/>
                <w:lang w:val="en-US" w:eastAsia="zh-CN" w:bidi="ar"/>
              </w:rPr>
              <w:t>由于爆破作业自身具有很大危害性，爆破必须严格执行《爆破安全规程》</w:t>
            </w:r>
            <w:r>
              <w:rPr>
                <w:rFonts w:hint="eastAsia" w:cs="Times New Roman"/>
                <w:bCs/>
                <w:color w:val="auto"/>
                <w:spacing w:val="0"/>
                <w:kern w:val="2"/>
                <w:sz w:val="24"/>
                <w:szCs w:val="24"/>
                <w:lang w:val="en-US" w:eastAsia="zh-CN" w:bidi="ar"/>
              </w:rPr>
              <w:t>。</w:t>
            </w:r>
            <w:r>
              <w:rPr>
                <w:rFonts w:hint="eastAsia" w:ascii="Times New Roman" w:hAnsi="Times New Roman" w:eastAsia="宋体" w:cs="Times New Roman"/>
                <w:bCs/>
                <w:color w:val="auto"/>
                <w:spacing w:val="0"/>
                <w:kern w:val="2"/>
                <w:sz w:val="24"/>
                <w:szCs w:val="24"/>
                <w:lang w:val="en-US" w:eastAsia="zh-CN" w:bidi="ar"/>
              </w:rPr>
              <w:t>穿孔作业严格按设计穿孔参数</w:t>
            </w:r>
            <w:r>
              <w:rPr>
                <w:rFonts w:hint="eastAsia" w:cs="Times New Roman"/>
                <w:bCs/>
                <w:color w:val="auto"/>
                <w:spacing w:val="0"/>
                <w:kern w:val="2"/>
                <w:sz w:val="24"/>
                <w:szCs w:val="24"/>
                <w:lang w:val="en-US" w:eastAsia="zh-CN" w:bidi="ar"/>
              </w:rPr>
              <w:t>进行</w:t>
            </w:r>
            <w:r>
              <w:rPr>
                <w:rFonts w:hint="eastAsia" w:ascii="Times New Roman" w:hAnsi="Times New Roman" w:eastAsia="宋体" w:cs="Times New Roman"/>
                <w:bCs/>
                <w:color w:val="auto"/>
                <w:spacing w:val="0"/>
                <w:kern w:val="2"/>
                <w:sz w:val="24"/>
                <w:szCs w:val="24"/>
                <w:lang w:val="en-US" w:eastAsia="zh-CN" w:bidi="ar"/>
              </w:rPr>
              <w:t xml:space="preserve"> ，穿孔机配备除尘设施；钻机穿孔作业和行走时，履带边缘距坡顶线的距离不得小于2.5m；穿凿坡顶线第一排孔时，穿孔机应垂直于台阶坡顶线或调角布置</w:t>
            </w:r>
            <w:r>
              <w:rPr>
                <w:rFonts w:hint="eastAsia" w:cs="Times New Roman"/>
                <w:bCs/>
                <w:color w:val="auto"/>
                <w:spacing w:val="0"/>
                <w:kern w:val="2"/>
                <w:sz w:val="24"/>
                <w:szCs w:val="24"/>
                <w:lang w:val="en-US" w:eastAsia="zh-CN" w:bidi="ar"/>
              </w:rPr>
              <w:t>，</w:t>
            </w:r>
            <w:r>
              <w:rPr>
                <w:rFonts w:hint="eastAsia" w:ascii="Times New Roman" w:hAnsi="Times New Roman" w:eastAsia="宋体" w:cs="Times New Roman"/>
                <w:bCs/>
                <w:color w:val="auto"/>
                <w:spacing w:val="0"/>
                <w:kern w:val="2"/>
                <w:sz w:val="24"/>
                <w:szCs w:val="24"/>
                <w:lang w:val="en-US" w:eastAsia="zh-CN" w:bidi="ar"/>
              </w:rPr>
              <w:t>在有顺层滑坡危险区，必须压碴穿孔；钻凿坡底线第一排孔时，应当有专人监护；爆炸材料的购买、运输、储存、使用和销毁，必须符合国家有关法规和标准的规定。爆破作业使用的器材，必须符合国家或行业标准；装药前在爆破区边界设置明显标志，严禁与工作无关人员和车辆进入爆破区；装药时，每个炮孔同时操作人员不应超过3人，严禁向炮孔内投掷起爆具和受冲击易爆的炸药，严禁使用塑料、金属或带金属包头的炮杆；炮孔卡堵或雷管脚绊、导爆管损坏时应及时处理，无法处理时必须插上标志，按拒爆处理。机械化装药时由专人现场指挥；爆破时必须有安全警戒负责人，并向爆破区周围派出警戒人员，警戒负责人与警戒人员之间应实行“三联系制”，因爆破发生中断生产事故时，应立即报告矿调度室，采取措施后方可解除警戒；在爆区四周外围的警戒人员要防止其它人员误入。警戒距离不得小于230m。机动设备不得停留在爆区附近，如不能撤离，应采取保护措施</w:t>
            </w:r>
            <w:r>
              <w:rPr>
                <w:rFonts w:hint="eastAsia" w:cs="Times New Roman"/>
                <w:bCs/>
                <w:color w:val="auto"/>
                <w:spacing w:val="0"/>
                <w:kern w:val="2"/>
                <w:sz w:val="24"/>
                <w:szCs w:val="24"/>
                <w:lang w:val="en-US" w:eastAsia="zh-CN" w:bidi="ar"/>
              </w:rPr>
              <w:t>。</w:t>
            </w:r>
            <w:r>
              <w:rPr>
                <w:rFonts w:hint="eastAsia" w:ascii="Times New Roman" w:hAnsi="Times New Roman" w:eastAsia="宋体" w:cs="Times New Roman"/>
                <w:bCs/>
                <w:color w:val="auto"/>
                <w:spacing w:val="0"/>
                <w:kern w:val="2"/>
                <w:sz w:val="24"/>
                <w:szCs w:val="24"/>
                <w:lang w:val="en-US" w:eastAsia="zh-CN" w:bidi="ar"/>
              </w:rPr>
              <w:t>对从事爆破的职工，必须经过严格的培训，掌握火工品的性能，熟悉爆破安全规程，事故预防及事故处理等知识，放炮员必须持证上岗；爆破工作要根据设计文件或爆破方案进行，每个爆破工地都要有专人负责放炮指挥和组织安全警戒工作；爆破作业必须在白天进行，严禁在雷雨时进行；严禁裸露爆破；在爆破区域内放置和使用爆炸材料过程中，20m内严禁烟火，10m内严禁非工作人员进入。</w:t>
            </w:r>
          </w:p>
          <w:p w14:paraId="3AD50E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宋体" w:cs="Times New Roman"/>
                <w:bCs/>
                <w:color w:val="auto"/>
                <w:spacing w:val="0"/>
                <w:kern w:val="2"/>
                <w:sz w:val="24"/>
                <w:szCs w:val="24"/>
                <w:lang w:val="en-US" w:eastAsia="zh-CN" w:bidi="ar"/>
              </w:rPr>
              <w:t>2）火区治理复燃风险</w:t>
            </w:r>
            <w:r>
              <w:rPr>
                <w:rFonts w:hint="eastAsia" w:ascii="Times New Roman" w:hAnsi="Times New Roman" w:eastAsia="宋体" w:cs="Times New Roman"/>
                <w:bCs/>
                <w:color w:val="auto"/>
                <w:spacing w:val="0"/>
                <w:kern w:val="2"/>
                <w:sz w:val="24"/>
                <w:szCs w:val="24"/>
                <w:lang w:val="en-US" w:eastAsia="zh-CN" w:bidi="ar"/>
              </w:rPr>
              <w:t>防范措施</w:t>
            </w:r>
          </w:p>
          <w:p w14:paraId="55E95A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①</w:t>
            </w:r>
            <w:r>
              <w:rPr>
                <w:rFonts w:hint="default" w:ascii="Times New Roman" w:hAnsi="Times New Roman" w:eastAsia="宋体" w:cs="Times New Roman"/>
                <w:bCs/>
                <w:color w:val="auto"/>
                <w:spacing w:val="0"/>
                <w:kern w:val="2"/>
                <w:sz w:val="24"/>
                <w:szCs w:val="24"/>
                <w:lang w:val="en-US" w:eastAsia="zh-CN" w:bidi="ar"/>
              </w:rPr>
              <w:t>为防止火区复燃，在剥离过程中，将火区地表裂隙、塌陷坑填平。火区的覆盖面积和厚度（不应小于1.5m）必须达到设计要求，且覆盖区必须普遍压实。</w:t>
            </w:r>
          </w:p>
          <w:p w14:paraId="48EA9B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②</w:t>
            </w:r>
            <w:r>
              <w:rPr>
                <w:rFonts w:hint="eastAsia" w:ascii="Times New Roman" w:hAnsi="Times New Roman" w:eastAsia="宋体" w:cs="Times New Roman"/>
                <w:bCs/>
                <w:color w:val="auto"/>
                <w:spacing w:val="0"/>
                <w:kern w:val="2"/>
                <w:sz w:val="24"/>
                <w:szCs w:val="24"/>
                <w:lang w:val="en-US" w:eastAsia="zh-CN" w:bidi="ar"/>
              </w:rPr>
              <w:t>规范施工工艺，规避人为扰动复燃风险。治理收尾阶段，严禁大流量高压注水、高强度注浆扰动采空区，防止水体贯通裂隙形成新的漏风通风通道。禁止随意开挖、碾压、扰动已降温封闭治理区域，保护封堵结构完整性，避免裂隙重新张开诱发复燃。</w:t>
            </w:r>
          </w:p>
          <w:p w14:paraId="7A50FC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③</w:t>
            </w:r>
            <w:r>
              <w:rPr>
                <w:rFonts w:hint="eastAsia" w:ascii="Times New Roman" w:hAnsi="Times New Roman" w:eastAsia="宋体" w:cs="Times New Roman"/>
                <w:bCs/>
                <w:color w:val="auto"/>
                <w:spacing w:val="0"/>
                <w:kern w:val="2"/>
                <w:sz w:val="24"/>
                <w:szCs w:val="24"/>
                <w:lang w:val="en-US" w:eastAsia="zh-CN" w:bidi="ar"/>
              </w:rPr>
              <w:t>建立长期巡查监测机制，动态防控复燃风险。工程完工后进入稳定观测期，实行24小时常态化监测巡查，重点监测区域温度、CO浓度、地表冒汽、热异常、植被灼烧、地面返温等复燃前兆。监测数据出现异常时，立即启动应急处置，开展二次注浆、降温、封堵作业，及时消除萌芽火情。</w:t>
            </w:r>
          </w:p>
          <w:p w14:paraId="480E9C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④</w:t>
            </w:r>
            <w:r>
              <w:rPr>
                <w:rFonts w:hint="eastAsia" w:ascii="Times New Roman" w:hAnsi="Times New Roman" w:eastAsia="宋体" w:cs="Times New Roman"/>
                <w:bCs/>
                <w:color w:val="auto"/>
                <w:spacing w:val="0"/>
                <w:kern w:val="2"/>
                <w:sz w:val="24"/>
                <w:szCs w:val="24"/>
                <w:lang w:val="en-US" w:eastAsia="zh-CN" w:bidi="ar"/>
              </w:rPr>
              <w:t>严格落实竣工复核保稳措施。工程竣工前开展全域全覆盖复检，确保治理区域无高温异常、无有毒有害气体溢出、无漏风渗水通道、无地表热显现。竣工后设置专人值守巡查，持续跟踪火区稳定性，确保火情彻底根除、永不复燃，实现长效治理效果。</w:t>
            </w:r>
          </w:p>
          <w:p w14:paraId="69E2A4C4">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spacing w:val="0"/>
                <w:kern w:val="2"/>
                <w:sz w:val="24"/>
                <w:szCs w:val="24"/>
                <w:lang w:val="en-US" w:eastAsia="zh-CN" w:bidi="ar"/>
              </w:rPr>
            </w:pPr>
            <w:r>
              <w:rPr>
                <w:rFonts w:hint="eastAsia" w:ascii="Times New Roman" w:hAnsi="Times New Roman" w:eastAsia="宋体" w:cs="Times New Roman"/>
                <w:bCs/>
                <w:color w:val="auto"/>
                <w:spacing w:val="0"/>
                <w:kern w:val="2"/>
                <w:sz w:val="24"/>
                <w:szCs w:val="24"/>
                <w:lang w:val="en-US" w:eastAsia="zh-CN" w:bidi="ar"/>
              </w:rPr>
              <w:t>有毒有害气体预防措施</w:t>
            </w:r>
          </w:p>
          <w:p w14:paraId="6AE14CC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宋体" w:cs="Times New Roman"/>
                <w:bCs/>
                <w:color w:val="auto"/>
                <w:spacing w:val="0"/>
                <w:kern w:val="2"/>
                <w:sz w:val="24"/>
                <w:szCs w:val="24"/>
                <w:lang w:val="en-US" w:eastAsia="zh-CN" w:bidi="ar"/>
              </w:rPr>
              <w:t>进入空区作业时，必须由专职人员对全体职工进行培训，保证全体职工具备采空区作业的一般常识，掌握相关自救仪器的使用。空区清理必须顺风方向作业，严禁逆风方向作业， 防止有毒气体侵入。外委单位负责采购测温仪、组合气体监测仪、自救器等工具仪器并及时配发给现场作业人员及设备。现场作业中及时检查仪器设备使用情况 ，检查灭火器配备情况，确保设施设备完好。作业前，必须由管理人员确认现场作业环境，检测火区地表温度及有毒气体浓度，确认安全后方可作业。如地表温度高和有毒气体浓度大时，必须经过专职人员处理，保证满足设备和人员作业条件。在施工作业过程中，需对火区周边随时监测有毒有害气体，若发现存在有毒有害气体的情况则应立即做出相关的警示标识并在相关区域及周边50m范围内停止施工，上报相关部门由专业人员对气体源头进行专门处理，待监测的气体指标恢复正常后方可继续施工。</w:t>
            </w:r>
          </w:p>
          <w:p w14:paraId="6B91ECF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Times New Roman" w:hAnsi="Times New Roman" w:eastAsia="宋体" w:cs="Times New Roman"/>
                <w:bCs/>
                <w:color w:val="auto"/>
                <w:spacing w:val="0"/>
                <w:kern w:val="2"/>
                <w:sz w:val="24"/>
                <w:szCs w:val="24"/>
                <w:lang w:val="en-US" w:eastAsia="zh-CN" w:bidi="ar"/>
              </w:rPr>
              <w:t>4</w:t>
            </w:r>
            <w:r>
              <w:rPr>
                <w:rFonts w:hint="default" w:ascii="Times New Roman" w:hAnsi="Times New Roman" w:eastAsia="宋体" w:cs="Times New Roman"/>
                <w:bCs/>
                <w:color w:val="auto"/>
                <w:spacing w:val="0"/>
                <w:kern w:val="2"/>
                <w:sz w:val="24"/>
                <w:szCs w:val="24"/>
                <w:lang w:val="en-US" w:eastAsia="zh-CN" w:bidi="ar"/>
              </w:rPr>
              <w:t>）火区治理</w:t>
            </w:r>
            <w:r>
              <w:rPr>
                <w:rFonts w:hint="eastAsia" w:ascii="Times New Roman" w:hAnsi="Times New Roman" w:eastAsia="宋体" w:cs="Times New Roman"/>
                <w:bCs/>
                <w:color w:val="auto"/>
                <w:spacing w:val="0"/>
                <w:kern w:val="2"/>
                <w:sz w:val="24"/>
                <w:szCs w:val="24"/>
                <w:lang w:val="en-US" w:eastAsia="zh-CN" w:bidi="ar"/>
              </w:rPr>
              <w:t>高温爆喷风险防范措施</w:t>
            </w:r>
          </w:p>
          <w:p w14:paraId="530669AE">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针对火区高温腔体、可燃气体积聚、注水注浆扰动引发的水煤气爆喷、蒸汽超压喷突、可燃气体爆燃等风险，采用“先探测、先泄压、慢降温、控工艺、强预警”的专项防控方法，具体措施如下：</w:t>
            </w:r>
          </w:p>
          <w:p w14:paraId="0D13E9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①</w:t>
            </w:r>
            <w:r>
              <w:rPr>
                <w:rFonts w:hint="default" w:ascii="Times New Roman" w:hAnsi="Times New Roman" w:eastAsia="宋体" w:cs="Times New Roman"/>
                <w:bCs/>
                <w:color w:val="auto"/>
                <w:spacing w:val="0"/>
                <w:kern w:val="2"/>
                <w:sz w:val="24"/>
                <w:szCs w:val="24"/>
                <w:lang w:val="en-US" w:eastAsia="zh-CN" w:bidi="ar"/>
              </w:rPr>
              <w:t>施工前采用钻孔测温、气体检测（CO、H₂、瓦斯）、瞬变电磁探测，精准圈定高温燃烧中心、密闭空腔、可燃气体富集区。对孔温≥400℃、有害气体超标的极高风险点位单独挂牌管控，严禁常规注水施工，实行一孔一策专项施工方案。</w:t>
            </w:r>
          </w:p>
          <w:p w14:paraId="52EFACB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②</w:t>
            </w:r>
            <w:r>
              <w:rPr>
                <w:rFonts w:hint="default" w:ascii="Times New Roman" w:hAnsi="Times New Roman" w:eastAsia="宋体" w:cs="Times New Roman"/>
                <w:bCs/>
                <w:color w:val="auto"/>
                <w:spacing w:val="0"/>
                <w:kern w:val="2"/>
                <w:sz w:val="24"/>
                <w:szCs w:val="24"/>
                <w:lang w:val="en-US" w:eastAsia="zh-CN" w:bidi="ar"/>
              </w:rPr>
              <w:t>所有高温灭火钻孔施工时配套设置泄压观测孔，保持孔口敞开泄压，杜绝密闭空间压力积聚。揭露地下空洞、裂隙发育区域时，提前抽排孔内可燃气体，待气体浓度降至安全阈值后方可开展降温作业。地表原生裂缝、施工新生裂缝及时疏通导流，防止地下高压气体憋压。</w:t>
            </w:r>
          </w:p>
          <w:p w14:paraId="0E484B0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③</w:t>
            </w:r>
            <w:r>
              <w:rPr>
                <w:rFonts w:hint="default" w:ascii="Times New Roman" w:hAnsi="Times New Roman" w:eastAsia="宋体" w:cs="Times New Roman"/>
                <w:bCs/>
                <w:color w:val="auto"/>
                <w:spacing w:val="0"/>
                <w:kern w:val="2"/>
                <w:sz w:val="24"/>
                <w:szCs w:val="24"/>
                <w:lang w:val="en-US" w:eastAsia="zh-CN" w:bidi="ar"/>
              </w:rPr>
              <w:t>严格禁止大流量、高压直注高温燃空区，全程采用小流量、间歇式、循环降温工艺：单次注水/注浆10–20分钟，停机静置泄压30分钟以上，待孔内蒸汽、压力释放完毕后再次施工。高温核心区优先采用凝胶、阻化浆液、粉煤灰浆封堵降温，替代清水降温，从根</w:t>
            </w:r>
            <w:r>
              <w:rPr>
                <w:rFonts w:hint="eastAsia" w:cs="Times New Roman"/>
                <w:bCs/>
                <w:color w:val="auto"/>
                <w:spacing w:val="0"/>
                <w:kern w:val="2"/>
                <w:sz w:val="24"/>
                <w:szCs w:val="24"/>
                <w:lang w:val="en-US" w:eastAsia="zh-CN" w:bidi="ar"/>
              </w:rPr>
              <w:t>源上</w:t>
            </w:r>
            <w:r>
              <w:rPr>
                <w:rFonts w:hint="default" w:ascii="Times New Roman" w:hAnsi="Times New Roman" w:eastAsia="宋体" w:cs="Times New Roman"/>
                <w:bCs/>
                <w:color w:val="auto"/>
                <w:spacing w:val="0"/>
                <w:kern w:val="2"/>
                <w:sz w:val="24"/>
                <w:szCs w:val="24"/>
                <w:lang w:val="en-US" w:eastAsia="zh-CN" w:bidi="ar"/>
              </w:rPr>
              <w:t>减少水煤气反应生成。采用套管分段隔离工艺，避免冷水直接冲击高温煤岩体。</w:t>
            </w:r>
          </w:p>
          <w:p w14:paraId="4660D9D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④</w:t>
            </w:r>
            <w:r>
              <w:rPr>
                <w:rFonts w:hint="default" w:ascii="Times New Roman" w:hAnsi="Times New Roman" w:eastAsia="宋体" w:cs="Times New Roman"/>
                <w:bCs/>
                <w:color w:val="auto"/>
                <w:spacing w:val="0"/>
                <w:kern w:val="2"/>
                <w:sz w:val="24"/>
                <w:szCs w:val="24"/>
                <w:lang w:val="en-US" w:eastAsia="zh-CN" w:bidi="ar"/>
              </w:rPr>
              <w:t>作业人员全程站位于钻孔上风侧，严禁正对孔口作业，配备远程启停注水系统、防爆挡板，实现远距离操作。高温作业必须佩戴正压式空气呼吸器、耐高温防护服、防烫手套。划定50m爆喷警戒禁区，严禁无关人员进入，现场布设实时气体、温度在线监测设备，超标立即停工撤离。密闭封堵作业分层施工，预留泄压管，待内部温度、压力稳定后完全封闭。</w:t>
            </w:r>
          </w:p>
          <w:p w14:paraId="216B13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⑤</w:t>
            </w:r>
            <w:r>
              <w:rPr>
                <w:rFonts w:hint="default" w:ascii="Times New Roman" w:hAnsi="Times New Roman" w:eastAsia="宋体" w:cs="Times New Roman"/>
                <w:bCs/>
                <w:color w:val="auto"/>
                <w:spacing w:val="0"/>
                <w:kern w:val="2"/>
                <w:sz w:val="24"/>
                <w:szCs w:val="24"/>
                <w:lang w:val="en-US" w:eastAsia="zh-CN" w:bidi="ar"/>
              </w:rPr>
              <w:t>突发喷突、冒汽、气体骤升时，立即远程关停供水、注浆设备，所有人员快速向上风向安全区域撤离，严禁近距离封堵、观望。待孔内压力、温度自然回落、气体检测合格后，方可复工处置。</w:t>
            </w:r>
          </w:p>
          <w:p w14:paraId="729620D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Times New Roman" w:hAnsi="Times New Roman" w:eastAsia="宋体" w:cs="Times New Roman"/>
                <w:bCs/>
                <w:color w:val="auto"/>
                <w:spacing w:val="0"/>
                <w:kern w:val="2"/>
                <w:sz w:val="24"/>
                <w:szCs w:val="24"/>
                <w:lang w:val="en-US" w:eastAsia="zh-CN" w:bidi="ar"/>
              </w:rPr>
              <w:t>5</w:t>
            </w:r>
            <w:r>
              <w:rPr>
                <w:rFonts w:hint="default" w:ascii="Times New Roman" w:hAnsi="Times New Roman" w:eastAsia="宋体" w:cs="Times New Roman"/>
                <w:bCs/>
                <w:color w:val="auto"/>
                <w:spacing w:val="0"/>
                <w:kern w:val="2"/>
                <w:sz w:val="24"/>
                <w:szCs w:val="24"/>
                <w:lang w:val="en-US" w:eastAsia="zh-CN" w:bidi="ar"/>
              </w:rPr>
              <w:t>）火区治理</w:t>
            </w:r>
            <w:r>
              <w:rPr>
                <w:rFonts w:hint="eastAsia" w:ascii="Times New Roman" w:hAnsi="Times New Roman" w:eastAsia="宋体" w:cs="Times New Roman"/>
                <w:bCs/>
                <w:color w:val="auto"/>
                <w:spacing w:val="0"/>
                <w:kern w:val="2"/>
                <w:sz w:val="24"/>
                <w:szCs w:val="24"/>
                <w:lang w:val="en-US" w:eastAsia="zh-CN" w:bidi="ar"/>
              </w:rPr>
              <w:t>采空塌陷风险防范措施</w:t>
            </w:r>
          </w:p>
          <w:p w14:paraId="6B42AE2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①</w:t>
            </w:r>
            <w:r>
              <w:rPr>
                <w:rFonts w:hint="default" w:ascii="Times New Roman" w:hAnsi="Times New Roman" w:eastAsia="宋体" w:cs="Times New Roman"/>
                <w:bCs/>
                <w:color w:val="auto"/>
                <w:spacing w:val="0"/>
                <w:kern w:val="2"/>
                <w:sz w:val="24"/>
                <w:szCs w:val="24"/>
                <w:lang w:val="en-US" w:eastAsia="zh-CN" w:bidi="ar"/>
              </w:rPr>
              <w:t>施工前采用瞬变电磁、高密度电法、地质雷达及超前钻孔探测，全面查明地下火烧采空区分布、空洞规模、顶板破碎范围、裂隙发育情况。根据采空埋深、顶板完整性、燃烧破坏程度划分高、中、低塌陷风险区，对极高风险区域挂牌隔离、禁止开挖作业，仅允许远程钻孔施工，严禁设备、人员长期滞留。</w:t>
            </w:r>
          </w:p>
          <w:p w14:paraId="7CBD46D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②</w:t>
            </w:r>
            <w:r>
              <w:rPr>
                <w:rFonts w:hint="default" w:ascii="Times New Roman" w:hAnsi="Times New Roman" w:eastAsia="宋体" w:cs="Times New Roman"/>
                <w:bCs/>
                <w:color w:val="auto"/>
                <w:spacing w:val="0"/>
                <w:kern w:val="2"/>
                <w:sz w:val="24"/>
                <w:szCs w:val="24"/>
                <w:lang w:val="en-US" w:eastAsia="zh-CN" w:bidi="ar"/>
              </w:rPr>
              <w:t>火区剥离、清方、开挖作业严格执行分层、分段、由外向内、边挖边加固的施工方式，严禁大开挖、一次性揭露大面积火烧采空顶板。临近采空破碎带预留安全保护岩柱，严禁超挖、深挖。施工机械禁止在裂缝发育、地表悬空、土体松动区域停留、转弯、掉头作业。</w:t>
            </w:r>
          </w:p>
          <w:p w14:paraId="1924453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③</w:t>
            </w:r>
            <w:r>
              <w:rPr>
                <w:rFonts w:hint="default" w:ascii="Times New Roman" w:hAnsi="Times New Roman" w:eastAsia="宋体" w:cs="Times New Roman"/>
                <w:bCs/>
                <w:color w:val="auto"/>
                <w:spacing w:val="0"/>
                <w:kern w:val="2"/>
                <w:sz w:val="24"/>
                <w:szCs w:val="24"/>
                <w:lang w:val="en-US" w:eastAsia="zh-CN" w:bidi="ar"/>
              </w:rPr>
              <w:t>施工现场布设地表沉降观测点、裂缝位移监测点、顶板动态监测点，实行24小时巡查监测。重点监测地表沉降、裂缝加宽、地面异响、钻孔掉渣、土体鼓包等塌陷前兆。一旦出现沉降加速、裂缝持续扩张，立即停工、切断设备电源、全员撤离危险区。建立班前风险辨识制度，动态更新塌陷风险等级。</w:t>
            </w:r>
          </w:p>
          <w:p w14:paraId="498A259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④</w:t>
            </w:r>
            <w:r>
              <w:rPr>
                <w:rFonts w:hint="default" w:ascii="Times New Roman" w:hAnsi="Times New Roman" w:eastAsia="宋体" w:cs="Times New Roman"/>
                <w:bCs/>
                <w:color w:val="auto"/>
                <w:spacing w:val="0"/>
                <w:kern w:val="2"/>
                <w:sz w:val="24"/>
                <w:szCs w:val="24"/>
                <w:lang w:val="en-US" w:eastAsia="zh-CN" w:bidi="ar"/>
              </w:rPr>
              <w:t>塌陷高风险区内严禁布置钻机、注浆设备、材料堆场和施工通道。作业前提前规划多条避险逃生通道，明确撤离路线。专职安全员全程旁站监护，发现地面松动、沉降异常、边坡滑移等隐患，立即停止作业并组织人员设备紧急撤离。</w:t>
            </w:r>
          </w:p>
          <w:p w14:paraId="651F4CB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⑤</w:t>
            </w:r>
            <w:r>
              <w:rPr>
                <w:rFonts w:hint="default" w:ascii="Times New Roman" w:hAnsi="Times New Roman" w:eastAsia="宋体" w:cs="Times New Roman"/>
                <w:bCs/>
                <w:color w:val="auto"/>
                <w:spacing w:val="0"/>
                <w:kern w:val="2"/>
                <w:sz w:val="24"/>
                <w:szCs w:val="24"/>
                <w:lang w:val="en-US" w:eastAsia="zh-CN" w:bidi="ar"/>
              </w:rPr>
              <w:t>灭火注水、注浆采用低压、慢注、间歇施工方式，避免高压水体冲刷、软化采空顶板围岩。禁止在同一区域密集布设深孔，减少岩体整体性破坏。对顶板</w:t>
            </w:r>
            <w:r>
              <w:rPr>
                <w:rFonts w:hint="eastAsia" w:cs="Times New Roman"/>
                <w:bCs/>
                <w:color w:val="auto"/>
                <w:spacing w:val="0"/>
                <w:kern w:val="2"/>
                <w:sz w:val="24"/>
                <w:szCs w:val="24"/>
                <w:lang w:val="en-US" w:eastAsia="zh-CN" w:bidi="ar"/>
              </w:rPr>
              <w:t>及</w:t>
            </w:r>
            <w:r>
              <w:rPr>
                <w:rFonts w:hint="default" w:ascii="Times New Roman" w:hAnsi="Times New Roman" w:eastAsia="宋体" w:cs="Times New Roman"/>
                <w:bCs/>
                <w:color w:val="auto"/>
                <w:spacing w:val="0"/>
                <w:kern w:val="2"/>
                <w:sz w:val="24"/>
                <w:szCs w:val="24"/>
                <w:lang w:val="en-US" w:eastAsia="zh-CN" w:bidi="ar"/>
              </w:rPr>
              <w:t>破碎区域，减少机械扰动，优先采用静态注浆加固，严禁爆破、强振动施工。</w:t>
            </w:r>
          </w:p>
          <w:p w14:paraId="627CC05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仿宋_GB2312" w:hAnsi="仿宋_GB2312" w:eastAsia="仿宋_GB2312" w:cs="仿宋_GB2312"/>
                <w:bCs/>
                <w:color w:val="auto"/>
                <w:spacing w:val="0"/>
                <w:kern w:val="2"/>
                <w:sz w:val="24"/>
                <w:szCs w:val="24"/>
                <w:lang w:val="en-US" w:eastAsia="zh-CN" w:bidi="ar"/>
              </w:rPr>
              <w:t>⑥</w:t>
            </w:r>
            <w:r>
              <w:rPr>
                <w:rFonts w:hint="default" w:ascii="Times New Roman" w:hAnsi="Times New Roman" w:eastAsia="宋体" w:cs="Times New Roman"/>
                <w:bCs/>
                <w:color w:val="auto"/>
                <w:spacing w:val="0"/>
                <w:kern w:val="2"/>
                <w:sz w:val="24"/>
                <w:szCs w:val="24"/>
                <w:lang w:val="en-US" w:eastAsia="zh-CN" w:bidi="ar"/>
              </w:rPr>
              <w:t>编制采空塌陷专项应急预案，配备救援担架、绳索、应急照明、警戒围挡等物资。定期开展塌陷避险演练。发生塌陷险情时，立即停止所有施工，封锁危险区域，禁止人员贸然进入塌陷坑及裂缝区域，防止次生坍塌掩埋事故。</w:t>
            </w:r>
          </w:p>
          <w:p w14:paraId="1101075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仿宋_GB2312" w:hAnsi="仿宋_GB2312" w:eastAsia="仿宋_GB2312" w:cs="仿宋_GB2312"/>
                <w:bCs/>
                <w:color w:val="auto"/>
                <w:spacing w:val="0"/>
                <w:kern w:val="2"/>
                <w:sz w:val="24"/>
                <w:szCs w:val="24"/>
                <w:lang w:val="en-US" w:eastAsia="zh-CN" w:bidi="ar"/>
              </w:rPr>
              <w:t>⑦</w:t>
            </w:r>
            <w:r>
              <w:rPr>
                <w:rFonts w:hint="default" w:ascii="Times New Roman" w:hAnsi="Times New Roman" w:eastAsia="宋体" w:cs="Times New Roman"/>
                <w:bCs/>
                <w:color w:val="auto"/>
                <w:spacing w:val="0"/>
                <w:kern w:val="2"/>
                <w:sz w:val="24"/>
                <w:szCs w:val="24"/>
                <w:lang w:val="en-US" w:eastAsia="zh-CN" w:bidi="ar"/>
              </w:rPr>
              <w:t>严格落实技术交底、岗前培训制度，作业人员熟知塌陷风险征兆、避险要点和撤离路线。落实每日巡查、风险动态辨识制度，恶劣天气、夜间加大巡查频次，严禁冒险作业，全面杜绝采空塌陷安全事故。</w:t>
            </w:r>
          </w:p>
          <w:p w14:paraId="0A73DC4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Times New Roman" w:hAnsi="Times New Roman" w:eastAsia="宋体" w:cs="Times New Roman"/>
                <w:bCs/>
                <w:color w:val="auto"/>
                <w:spacing w:val="0"/>
                <w:kern w:val="2"/>
                <w:sz w:val="24"/>
                <w:szCs w:val="24"/>
                <w:lang w:val="en-US" w:eastAsia="zh-CN" w:bidi="ar"/>
              </w:rPr>
              <w:t>6</w:t>
            </w:r>
            <w:r>
              <w:rPr>
                <w:rFonts w:hint="default" w:ascii="Times New Roman" w:hAnsi="Times New Roman" w:eastAsia="宋体" w:cs="Times New Roman"/>
                <w:bCs/>
                <w:color w:val="auto"/>
                <w:spacing w:val="0"/>
                <w:kern w:val="2"/>
                <w:sz w:val="24"/>
                <w:szCs w:val="24"/>
                <w:lang w:val="en-US" w:eastAsia="zh-CN" w:bidi="ar"/>
              </w:rPr>
              <w:t>）取土场垮塌</w:t>
            </w:r>
            <w:r>
              <w:rPr>
                <w:rFonts w:hint="eastAsia" w:ascii="Times New Roman" w:hAnsi="Times New Roman" w:eastAsia="宋体" w:cs="Times New Roman"/>
                <w:bCs/>
                <w:color w:val="auto"/>
                <w:spacing w:val="0"/>
                <w:kern w:val="2"/>
                <w:sz w:val="24"/>
                <w:szCs w:val="24"/>
                <w:lang w:val="en-US" w:eastAsia="zh-CN" w:bidi="ar"/>
              </w:rPr>
              <w:t>风险防范措施</w:t>
            </w:r>
          </w:p>
          <w:p w14:paraId="2FCD398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①</w:t>
            </w:r>
            <w:r>
              <w:rPr>
                <w:rFonts w:hint="default" w:ascii="Times New Roman" w:hAnsi="Times New Roman" w:eastAsia="宋体" w:cs="Times New Roman"/>
                <w:bCs/>
                <w:color w:val="auto"/>
                <w:spacing w:val="0"/>
                <w:kern w:val="2"/>
                <w:sz w:val="24"/>
                <w:szCs w:val="24"/>
                <w:lang w:val="en-US" w:eastAsia="zh-CN" w:bidi="ar"/>
              </w:rPr>
              <w:t>严格执行分层、分段、自上而下、阶梯式开挖工艺，禁止掏底开挖、坡脚掏空、垂直陡壁开挖。每层开挖高度严格控制在安全范围内，及时修整边坡，保证边坡坡度符合设计稳定要求。严禁一次性开挖过高、留设直立陡壁，杜绝悬空土体、松动土体残留。</w:t>
            </w:r>
          </w:p>
          <w:p w14:paraId="05460F6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②</w:t>
            </w:r>
            <w:r>
              <w:rPr>
                <w:rFonts w:hint="default" w:ascii="Times New Roman" w:hAnsi="Times New Roman" w:eastAsia="宋体" w:cs="Times New Roman"/>
                <w:bCs/>
                <w:color w:val="auto"/>
                <w:spacing w:val="0"/>
                <w:kern w:val="2"/>
                <w:sz w:val="24"/>
                <w:szCs w:val="24"/>
                <w:lang w:val="en-US" w:eastAsia="zh-CN" w:bidi="ar"/>
              </w:rPr>
              <w:t>根据土质类型稳定坡率修整作业边坡，土质松散区域适当放缓边坡。作业面设置多级安全台阶与平台，减小边坡临空面高度，分散土体应力。及时清除边坡松动浮土、危石、松散土体，防止局部脱落引发连锁垮塌。</w:t>
            </w:r>
          </w:p>
          <w:p w14:paraId="3AFFE2E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③</w:t>
            </w:r>
            <w:r>
              <w:rPr>
                <w:rFonts w:hint="default" w:ascii="Times New Roman" w:hAnsi="Times New Roman" w:eastAsia="宋体" w:cs="Times New Roman"/>
                <w:bCs/>
                <w:color w:val="auto"/>
                <w:spacing w:val="0"/>
                <w:kern w:val="2"/>
                <w:sz w:val="24"/>
                <w:szCs w:val="24"/>
                <w:lang w:val="en-US" w:eastAsia="zh-CN" w:bidi="ar"/>
              </w:rPr>
              <w:t>取土场顶部、边坡两侧、作业平台外侧统一设置截、排水沟，杜绝地表水汇集冲刷边坡。雨天严禁一切取土开挖、削坡作业，防止雨水入渗软化土体、降低抗剪强度引发整体滑坡。雨后必须对边坡、坡体进行全面排查，确认无裂缝、滑移、渗水隐患后方可复工。</w:t>
            </w:r>
          </w:p>
          <w:p w14:paraId="6DDB644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④</w:t>
            </w:r>
            <w:r>
              <w:rPr>
                <w:rFonts w:hint="default" w:ascii="Times New Roman" w:hAnsi="Times New Roman" w:eastAsia="宋体" w:cs="Times New Roman"/>
                <w:bCs/>
                <w:color w:val="auto"/>
                <w:spacing w:val="0"/>
                <w:kern w:val="2"/>
                <w:sz w:val="24"/>
                <w:szCs w:val="24"/>
                <w:lang w:val="en-US" w:eastAsia="zh-CN" w:bidi="ar"/>
              </w:rPr>
              <w:t>严禁机械在坡脚掏挖、贴坡开挖、近距离碾压边坡坡脚。运输车辆、挖掘机不得在边坡边缘近距离停留、转弯、掉头。作业时保持安全距离，禁止设备正对高陡边坡长时间作业。坡脚预留安全护土层，严禁超挖掏空造成边坡失稳。</w:t>
            </w:r>
          </w:p>
          <w:p w14:paraId="3AAFDAB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⑤</w:t>
            </w:r>
            <w:r>
              <w:rPr>
                <w:rFonts w:hint="default" w:ascii="Times New Roman" w:hAnsi="Times New Roman" w:eastAsia="宋体" w:cs="Times New Roman"/>
                <w:bCs/>
                <w:color w:val="auto"/>
                <w:spacing w:val="0"/>
                <w:kern w:val="2"/>
                <w:sz w:val="24"/>
                <w:szCs w:val="24"/>
                <w:lang w:val="en-US" w:eastAsia="zh-CN" w:bidi="ar"/>
              </w:rPr>
              <w:t>安排专人全天候巡查边坡状态，重点排查坡面裂缝、土体鼓包、掉土、渗水、边坡位移、异响等垮塌前兆。发现边坡开裂、滑移、松动等险情，立即停工、撤离人员设备、封锁危险区域，设置警戒并及时处置。雨季、大风天气加密巡查频次。</w:t>
            </w:r>
          </w:p>
          <w:p w14:paraId="55215B8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仿宋_GB2312" w:hAnsi="仿宋_GB2312" w:eastAsia="仿宋_GB2312" w:cs="仿宋_GB2312"/>
                <w:bCs/>
                <w:color w:val="auto"/>
                <w:spacing w:val="0"/>
                <w:kern w:val="2"/>
                <w:sz w:val="24"/>
                <w:szCs w:val="24"/>
                <w:lang w:val="en-US" w:eastAsia="zh-CN" w:bidi="ar"/>
              </w:rPr>
              <w:t>⑥</w:t>
            </w:r>
            <w:r>
              <w:rPr>
                <w:rFonts w:hint="default" w:ascii="Times New Roman" w:hAnsi="Times New Roman" w:eastAsia="宋体" w:cs="Times New Roman"/>
                <w:bCs/>
                <w:color w:val="auto"/>
                <w:spacing w:val="0"/>
                <w:kern w:val="2"/>
                <w:sz w:val="24"/>
                <w:szCs w:val="24"/>
                <w:lang w:val="en-US" w:eastAsia="zh-CN" w:bidi="ar"/>
              </w:rPr>
              <w:t>取土场边坡顶部及边缘严禁堆载土方、石料、机械设备，禁止重物压载边坡上方，避免增加边坡倾覆荷载。</w:t>
            </w:r>
          </w:p>
          <w:p w14:paraId="246D755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仿宋_GB2312" w:hAnsi="仿宋_GB2312" w:eastAsia="仿宋_GB2312" w:cs="仿宋_GB2312"/>
                <w:bCs/>
                <w:color w:val="auto"/>
                <w:spacing w:val="0"/>
                <w:kern w:val="2"/>
                <w:sz w:val="24"/>
                <w:szCs w:val="24"/>
                <w:lang w:val="en-US" w:eastAsia="zh-CN" w:bidi="ar"/>
              </w:rPr>
              <w:t>⑦</w:t>
            </w:r>
            <w:r>
              <w:rPr>
                <w:rFonts w:hint="default" w:ascii="Times New Roman" w:hAnsi="Times New Roman" w:eastAsia="宋体" w:cs="Times New Roman"/>
                <w:bCs/>
                <w:color w:val="auto"/>
                <w:spacing w:val="0"/>
                <w:kern w:val="2"/>
                <w:sz w:val="24"/>
                <w:szCs w:val="24"/>
                <w:lang w:val="en-US" w:eastAsia="zh-CN" w:bidi="ar"/>
              </w:rPr>
              <w:t>取土场周边设置围挡、警示标志、夜间警示灯，严禁无关人员、车辆进入作业区。作业人员严禁在边坡下方、坡脚、悬空土体下方停留、避雨、休息。严格落实班前安全技术交底，明确垮塌风险及避险要点。</w:t>
            </w:r>
          </w:p>
          <w:p w14:paraId="5A1B0FF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仿宋_GB2312" w:hAnsi="仿宋_GB2312" w:eastAsia="仿宋_GB2312" w:cs="仿宋_GB2312"/>
                <w:bCs/>
                <w:color w:val="auto"/>
                <w:spacing w:val="0"/>
                <w:kern w:val="2"/>
                <w:sz w:val="24"/>
                <w:szCs w:val="24"/>
                <w:lang w:val="en-US" w:eastAsia="zh-CN" w:bidi="ar"/>
              </w:rPr>
              <w:t>⑧</w:t>
            </w:r>
            <w:r>
              <w:rPr>
                <w:rFonts w:hint="default" w:ascii="Times New Roman" w:hAnsi="Times New Roman" w:eastAsia="宋体" w:cs="Times New Roman"/>
                <w:bCs/>
                <w:color w:val="auto"/>
                <w:spacing w:val="0"/>
                <w:kern w:val="2"/>
                <w:sz w:val="24"/>
                <w:szCs w:val="24"/>
                <w:lang w:val="en-US" w:eastAsia="zh-CN" w:bidi="ar"/>
              </w:rPr>
              <w:t>制定取土场边坡垮塌专项应急处置措施，配备警戒、疏散、清理、救援物资。一旦出现边坡滑移、垮塌险情，立即停止施工、全员撤离、封锁现场，禁止盲目施救，待边坡稳定后再开展隐患清理与加固处理。</w:t>
            </w:r>
          </w:p>
          <w:p w14:paraId="534C66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仿宋_GB2312" w:cs="Times New Roman"/>
                <w:bCs/>
                <w:color w:val="auto"/>
                <w:spacing w:val="0"/>
                <w:kern w:val="2"/>
                <w:sz w:val="24"/>
                <w:szCs w:val="24"/>
                <w:lang w:val="en-US" w:eastAsia="zh-CN" w:bidi="ar"/>
              </w:rPr>
            </w:pPr>
            <w:r>
              <w:rPr>
                <w:rFonts w:hint="eastAsia" w:eastAsia="Segoe UI" w:cs="Times New Roman"/>
                <w:i w:val="0"/>
                <w:iCs w:val="0"/>
                <w:caps w:val="0"/>
                <w:color w:val="0F1115"/>
                <w:spacing w:val="0"/>
                <w:sz w:val="24"/>
                <w:szCs w:val="24"/>
                <w:shd w:val="clear" w:fill="FFFFFF"/>
                <w:lang w:val="en-US" w:eastAsia="zh-CN"/>
              </w:rPr>
              <w:t>7</w:t>
            </w:r>
            <w:r>
              <w:rPr>
                <w:rFonts w:hint="default" w:ascii="Times New Roman" w:hAnsi="Times New Roman" w:eastAsia="Segoe UI" w:cs="Times New Roman"/>
                <w:i w:val="0"/>
                <w:iCs w:val="0"/>
                <w:caps w:val="0"/>
                <w:color w:val="0F1115"/>
                <w:spacing w:val="0"/>
                <w:sz w:val="24"/>
                <w:szCs w:val="24"/>
                <w:shd w:val="clear" w:fill="FFFFFF"/>
                <w:lang w:val="en-US" w:eastAsia="zh-CN"/>
              </w:rPr>
              <w:t>）</w:t>
            </w:r>
            <w:r>
              <w:rPr>
                <w:rFonts w:hint="eastAsia" w:eastAsia="Segoe UI" w:cs="Times New Roman"/>
                <w:i w:val="0"/>
                <w:iCs w:val="0"/>
                <w:caps w:val="0"/>
                <w:color w:val="0F1115"/>
                <w:spacing w:val="0"/>
                <w:sz w:val="24"/>
                <w:szCs w:val="24"/>
                <w:shd w:val="clear" w:fill="FFFFFF"/>
                <w:lang w:val="en-US" w:eastAsia="zh-CN"/>
              </w:rPr>
              <w:t>其他风险防范措施</w:t>
            </w:r>
          </w:p>
          <w:p w14:paraId="4474CB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①</w:t>
            </w:r>
            <w:r>
              <w:rPr>
                <w:rFonts w:hint="default" w:ascii="Times New Roman" w:hAnsi="Times New Roman" w:eastAsia="宋体" w:cs="Times New Roman"/>
                <w:bCs/>
                <w:color w:val="auto"/>
                <w:spacing w:val="0"/>
                <w:kern w:val="2"/>
                <w:sz w:val="24"/>
                <w:szCs w:val="24"/>
                <w:lang w:val="en-US" w:eastAsia="zh-CN" w:bidi="ar"/>
              </w:rPr>
              <w:t>施工</w:t>
            </w:r>
            <w:r>
              <w:rPr>
                <w:rFonts w:hint="eastAsia" w:cs="Times New Roman"/>
                <w:bCs/>
                <w:color w:val="auto"/>
                <w:spacing w:val="0"/>
                <w:kern w:val="2"/>
                <w:sz w:val="24"/>
                <w:szCs w:val="24"/>
                <w:lang w:val="en-US" w:eastAsia="zh-CN" w:bidi="ar"/>
              </w:rPr>
              <w:t>期间</w:t>
            </w:r>
            <w:r>
              <w:rPr>
                <w:rFonts w:hint="default" w:ascii="Times New Roman" w:hAnsi="Times New Roman" w:eastAsia="宋体" w:cs="Times New Roman"/>
                <w:bCs/>
                <w:color w:val="auto"/>
                <w:spacing w:val="0"/>
                <w:kern w:val="2"/>
                <w:sz w:val="24"/>
                <w:szCs w:val="24"/>
                <w:lang w:val="en-US" w:eastAsia="zh-CN" w:bidi="ar"/>
              </w:rPr>
              <w:t>设置围栏，禁行标识，防止人、畜误入。</w:t>
            </w:r>
          </w:p>
          <w:p w14:paraId="512F06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②</w:t>
            </w:r>
            <w:r>
              <w:rPr>
                <w:rFonts w:hint="default" w:ascii="Times New Roman" w:hAnsi="Times New Roman" w:eastAsia="宋体" w:cs="Times New Roman"/>
                <w:bCs/>
                <w:color w:val="auto"/>
                <w:spacing w:val="0"/>
                <w:kern w:val="2"/>
                <w:sz w:val="24"/>
                <w:szCs w:val="24"/>
                <w:lang w:val="en-US" w:eastAsia="zh-CN" w:bidi="ar"/>
              </w:rPr>
              <w:t>项目在火区治理区露天剥挖过程中，应严格按照设计方案进行开挖边坡。</w:t>
            </w:r>
          </w:p>
          <w:p w14:paraId="5BF9AE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④</w:t>
            </w:r>
            <w:r>
              <w:rPr>
                <w:rFonts w:hint="default" w:ascii="Times New Roman" w:hAnsi="Times New Roman" w:eastAsia="宋体" w:cs="Times New Roman"/>
                <w:bCs/>
                <w:color w:val="auto"/>
                <w:spacing w:val="0"/>
                <w:kern w:val="2"/>
                <w:sz w:val="24"/>
                <w:szCs w:val="24"/>
                <w:lang w:val="en-US" w:eastAsia="zh-CN" w:bidi="ar"/>
              </w:rPr>
              <w:t>局部地段应加强岩土的变形监测，发生危险岩体及时处理，最大限度地减少崩塌的发生。</w:t>
            </w:r>
          </w:p>
          <w:p w14:paraId="753E0C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⑤</w:t>
            </w:r>
            <w:r>
              <w:rPr>
                <w:rFonts w:hint="default" w:ascii="Times New Roman" w:hAnsi="Times New Roman" w:eastAsia="宋体" w:cs="Times New Roman"/>
                <w:bCs/>
                <w:color w:val="auto"/>
                <w:spacing w:val="0"/>
                <w:kern w:val="2"/>
                <w:sz w:val="24"/>
                <w:szCs w:val="24"/>
                <w:lang w:val="en-US" w:eastAsia="zh-CN" w:bidi="ar"/>
              </w:rPr>
              <w:t>按照水土保持方案的要求在治理区上游建设导流渠，避免雨季洪水冲刷边坡以及洪水灌坑的发生。</w:t>
            </w:r>
          </w:p>
          <w:p w14:paraId="17C5AC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⑥</w:t>
            </w:r>
            <w:r>
              <w:rPr>
                <w:rFonts w:hint="default" w:ascii="Times New Roman" w:hAnsi="Times New Roman" w:eastAsia="宋体" w:cs="Times New Roman"/>
                <w:bCs/>
                <w:color w:val="auto"/>
                <w:spacing w:val="0"/>
                <w:kern w:val="2"/>
                <w:sz w:val="24"/>
                <w:szCs w:val="24"/>
                <w:lang w:val="en-US" w:eastAsia="zh-CN" w:bidi="ar"/>
              </w:rPr>
              <w:t>加强边坡的监测和分析，在出现滑坡征兆时，根据具体条件，从打抗滑柱、锚杆加固、挡土</w:t>
            </w:r>
            <w:r>
              <w:rPr>
                <w:rFonts w:hint="eastAsia" w:cs="Times New Roman"/>
                <w:bCs/>
                <w:color w:val="auto"/>
                <w:spacing w:val="0"/>
                <w:kern w:val="2"/>
                <w:sz w:val="24"/>
                <w:szCs w:val="24"/>
                <w:lang w:val="en-US" w:eastAsia="zh-CN" w:bidi="ar"/>
              </w:rPr>
              <w:t>墙等</w:t>
            </w:r>
            <w:r>
              <w:rPr>
                <w:rFonts w:hint="default" w:ascii="Times New Roman" w:hAnsi="Times New Roman" w:eastAsia="宋体" w:cs="Times New Roman"/>
                <w:bCs/>
                <w:color w:val="auto"/>
                <w:spacing w:val="0"/>
                <w:kern w:val="2"/>
                <w:sz w:val="24"/>
                <w:szCs w:val="24"/>
                <w:lang w:val="en-US" w:eastAsia="zh-CN" w:bidi="ar"/>
              </w:rPr>
              <w:t>方法中选择合理的治理措施。</w:t>
            </w:r>
          </w:p>
          <w:p w14:paraId="46CE9A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⑦</w:t>
            </w:r>
            <w:r>
              <w:rPr>
                <w:rFonts w:hint="default" w:ascii="Times New Roman" w:hAnsi="Times New Roman" w:eastAsia="宋体" w:cs="Times New Roman"/>
                <w:bCs/>
                <w:color w:val="auto"/>
                <w:spacing w:val="0"/>
                <w:kern w:val="2"/>
                <w:sz w:val="24"/>
                <w:szCs w:val="24"/>
                <w:lang w:val="en-US" w:eastAsia="zh-CN" w:bidi="ar"/>
              </w:rPr>
              <w:t>建立重大事故隐患及重大危险源管理系统，为安全生产管理部门管理与决策提供准确、全面的信息。</w:t>
            </w:r>
          </w:p>
          <w:p w14:paraId="32865E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宋体" w:cs="Times New Roman"/>
                <w:bCs/>
                <w:color w:val="auto"/>
                <w:spacing w:val="0"/>
                <w:kern w:val="2"/>
                <w:sz w:val="24"/>
                <w:szCs w:val="24"/>
                <w:lang w:val="en-US" w:eastAsia="zh-CN" w:bidi="ar"/>
              </w:rPr>
              <w:t>⑧严格执行“由外向内、分层降段”的科学工法，自上而下</w:t>
            </w:r>
            <w:r>
              <w:rPr>
                <w:rFonts w:hint="eastAsia" w:cs="Times New Roman"/>
                <w:bCs/>
                <w:color w:val="auto"/>
                <w:spacing w:val="0"/>
                <w:kern w:val="2"/>
                <w:sz w:val="24"/>
                <w:szCs w:val="24"/>
                <w:lang w:val="en-US" w:eastAsia="zh-CN" w:bidi="ar"/>
              </w:rPr>
              <w:t>分层</w:t>
            </w:r>
            <w:r>
              <w:rPr>
                <w:rFonts w:hint="default" w:ascii="Times New Roman" w:hAnsi="Times New Roman" w:eastAsia="宋体" w:cs="Times New Roman"/>
                <w:bCs/>
                <w:color w:val="auto"/>
                <w:spacing w:val="0"/>
                <w:kern w:val="2"/>
                <w:sz w:val="24"/>
                <w:szCs w:val="24"/>
                <w:lang w:val="en-US" w:eastAsia="zh-CN" w:bidi="ar"/>
              </w:rPr>
              <w:t>开挖，削坡减载，构建阶梯式推进的安全作业模式。</w:t>
            </w:r>
          </w:p>
          <w:p w14:paraId="156955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Times New Roman" w:hAnsi="Times New Roman" w:eastAsia="宋体" w:cs="Times New Roman"/>
                <w:bCs/>
                <w:color w:val="auto"/>
                <w:spacing w:val="0"/>
                <w:kern w:val="2"/>
                <w:sz w:val="24"/>
                <w:szCs w:val="24"/>
                <w:lang w:val="en-US" w:eastAsia="zh-CN" w:bidi="ar"/>
              </w:rPr>
              <w:t>（</w:t>
            </w:r>
            <w:r>
              <w:rPr>
                <w:rFonts w:hint="default" w:ascii="Times New Roman" w:hAnsi="Times New Roman" w:eastAsia="宋体" w:cs="Times New Roman"/>
                <w:bCs/>
                <w:color w:val="auto"/>
                <w:spacing w:val="0"/>
                <w:kern w:val="2"/>
                <w:sz w:val="24"/>
                <w:szCs w:val="24"/>
                <w:lang w:val="en-US" w:eastAsia="zh-CN" w:bidi="ar"/>
              </w:rPr>
              <w:t>5</w:t>
            </w:r>
            <w:r>
              <w:rPr>
                <w:rFonts w:hint="eastAsia" w:ascii="Times New Roman" w:hAnsi="Times New Roman" w:eastAsia="宋体" w:cs="Times New Roman"/>
                <w:bCs/>
                <w:color w:val="auto"/>
                <w:spacing w:val="0"/>
                <w:kern w:val="2"/>
                <w:sz w:val="24"/>
                <w:szCs w:val="24"/>
                <w:lang w:val="en-US" w:eastAsia="zh-CN" w:bidi="ar"/>
              </w:rPr>
              <w:t xml:space="preserve">）环境风险应急预案 </w:t>
            </w:r>
          </w:p>
          <w:p w14:paraId="4F8FEF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Times New Roman" w:hAnsi="Times New Roman" w:eastAsia="宋体" w:cs="Times New Roman"/>
                <w:bCs/>
                <w:color w:val="auto"/>
                <w:spacing w:val="0"/>
                <w:kern w:val="2"/>
                <w:sz w:val="24"/>
                <w:szCs w:val="24"/>
                <w:lang w:val="en-US" w:eastAsia="zh-CN" w:bidi="ar"/>
              </w:rPr>
              <w:t>制定本应急预案的</w:t>
            </w:r>
            <w:r>
              <w:rPr>
                <w:rFonts w:hint="eastAsia" w:cs="Times New Roman"/>
                <w:bCs/>
                <w:color w:val="auto"/>
                <w:spacing w:val="0"/>
                <w:kern w:val="2"/>
                <w:sz w:val="24"/>
                <w:szCs w:val="24"/>
                <w:lang w:val="en-US" w:eastAsia="zh-CN" w:bidi="ar"/>
              </w:rPr>
              <w:t>目的是</w:t>
            </w:r>
            <w:r>
              <w:rPr>
                <w:rFonts w:hint="eastAsia" w:ascii="Times New Roman" w:hAnsi="Times New Roman" w:eastAsia="宋体" w:cs="Times New Roman"/>
                <w:bCs/>
                <w:color w:val="auto"/>
                <w:spacing w:val="0"/>
                <w:kern w:val="2"/>
                <w:sz w:val="24"/>
                <w:szCs w:val="24"/>
                <w:lang w:val="en-US" w:eastAsia="zh-CN" w:bidi="ar"/>
              </w:rPr>
              <w:t>进一步健全灭火工程项目的应急机制，积极应对施工过程中可能发生的</w:t>
            </w:r>
            <w:r>
              <w:rPr>
                <w:rFonts w:hint="eastAsia" w:cs="Times New Roman"/>
                <w:bCs/>
                <w:color w:val="auto"/>
                <w:spacing w:val="0"/>
                <w:kern w:val="2"/>
                <w:sz w:val="24"/>
                <w:szCs w:val="24"/>
                <w:lang w:val="en-US" w:eastAsia="zh-CN" w:bidi="ar"/>
              </w:rPr>
              <w:t>环境风险事故</w:t>
            </w:r>
            <w:r>
              <w:rPr>
                <w:rFonts w:hint="eastAsia" w:ascii="Times New Roman" w:hAnsi="Times New Roman" w:eastAsia="宋体" w:cs="Times New Roman"/>
                <w:bCs/>
                <w:color w:val="auto"/>
                <w:spacing w:val="0"/>
                <w:kern w:val="2"/>
                <w:sz w:val="24"/>
                <w:szCs w:val="24"/>
                <w:lang w:val="en-US" w:eastAsia="zh-CN" w:bidi="ar"/>
              </w:rPr>
              <w:t>，及时采取有效措施，高效有序地组织抢险、救援工作，控制或消除事故，最大限度地减少人员伤亡、财产损失和环境污染等后果，并在事故后尽快恢复正常的生产经营秩序，促进煤矿全面、协调、可持续发展，并结合治理区实际情况，编制环境风险应急预案。</w:t>
            </w:r>
            <w:r>
              <w:rPr>
                <w:rFonts w:hint="default" w:ascii="Times New Roman" w:hAnsi="Times New Roman" w:eastAsia="宋体" w:cs="Times New Roman"/>
                <w:bCs/>
                <w:color w:val="auto"/>
                <w:spacing w:val="0"/>
                <w:kern w:val="2"/>
                <w:sz w:val="24"/>
                <w:szCs w:val="24"/>
                <w:lang w:val="en-US" w:eastAsia="zh-CN" w:bidi="ar"/>
              </w:rPr>
              <w:t>按照环境应急预案及相关单项预案，建设单位应定期组织不同类</w:t>
            </w:r>
            <w:r>
              <w:rPr>
                <w:rFonts w:hint="eastAsia" w:ascii="Times New Roman" w:hAnsi="Times New Roman" w:eastAsia="宋体" w:cs="Times New Roman"/>
                <w:bCs/>
                <w:color w:val="auto"/>
                <w:spacing w:val="0"/>
                <w:kern w:val="2"/>
                <w:sz w:val="24"/>
                <w:szCs w:val="24"/>
                <w:lang w:val="en-US" w:eastAsia="zh-CN" w:bidi="ar"/>
              </w:rPr>
              <w:t>型的环境应急实战演练，提高防范和处置突发环境事件的技能，增强实战能力。</w:t>
            </w:r>
          </w:p>
          <w:p w14:paraId="0BCB4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default" w:cs="Times New Roman"/>
                <w:b/>
                <w:color w:val="auto"/>
                <w:sz w:val="24"/>
                <w:szCs w:val="24"/>
                <w:lang w:val="en-US" w:eastAsia="zh-CN"/>
              </w:rPr>
            </w:pPr>
            <w:r>
              <w:rPr>
                <w:rFonts w:hint="eastAsia" w:cs="Times New Roman"/>
                <w:b/>
                <w:color w:val="auto"/>
                <w:sz w:val="24"/>
                <w:szCs w:val="24"/>
                <w:lang w:val="en-US" w:eastAsia="zh-CN"/>
              </w:rPr>
              <w:t>8、工程治理后矿山开采注意事项及保护措施</w:t>
            </w:r>
          </w:p>
          <w:p w14:paraId="14B9B3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①</w:t>
            </w:r>
            <w:r>
              <w:rPr>
                <w:rFonts w:hint="default" w:ascii="Times New Roman" w:hAnsi="Times New Roman" w:eastAsia="宋体" w:cs="Times New Roman"/>
                <w:bCs/>
                <w:color w:val="auto"/>
                <w:spacing w:val="0"/>
                <w:kern w:val="2"/>
                <w:sz w:val="24"/>
                <w:szCs w:val="24"/>
                <w:lang w:val="en-US" w:eastAsia="zh-CN" w:bidi="ar"/>
              </w:rPr>
              <w:t>任何单位和个人都不得以火区治理等名义开采或乱采滥挖煤炭资源</w:t>
            </w:r>
            <w:r>
              <w:rPr>
                <w:rFonts w:hint="eastAsia" w:ascii="Times New Roman" w:hAnsi="Times New Roman" w:eastAsia="宋体" w:cs="Times New Roman"/>
                <w:bCs/>
                <w:color w:val="auto"/>
                <w:spacing w:val="0"/>
                <w:kern w:val="2"/>
                <w:sz w:val="24"/>
                <w:szCs w:val="24"/>
                <w:lang w:val="en-US" w:eastAsia="zh-CN" w:bidi="ar"/>
              </w:rPr>
              <w:t>，</w:t>
            </w:r>
            <w:r>
              <w:rPr>
                <w:rFonts w:hint="default" w:ascii="Times New Roman" w:hAnsi="Times New Roman" w:eastAsia="宋体" w:cs="Times New Roman"/>
                <w:bCs/>
                <w:color w:val="auto"/>
                <w:spacing w:val="0"/>
                <w:kern w:val="2"/>
                <w:sz w:val="24"/>
                <w:szCs w:val="24"/>
                <w:lang w:val="en-US" w:eastAsia="zh-CN" w:bidi="ar"/>
              </w:rPr>
              <w:t>所有开采活动必须在合法的采矿权范围内进行</w:t>
            </w:r>
            <w:r>
              <w:rPr>
                <w:rFonts w:hint="eastAsia" w:ascii="Times New Roman" w:hAnsi="Times New Roman" w:eastAsia="宋体" w:cs="Times New Roman"/>
                <w:bCs/>
                <w:color w:val="auto"/>
                <w:spacing w:val="0"/>
                <w:kern w:val="2"/>
                <w:sz w:val="24"/>
                <w:szCs w:val="24"/>
                <w:lang w:val="en-US" w:eastAsia="zh-CN" w:bidi="ar"/>
              </w:rPr>
              <w:t>。</w:t>
            </w:r>
          </w:p>
          <w:p w14:paraId="1BBDBB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②</w:t>
            </w:r>
            <w:r>
              <w:rPr>
                <w:rFonts w:hint="default" w:ascii="Times New Roman" w:hAnsi="Times New Roman" w:eastAsia="宋体" w:cs="Times New Roman"/>
                <w:bCs/>
                <w:color w:val="auto"/>
                <w:spacing w:val="0"/>
                <w:kern w:val="2"/>
                <w:sz w:val="24"/>
                <w:szCs w:val="24"/>
                <w:lang w:val="en-US" w:eastAsia="zh-CN" w:bidi="ar"/>
              </w:rPr>
              <w:t>严禁擅自揭开覆盖层</w:t>
            </w:r>
            <w:r>
              <w:rPr>
                <w:rFonts w:hint="eastAsia" w:ascii="Times New Roman" w:hAnsi="Times New Roman" w:eastAsia="宋体" w:cs="Times New Roman"/>
                <w:bCs/>
                <w:color w:val="auto"/>
                <w:spacing w:val="0"/>
                <w:kern w:val="2"/>
                <w:sz w:val="24"/>
                <w:szCs w:val="24"/>
                <w:lang w:val="en-US" w:eastAsia="zh-CN" w:bidi="ar"/>
              </w:rPr>
              <w:t>。</w:t>
            </w:r>
            <w:r>
              <w:rPr>
                <w:rFonts w:hint="default" w:ascii="Times New Roman" w:hAnsi="Times New Roman" w:eastAsia="宋体" w:cs="Times New Roman"/>
                <w:bCs/>
                <w:color w:val="auto"/>
                <w:spacing w:val="0"/>
                <w:kern w:val="2"/>
                <w:sz w:val="24"/>
                <w:szCs w:val="24"/>
                <w:lang w:val="en-US" w:eastAsia="zh-CN" w:bidi="ar"/>
              </w:rPr>
              <w:t>这是最重要、最直接的禁令</w:t>
            </w:r>
            <w:r>
              <w:rPr>
                <w:rFonts w:hint="eastAsia" w:ascii="Times New Roman" w:hAnsi="Times New Roman" w:eastAsia="宋体" w:cs="Times New Roman"/>
                <w:bCs/>
                <w:color w:val="auto"/>
                <w:spacing w:val="0"/>
                <w:kern w:val="2"/>
                <w:sz w:val="24"/>
                <w:szCs w:val="24"/>
                <w:lang w:val="en-US" w:eastAsia="zh-CN" w:bidi="ar"/>
              </w:rPr>
              <w:t>，</w:t>
            </w:r>
            <w:r>
              <w:rPr>
                <w:rFonts w:hint="default" w:ascii="Times New Roman" w:hAnsi="Times New Roman" w:eastAsia="宋体" w:cs="Times New Roman"/>
                <w:bCs/>
                <w:color w:val="auto"/>
                <w:spacing w:val="0"/>
                <w:kern w:val="2"/>
                <w:sz w:val="24"/>
                <w:szCs w:val="24"/>
                <w:lang w:val="en-US" w:eastAsia="zh-CN" w:bidi="ar"/>
              </w:rPr>
              <w:t>必须绝对保护已治理火区的灭火覆盖层，任何破坏行为都可能导致前功尽弃</w:t>
            </w:r>
            <w:r>
              <w:rPr>
                <w:rFonts w:hint="eastAsia" w:ascii="Times New Roman" w:hAnsi="Times New Roman" w:eastAsia="宋体" w:cs="Times New Roman"/>
                <w:bCs/>
                <w:color w:val="auto"/>
                <w:spacing w:val="0"/>
                <w:kern w:val="2"/>
                <w:sz w:val="24"/>
                <w:szCs w:val="24"/>
                <w:lang w:val="en-US" w:eastAsia="zh-CN" w:bidi="ar"/>
              </w:rPr>
              <w:t>。</w:t>
            </w:r>
          </w:p>
          <w:p w14:paraId="07ED63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仿宋" w:hAnsi="仿宋" w:eastAsia="仿宋" w:cs="仿宋"/>
                <w:bCs/>
                <w:color w:val="auto"/>
                <w:spacing w:val="0"/>
                <w:kern w:val="2"/>
                <w:sz w:val="24"/>
                <w:szCs w:val="24"/>
                <w:lang w:val="en-US" w:eastAsia="zh-CN" w:bidi="ar"/>
              </w:rPr>
              <w:t>③</w:t>
            </w:r>
            <w:r>
              <w:rPr>
                <w:rFonts w:hint="default" w:ascii="Times New Roman" w:hAnsi="Times New Roman" w:eastAsia="宋体" w:cs="Times New Roman"/>
                <w:bCs/>
                <w:color w:val="auto"/>
                <w:spacing w:val="0"/>
                <w:kern w:val="2"/>
                <w:sz w:val="24"/>
                <w:szCs w:val="24"/>
                <w:lang w:val="en-US" w:eastAsia="zh-CN" w:bidi="ar"/>
              </w:rPr>
              <w:t>确认火区彻底熄灭</w:t>
            </w:r>
            <w:r>
              <w:rPr>
                <w:rFonts w:hint="eastAsia" w:ascii="Times New Roman" w:hAnsi="Times New Roman" w:eastAsia="宋体" w:cs="Times New Roman"/>
                <w:bCs/>
                <w:color w:val="auto"/>
                <w:spacing w:val="0"/>
                <w:kern w:val="2"/>
                <w:sz w:val="24"/>
                <w:szCs w:val="24"/>
                <w:lang w:val="en-US" w:eastAsia="zh-CN" w:bidi="ar"/>
              </w:rPr>
              <w:t>。</w:t>
            </w:r>
            <w:r>
              <w:rPr>
                <w:rFonts w:hint="default" w:ascii="Times New Roman" w:hAnsi="Times New Roman" w:eastAsia="宋体" w:cs="Times New Roman"/>
                <w:bCs/>
                <w:color w:val="auto"/>
                <w:spacing w:val="0"/>
                <w:kern w:val="2"/>
                <w:sz w:val="24"/>
                <w:szCs w:val="24"/>
                <w:lang w:val="en-US" w:eastAsia="zh-CN" w:bidi="ar"/>
              </w:rPr>
              <w:t>启封前，必须确认火区已完全熄灭。依据《煤矿安全规程》，火区需同时满足空气温度、氧气浓度（低于5%）、有害气体等指标，并稳定1个月以上方可认为火已熄灭。</w:t>
            </w:r>
          </w:p>
          <w:p w14:paraId="3835B9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④</w:t>
            </w:r>
            <w:r>
              <w:rPr>
                <w:rFonts w:hint="default" w:ascii="Times New Roman" w:hAnsi="Times New Roman" w:eastAsia="宋体" w:cs="Times New Roman"/>
                <w:bCs/>
                <w:color w:val="auto"/>
                <w:spacing w:val="0"/>
                <w:kern w:val="2"/>
                <w:sz w:val="24"/>
                <w:szCs w:val="24"/>
                <w:lang w:val="en-US" w:eastAsia="zh-CN" w:bidi="ar"/>
              </w:rPr>
              <w:t>制定专项安全措施</w:t>
            </w:r>
            <w:r>
              <w:rPr>
                <w:rFonts w:hint="eastAsia" w:ascii="Times New Roman" w:hAnsi="Times New Roman" w:eastAsia="宋体" w:cs="Times New Roman"/>
                <w:bCs/>
                <w:color w:val="auto"/>
                <w:spacing w:val="0"/>
                <w:kern w:val="2"/>
                <w:sz w:val="24"/>
                <w:szCs w:val="24"/>
                <w:lang w:val="en-US" w:eastAsia="zh-CN" w:bidi="ar"/>
              </w:rPr>
              <w:t>。</w:t>
            </w:r>
            <w:r>
              <w:rPr>
                <w:rFonts w:hint="default" w:ascii="Times New Roman" w:hAnsi="Times New Roman" w:eastAsia="宋体" w:cs="Times New Roman"/>
                <w:bCs/>
                <w:color w:val="auto"/>
                <w:spacing w:val="0"/>
                <w:kern w:val="2"/>
                <w:sz w:val="24"/>
                <w:szCs w:val="24"/>
                <w:lang w:val="en-US" w:eastAsia="zh-CN" w:bidi="ar"/>
              </w:rPr>
              <w:t>启封火区前，必须制定详细的安全措施。启封应由矿山救护队负责，并在完成后3天内持续监测，确认安全后方可生产</w:t>
            </w:r>
            <w:r>
              <w:rPr>
                <w:rFonts w:hint="eastAsia" w:ascii="Times New Roman" w:hAnsi="Times New Roman" w:eastAsia="宋体" w:cs="Times New Roman"/>
                <w:bCs/>
                <w:color w:val="auto"/>
                <w:spacing w:val="0"/>
                <w:kern w:val="2"/>
                <w:sz w:val="24"/>
                <w:szCs w:val="24"/>
                <w:lang w:val="en-US" w:eastAsia="zh-CN" w:bidi="ar"/>
              </w:rPr>
              <w:t>。</w:t>
            </w:r>
          </w:p>
          <w:p w14:paraId="7DC5C0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⑥</w:t>
            </w:r>
            <w:r>
              <w:rPr>
                <w:rFonts w:hint="default" w:ascii="Times New Roman" w:hAnsi="Times New Roman" w:eastAsia="宋体" w:cs="Times New Roman"/>
                <w:bCs/>
                <w:color w:val="auto"/>
                <w:spacing w:val="0"/>
                <w:kern w:val="2"/>
                <w:sz w:val="24"/>
                <w:szCs w:val="24"/>
                <w:lang w:val="en-US" w:eastAsia="zh-CN" w:bidi="ar"/>
              </w:rPr>
              <w:t>开采中的防复燃技术</w:t>
            </w:r>
            <w:r>
              <w:rPr>
                <w:rFonts w:hint="eastAsia" w:ascii="Times New Roman" w:hAnsi="Times New Roman" w:eastAsia="宋体" w:cs="Times New Roman"/>
                <w:bCs/>
                <w:color w:val="auto"/>
                <w:spacing w:val="0"/>
                <w:kern w:val="2"/>
                <w:sz w:val="24"/>
                <w:szCs w:val="24"/>
                <w:lang w:val="en-US" w:eastAsia="zh-CN" w:bidi="ar"/>
              </w:rPr>
              <w:t>。</w:t>
            </w:r>
            <w:r>
              <w:rPr>
                <w:rFonts w:hint="default" w:ascii="Times New Roman" w:hAnsi="Times New Roman" w:eastAsia="宋体" w:cs="Times New Roman"/>
                <w:bCs/>
                <w:color w:val="auto"/>
                <w:spacing w:val="0"/>
                <w:kern w:val="2"/>
                <w:sz w:val="24"/>
                <w:szCs w:val="24"/>
                <w:lang w:val="en-US" w:eastAsia="zh-CN" w:bidi="ar"/>
              </w:rPr>
              <w:t>开采中需采用综合防灭火措施，如封堵漏风、注氮、注浆等，以惰化采空区，隔绝氧气</w:t>
            </w:r>
            <w:r>
              <w:rPr>
                <w:rFonts w:hint="eastAsia" w:ascii="Times New Roman" w:hAnsi="Times New Roman" w:eastAsia="宋体" w:cs="Times New Roman"/>
                <w:bCs/>
                <w:color w:val="auto"/>
                <w:spacing w:val="0"/>
                <w:kern w:val="2"/>
                <w:sz w:val="24"/>
                <w:szCs w:val="24"/>
                <w:lang w:val="en-US" w:eastAsia="zh-CN" w:bidi="ar"/>
              </w:rPr>
              <w:t>。</w:t>
            </w:r>
          </w:p>
          <w:p w14:paraId="33401F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⑦</w:t>
            </w:r>
            <w:r>
              <w:rPr>
                <w:rFonts w:hint="default" w:ascii="Times New Roman" w:hAnsi="Times New Roman" w:eastAsia="宋体" w:cs="Times New Roman"/>
                <w:bCs/>
                <w:color w:val="auto"/>
                <w:spacing w:val="0"/>
                <w:kern w:val="2"/>
                <w:sz w:val="24"/>
                <w:szCs w:val="24"/>
                <w:lang w:val="en-US" w:eastAsia="zh-CN" w:bidi="ar"/>
              </w:rPr>
              <w:t>留设隔离煤柱</w:t>
            </w:r>
            <w:r>
              <w:rPr>
                <w:rFonts w:hint="eastAsia" w:ascii="Times New Roman" w:hAnsi="Times New Roman" w:eastAsia="宋体" w:cs="Times New Roman"/>
                <w:bCs/>
                <w:color w:val="auto"/>
                <w:spacing w:val="0"/>
                <w:kern w:val="2"/>
                <w:sz w:val="24"/>
                <w:szCs w:val="24"/>
                <w:lang w:val="en-US" w:eastAsia="zh-CN" w:bidi="ar"/>
              </w:rPr>
              <w:t>。</w:t>
            </w:r>
            <w:r>
              <w:rPr>
                <w:rFonts w:hint="default" w:ascii="Times New Roman" w:hAnsi="Times New Roman" w:eastAsia="宋体" w:cs="Times New Roman"/>
                <w:bCs/>
                <w:color w:val="auto"/>
                <w:spacing w:val="0"/>
                <w:kern w:val="2"/>
                <w:sz w:val="24"/>
                <w:szCs w:val="24"/>
                <w:lang w:val="en-US" w:eastAsia="zh-CN" w:bidi="ar"/>
              </w:rPr>
              <w:t>在火区周边进行采掘时，必须留有足够宽（厚）度的隔离煤（岩）柱，以有效隔离火区</w:t>
            </w:r>
            <w:r>
              <w:rPr>
                <w:rFonts w:hint="eastAsia" w:ascii="Times New Roman" w:hAnsi="Times New Roman" w:eastAsia="宋体" w:cs="Times New Roman"/>
                <w:bCs/>
                <w:color w:val="auto"/>
                <w:spacing w:val="0"/>
                <w:kern w:val="2"/>
                <w:sz w:val="24"/>
                <w:szCs w:val="24"/>
                <w:lang w:val="en-US" w:eastAsia="zh-CN" w:bidi="ar"/>
              </w:rPr>
              <w:t>。</w:t>
            </w:r>
          </w:p>
          <w:p w14:paraId="428B36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⑧</w:t>
            </w:r>
            <w:r>
              <w:rPr>
                <w:rFonts w:hint="default" w:ascii="Times New Roman" w:hAnsi="Times New Roman" w:eastAsia="宋体" w:cs="Times New Roman"/>
                <w:bCs/>
                <w:color w:val="auto"/>
                <w:spacing w:val="0"/>
                <w:kern w:val="2"/>
                <w:sz w:val="24"/>
                <w:szCs w:val="24"/>
                <w:lang w:val="en-US" w:eastAsia="zh-CN" w:bidi="ar"/>
              </w:rPr>
              <w:t>严禁违规采掘</w:t>
            </w:r>
            <w:r>
              <w:rPr>
                <w:rFonts w:hint="eastAsia" w:ascii="Times New Roman" w:hAnsi="Times New Roman" w:eastAsia="宋体" w:cs="Times New Roman"/>
                <w:bCs/>
                <w:color w:val="auto"/>
                <w:spacing w:val="0"/>
                <w:kern w:val="2"/>
                <w:sz w:val="24"/>
                <w:szCs w:val="24"/>
                <w:lang w:val="en-US" w:eastAsia="zh-CN" w:bidi="ar"/>
              </w:rPr>
              <w:t>。</w:t>
            </w:r>
            <w:r>
              <w:rPr>
                <w:rFonts w:hint="default" w:ascii="Times New Roman" w:hAnsi="Times New Roman" w:eastAsia="宋体" w:cs="Times New Roman"/>
                <w:bCs/>
                <w:color w:val="auto"/>
                <w:spacing w:val="0"/>
                <w:kern w:val="2"/>
                <w:sz w:val="24"/>
                <w:szCs w:val="24"/>
                <w:lang w:val="en-US" w:eastAsia="zh-CN" w:bidi="ar"/>
              </w:rPr>
              <w:t>不得在火区的同一煤层的周围进行采掘工作。对于煤层倾角在35°以上的火区下部区段，严禁进行采掘工作</w:t>
            </w:r>
            <w:r>
              <w:rPr>
                <w:rFonts w:hint="eastAsia" w:ascii="Times New Roman" w:hAnsi="Times New Roman" w:eastAsia="宋体" w:cs="Times New Roman"/>
                <w:bCs/>
                <w:color w:val="auto"/>
                <w:spacing w:val="0"/>
                <w:kern w:val="2"/>
                <w:sz w:val="24"/>
                <w:szCs w:val="24"/>
                <w:lang w:val="en-US" w:eastAsia="zh-CN" w:bidi="ar"/>
              </w:rPr>
              <w:t>。</w:t>
            </w:r>
          </w:p>
          <w:p w14:paraId="7050D3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spacing w:val="0"/>
                <w:kern w:val="2"/>
                <w:sz w:val="24"/>
                <w:szCs w:val="24"/>
                <w:lang w:val="en-US" w:eastAsia="zh-CN" w:bidi="ar"/>
              </w:rPr>
            </w:pPr>
            <w:r>
              <w:rPr>
                <w:rFonts w:hint="default" w:ascii="Times New Roman" w:hAnsi="Times New Roman" w:eastAsia="仿宋_GB2312" w:cs="Times New Roman"/>
                <w:bCs/>
                <w:color w:val="auto"/>
                <w:spacing w:val="0"/>
                <w:kern w:val="2"/>
                <w:sz w:val="24"/>
                <w:szCs w:val="24"/>
                <w:lang w:val="en-US" w:eastAsia="zh-CN" w:bidi="ar"/>
              </w:rPr>
              <w:t>⑨</w:t>
            </w:r>
            <w:r>
              <w:rPr>
                <w:rFonts w:hint="default" w:ascii="Times New Roman" w:hAnsi="Times New Roman" w:eastAsia="宋体" w:cs="Times New Roman"/>
                <w:bCs/>
                <w:color w:val="auto"/>
                <w:spacing w:val="0"/>
                <w:kern w:val="2"/>
                <w:sz w:val="24"/>
                <w:szCs w:val="24"/>
                <w:lang w:val="en-US" w:eastAsia="zh-CN" w:bidi="ar"/>
              </w:rPr>
              <w:t>精准探测与治理</w:t>
            </w:r>
            <w:r>
              <w:rPr>
                <w:rFonts w:hint="eastAsia" w:ascii="Times New Roman" w:hAnsi="Times New Roman" w:eastAsia="宋体" w:cs="Times New Roman"/>
                <w:bCs/>
                <w:color w:val="auto"/>
                <w:spacing w:val="0"/>
                <w:kern w:val="2"/>
                <w:sz w:val="24"/>
                <w:szCs w:val="24"/>
                <w:lang w:val="en-US" w:eastAsia="zh-CN" w:bidi="ar"/>
              </w:rPr>
              <w:t>。</w:t>
            </w:r>
            <w:r>
              <w:rPr>
                <w:rFonts w:hint="default" w:ascii="Times New Roman" w:hAnsi="Times New Roman" w:eastAsia="宋体" w:cs="Times New Roman"/>
                <w:bCs/>
                <w:color w:val="auto"/>
                <w:spacing w:val="0"/>
                <w:kern w:val="2"/>
                <w:sz w:val="24"/>
                <w:szCs w:val="24"/>
                <w:lang w:val="en-US" w:eastAsia="zh-CN" w:bidi="ar"/>
              </w:rPr>
              <w:t>开发前必须对地下采空区进行精准探测。对探测到的空洞，需通过定向爆破、分层回填等方式进行处理，从根源上消除塌陷风险</w:t>
            </w:r>
            <w:r>
              <w:rPr>
                <w:rFonts w:hint="eastAsia" w:ascii="Times New Roman" w:hAnsi="Times New Roman" w:eastAsia="宋体" w:cs="Times New Roman"/>
                <w:bCs/>
                <w:color w:val="auto"/>
                <w:spacing w:val="0"/>
                <w:kern w:val="2"/>
                <w:sz w:val="24"/>
                <w:szCs w:val="24"/>
                <w:lang w:val="en-US" w:eastAsia="zh-CN" w:bidi="ar"/>
              </w:rPr>
              <w:t>。</w:t>
            </w:r>
          </w:p>
          <w:p w14:paraId="2F4DEE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pacing w:val="0"/>
                <w:kern w:val="2"/>
                <w:sz w:val="24"/>
                <w:szCs w:val="24"/>
                <w:lang w:val="en-US" w:eastAsia="zh-CN" w:bidi="ar"/>
              </w:rPr>
            </w:pPr>
            <w:r>
              <w:rPr>
                <w:rFonts w:hint="eastAsia" w:ascii="宋体" w:hAnsi="宋体" w:eastAsia="宋体" w:cs="宋体"/>
                <w:bCs/>
                <w:color w:val="auto"/>
                <w:spacing w:val="0"/>
                <w:kern w:val="2"/>
                <w:sz w:val="24"/>
                <w:szCs w:val="24"/>
                <w:lang w:val="en-US" w:eastAsia="zh-CN" w:bidi="ar"/>
              </w:rPr>
              <w:t>⑩</w:t>
            </w:r>
            <w:r>
              <w:rPr>
                <w:rFonts w:hint="default" w:ascii="Times New Roman" w:hAnsi="Times New Roman" w:eastAsia="宋体" w:cs="Times New Roman"/>
                <w:bCs/>
                <w:color w:val="auto"/>
                <w:spacing w:val="0"/>
                <w:kern w:val="2"/>
                <w:sz w:val="24"/>
                <w:szCs w:val="24"/>
                <w:lang w:val="en-US" w:eastAsia="zh-CN" w:bidi="ar"/>
              </w:rPr>
              <w:t>贯彻环保“三同时”</w:t>
            </w:r>
            <w:r>
              <w:rPr>
                <w:rFonts w:hint="eastAsia" w:ascii="Times New Roman" w:hAnsi="Times New Roman" w:eastAsia="宋体" w:cs="Times New Roman"/>
                <w:bCs/>
                <w:color w:val="auto"/>
                <w:spacing w:val="0"/>
                <w:kern w:val="2"/>
                <w:sz w:val="24"/>
                <w:szCs w:val="24"/>
                <w:lang w:val="en-US" w:eastAsia="zh-CN" w:bidi="ar"/>
              </w:rPr>
              <w:t>。</w:t>
            </w:r>
            <w:r>
              <w:rPr>
                <w:rFonts w:hint="default" w:ascii="Times New Roman" w:hAnsi="Times New Roman" w:eastAsia="宋体" w:cs="Times New Roman"/>
                <w:bCs/>
                <w:color w:val="auto"/>
                <w:spacing w:val="0"/>
                <w:kern w:val="2"/>
                <w:sz w:val="24"/>
                <w:szCs w:val="24"/>
                <w:lang w:val="en-US" w:eastAsia="zh-CN" w:bidi="ar"/>
              </w:rPr>
              <w:t>环境保护设施必须与主体工程同时设计、同时施工、同时投产使用。开发主</w:t>
            </w:r>
            <w:r>
              <w:rPr>
                <w:rFonts w:hint="eastAsia" w:cs="Times New Roman"/>
                <w:bCs/>
                <w:color w:val="auto"/>
                <w:spacing w:val="0"/>
                <w:kern w:val="2"/>
                <w:sz w:val="24"/>
                <w:szCs w:val="24"/>
                <w:lang w:val="en-US" w:eastAsia="zh-CN" w:bidi="ar"/>
              </w:rPr>
              <w:t>体必</w:t>
            </w:r>
            <w:r>
              <w:rPr>
                <w:rFonts w:hint="default" w:ascii="Times New Roman" w:hAnsi="Times New Roman" w:eastAsia="宋体" w:cs="Times New Roman"/>
                <w:bCs/>
                <w:color w:val="auto"/>
                <w:spacing w:val="0"/>
                <w:kern w:val="2"/>
                <w:sz w:val="24"/>
                <w:szCs w:val="24"/>
                <w:lang w:val="en-US" w:eastAsia="zh-CN" w:bidi="ar"/>
              </w:rPr>
              <w:t>须严格落实生态环境修复责任，对破坏的地表进行植被恢复，尽可能恢复土地功能</w:t>
            </w:r>
            <w:r>
              <w:rPr>
                <w:rFonts w:hint="eastAsia" w:ascii="Times New Roman" w:hAnsi="Times New Roman" w:eastAsia="宋体" w:cs="Times New Roman"/>
                <w:bCs/>
                <w:color w:val="auto"/>
                <w:spacing w:val="0"/>
                <w:kern w:val="2"/>
                <w:sz w:val="24"/>
                <w:szCs w:val="24"/>
                <w:lang w:val="en-US" w:eastAsia="zh-CN" w:bidi="ar"/>
              </w:rPr>
              <w:t>。</w:t>
            </w:r>
          </w:p>
        </w:tc>
      </w:tr>
      <w:tr w14:paraId="0A2CBB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722" w:type="dxa"/>
            <w:noWrap w:val="0"/>
            <w:tcMar>
              <w:left w:w="28" w:type="dxa"/>
              <w:right w:w="28" w:type="dxa"/>
            </w:tcMar>
            <w:vAlign w:val="center"/>
          </w:tcPr>
          <w:p w14:paraId="522313C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宋体"/>
                <w:b/>
                <w:bCs w:val="0"/>
                <w:color w:val="auto"/>
                <w:spacing w:val="10"/>
                <w:sz w:val="24"/>
                <w:szCs w:val="24"/>
              </w:rPr>
            </w:pPr>
            <w:r>
              <w:rPr>
                <w:rFonts w:hint="eastAsia" w:ascii="Times New Roman" w:hAnsi="Times New Roman" w:cs="宋体"/>
                <w:b/>
                <w:bCs w:val="0"/>
                <w:color w:val="auto"/>
                <w:spacing w:val="10"/>
                <w:sz w:val="24"/>
                <w:szCs w:val="24"/>
              </w:rPr>
              <w:t>运营期生态环境保护措施</w:t>
            </w:r>
          </w:p>
        </w:tc>
        <w:tc>
          <w:tcPr>
            <w:tcW w:w="8488" w:type="dxa"/>
            <w:noWrap w:val="0"/>
            <w:vAlign w:val="center"/>
          </w:tcPr>
          <w:p w14:paraId="607808AA">
            <w:pPr>
              <w:keepNext w:val="0"/>
              <w:keepLines w:val="0"/>
              <w:numPr>
                <w:ilvl w:val="0"/>
                <w:numId w:val="0"/>
              </w:numPr>
              <w:suppressLineNumbers w:val="0"/>
              <w:spacing w:before="0" w:beforeAutospacing="0" w:after="0" w:afterAutospacing="0" w:line="360" w:lineRule="auto"/>
              <w:ind w:left="0" w:right="0" w:rightChars="0" w:firstLine="480" w:firstLineChars="200"/>
              <w:jc w:val="both"/>
              <w:rPr>
                <w:rFonts w:hint="eastAsia" w:ascii="Times New Roman" w:hAnsi="Times New Roman" w:cs="Times New Roman"/>
                <w:b/>
                <w:bCs/>
                <w:color w:val="auto"/>
                <w:sz w:val="24"/>
                <w:szCs w:val="24"/>
                <w:lang w:eastAsia="zh-CN"/>
              </w:rPr>
            </w:pPr>
            <w:r>
              <w:rPr>
                <w:rFonts w:hint="default" w:ascii="Times New Roman" w:hAnsi="Times New Roman" w:eastAsia="宋体" w:cs="Times New Roman"/>
                <w:bCs/>
                <w:color w:val="auto"/>
                <w:spacing w:val="0"/>
                <w:kern w:val="2"/>
                <w:sz w:val="24"/>
                <w:szCs w:val="24"/>
                <w:lang w:val="en-US" w:eastAsia="zh-CN" w:bidi="ar"/>
              </w:rPr>
              <w:t>本项目矿区修复治理工程为非生产性项目，内容为火区治理工程，项目运营期不产生废水、废气和噪声，且有利于防治水土流失，通过环境治理根治存在的安全隐患。</w:t>
            </w:r>
          </w:p>
        </w:tc>
      </w:tr>
      <w:tr w14:paraId="563474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86" w:hRule="atLeast"/>
          <w:jc w:val="center"/>
        </w:trPr>
        <w:tc>
          <w:tcPr>
            <w:tcW w:w="722" w:type="dxa"/>
            <w:noWrap w:val="0"/>
            <w:vAlign w:val="center"/>
          </w:tcPr>
          <w:p w14:paraId="12314140">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宋体"/>
                <w:b/>
                <w:bCs w:val="0"/>
                <w:color w:val="auto"/>
                <w:spacing w:val="10"/>
                <w:szCs w:val="21"/>
              </w:rPr>
            </w:pPr>
            <w:r>
              <w:rPr>
                <w:rFonts w:hint="eastAsia" w:ascii="Times New Roman" w:hAnsi="Times New Roman" w:eastAsia="宋体" w:cs="宋体"/>
                <w:b/>
                <w:bCs w:val="0"/>
                <w:color w:val="auto"/>
                <w:spacing w:val="10"/>
                <w:sz w:val="24"/>
                <w:szCs w:val="24"/>
              </w:rPr>
              <w:t>其他</w:t>
            </w:r>
          </w:p>
        </w:tc>
        <w:tc>
          <w:tcPr>
            <w:tcW w:w="8488" w:type="dxa"/>
            <w:noWrap w:val="0"/>
            <w:vAlign w:val="center"/>
          </w:tcPr>
          <w:p w14:paraId="3BFFF16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2"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bCs/>
                <w:color w:val="auto"/>
                <w:sz w:val="24"/>
                <w:szCs w:val="24"/>
                <w:lang w:val="en-US" w:eastAsia="zh-CN"/>
              </w:rPr>
              <w:t>1、环境管理</w:t>
            </w:r>
            <w:r>
              <w:rPr>
                <w:rFonts w:hint="eastAsia" w:ascii="Times New Roman" w:hAnsi="Times New Roman" w:eastAsia="宋体" w:cs="Times New Roman"/>
                <w:b w:val="0"/>
                <w:bCs w:val="0"/>
                <w:color w:val="auto"/>
                <w:sz w:val="24"/>
                <w:szCs w:val="24"/>
                <w:lang w:val="en-US" w:eastAsia="zh-CN"/>
              </w:rPr>
              <w:t xml:space="preserve"> </w:t>
            </w:r>
          </w:p>
          <w:p w14:paraId="46FC42F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 xml:space="preserve">鉴于施工期环境管理工作的重要性，建设单位应对施工单位提出建设期间的环保要求，并应对监理单位提出环境保护人员资质要求。在施工设计文件中详细说明施工期应注意的环境保护问题，严格要求施工单位按照设计文件施工，特别是按照环保设计要求施工。环境监理人员对施工中的每一道工序都应该严格检查是否满足环保要求，并不定期对施工点进行抽查。建设期环境保护管理的职责和任务如下： </w:t>
            </w:r>
          </w:p>
          <w:p w14:paraId="790FE45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 xml:space="preserve">①贯彻执行国家的各项环境保护方针、政策法规和规章制度。 </w:t>
            </w:r>
          </w:p>
          <w:p w14:paraId="0D5187F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②制定本工程施工</w:t>
            </w:r>
            <w:r>
              <w:rPr>
                <w:rFonts w:hint="eastAsia" w:cs="Times New Roman"/>
                <w:b w:val="0"/>
                <w:bCs w:val="0"/>
                <w:color w:val="auto"/>
                <w:sz w:val="24"/>
                <w:szCs w:val="24"/>
                <w:lang w:val="en-US" w:eastAsia="zh-CN"/>
              </w:rPr>
              <w:t>期间</w:t>
            </w:r>
            <w:r>
              <w:rPr>
                <w:rFonts w:hint="eastAsia" w:ascii="Times New Roman" w:hAnsi="Times New Roman" w:eastAsia="宋体" w:cs="Times New Roman"/>
                <w:b w:val="0"/>
                <w:bCs w:val="0"/>
                <w:color w:val="auto"/>
                <w:sz w:val="24"/>
                <w:szCs w:val="24"/>
                <w:lang w:val="en-US" w:eastAsia="zh-CN"/>
              </w:rPr>
              <w:t xml:space="preserve">的环境保护计划，负责工程施工过程中各项环境保护措施实施的监督和日常管理。 </w:t>
            </w:r>
          </w:p>
          <w:p w14:paraId="2C1E41E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③组织和开展对施工人员进行活动中应遵循的环保法规、知识培训，提高全体员工文明施工的认识。</w:t>
            </w:r>
          </w:p>
          <w:p w14:paraId="35E898A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 xml:space="preserve">④负责日常施工活动中的环境监理，做好工程用地区域的环境特征调查，对于环境保护目标要做到心中有数。  </w:t>
            </w:r>
          </w:p>
          <w:p w14:paraId="1A42F54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⑤在施工计划中应适当计划设备运输道路，施工中应考虑保护生态和避免水土流失，合理组织施工以减少占用临时施工用地。</w:t>
            </w:r>
          </w:p>
          <w:p w14:paraId="26DD5B0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⑥做好施工中各种环境问题的收集、记录、建档和处理工作</w:t>
            </w:r>
          </w:p>
          <w:p w14:paraId="67EBA76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⑦监督施工单位，使施工工作完成后的土地恢复和补偿，水保设施、环保设施等各项保护工程同时完成。</w:t>
            </w:r>
          </w:p>
          <w:p w14:paraId="0E5EC41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2、跟踪监测</w:t>
            </w:r>
          </w:p>
          <w:p w14:paraId="0F1D35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sz w:val="24"/>
                <w:szCs w:val="24"/>
                <w:lang w:val="en-US" w:eastAsia="zh-CN"/>
              </w:rPr>
              <w:t>应按照《新疆煤田火区治理工作规范（试行）》《煤田火灾灭火规范》等，对火区治理效果及生态恢复情况开展跟踪监测，保证生态环境保护措施的严格落实</w:t>
            </w:r>
            <w:r>
              <w:rPr>
                <w:rFonts w:hint="eastAsia" w:cs="Times New Roman"/>
                <w:b w:val="0"/>
                <w:bCs w:val="0"/>
                <w:color w:val="auto"/>
                <w:sz w:val="24"/>
                <w:szCs w:val="24"/>
                <w:lang w:val="en-US" w:eastAsia="zh-CN"/>
              </w:rPr>
              <w:t>。</w:t>
            </w:r>
          </w:p>
          <w:p w14:paraId="21A79CD5">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auto"/>
                <w:szCs w:val="21"/>
                <w:lang w:val="en-US" w:eastAsia="zh-CN"/>
              </w:rPr>
            </w:pPr>
          </w:p>
          <w:p w14:paraId="20406F5D">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auto"/>
                <w:szCs w:val="21"/>
                <w:lang w:val="en-US" w:eastAsia="zh-CN"/>
              </w:rPr>
            </w:pPr>
          </w:p>
        </w:tc>
      </w:tr>
      <w:tr w14:paraId="115F5E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61" w:hRule="atLeast"/>
          <w:jc w:val="center"/>
        </w:trPr>
        <w:tc>
          <w:tcPr>
            <w:tcW w:w="722" w:type="dxa"/>
            <w:noWrap w:val="0"/>
            <w:vAlign w:val="center"/>
          </w:tcPr>
          <w:p w14:paraId="2569673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宋体"/>
                <w:b/>
                <w:bCs w:val="0"/>
                <w:color w:val="auto"/>
                <w:spacing w:val="10"/>
                <w:szCs w:val="21"/>
              </w:rPr>
            </w:pPr>
            <w:r>
              <w:rPr>
                <w:rFonts w:hint="eastAsia" w:ascii="Times New Roman" w:hAnsi="Times New Roman" w:cs="Times New Roman"/>
                <w:b/>
                <w:bCs w:val="0"/>
                <w:color w:val="auto"/>
                <w:sz w:val="24"/>
                <w:szCs w:val="24"/>
              </w:rPr>
              <w:t>环保投资</w:t>
            </w:r>
          </w:p>
        </w:tc>
        <w:tc>
          <w:tcPr>
            <w:tcW w:w="8488" w:type="dxa"/>
            <w:noWrap w:val="0"/>
            <w:vAlign w:val="top"/>
          </w:tcPr>
          <w:p w14:paraId="12239887">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根据本项目建设内容</w:t>
            </w:r>
            <w:r>
              <w:rPr>
                <w:rFonts w:hint="default" w:ascii="Times New Roman" w:hAnsi="Times New Roman" w:cs="Times New Roman"/>
                <w:color w:val="auto"/>
                <w:sz w:val="24"/>
                <w:highlight w:val="none"/>
              </w:rPr>
              <w:t>及特点，环保投资估算见表</w:t>
            </w:r>
            <w:r>
              <w:rPr>
                <w:rFonts w:hint="default" w:ascii="Times New Roman" w:hAnsi="Times New Roman" w:cs="Times New Roman"/>
                <w:color w:val="auto"/>
                <w:sz w:val="24"/>
                <w:highlight w:val="none"/>
                <w:lang w:val="en-US" w:eastAsia="zh-CN"/>
              </w:rPr>
              <w:t>5-</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本</w:t>
            </w:r>
            <w:r>
              <w:rPr>
                <w:rFonts w:hint="default" w:ascii="Times New Roman" w:hAnsi="Times New Roman" w:cs="Times New Roman"/>
                <w:color w:val="auto"/>
                <w:sz w:val="24"/>
                <w:szCs w:val="24"/>
              </w:rPr>
              <w:t>项目总投资</w:t>
            </w:r>
            <w:r>
              <w:rPr>
                <w:rFonts w:hint="eastAsia" w:cs="宋体"/>
                <w:color w:val="auto"/>
                <w:sz w:val="24"/>
                <w:szCs w:val="24"/>
                <w:lang w:val="en-US" w:eastAsia="zh-CN"/>
              </w:rPr>
              <w:t>1287.45</w:t>
            </w:r>
            <w:r>
              <w:rPr>
                <w:rFonts w:hint="default" w:ascii="Times New Roman" w:hAnsi="Times New Roman" w:cs="Times New Roman"/>
                <w:color w:val="auto"/>
                <w:sz w:val="24"/>
                <w:szCs w:val="24"/>
              </w:rPr>
              <w:t>万元，环保投资</w:t>
            </w:r>
            <w:r>
              <w:rPr>
                <w:rFonts w:hint="eastAsia" w:cs="Times New Roman"/>
                <w:color w:val="auto"/>
                <w:sz w:val="24"/>
                <w:szCs w:val="24"/>
                <w:lang w:val="en-US" w:eastAsia="zh-CN"/>
              </w:rPr>
              <w:t>60</w:t>
            </w:r>
            <w:r>
              <w:rPr>
                <w:rFonts w:hint="default" w:ascii="Times New Roman" w:hAnsi="Times New Roman" w:cs="Times New Roman"/>
                <w:color w:val="auto"/>
                <w:sz w:val="24"/>
                <w:szCs w:val="24"/>
              </w:rPr>
              <w:t>万元，占总投资额的</w:t>
            </w:r>
            <w:r>
              <w:rPr>
                <w:rFonts w:hint="eastAsia" w:cs="Times New Roman"/>
                <w:color w:val="auto"/>
                <w:sz w:val="24"/>
                <w:szCs w:val="24"/>
                <w:lang w:val="en-US" w:eastAsia="zh-CN"/>
              </w:rPr>
              <w:t>4.66</w:t>
            </w:r>
            <w:r>
              <w:rPr>
                <w:rFonts w:hint="default" w:ascii="Times New Roman" w:hAnsi="Times New Roman" w:cs="Times New Roman"/>
                <w:color w:val="auto"/>
                <w:sz w:val="24"/>
                <w:szCs w:val="24"/>
              </w:rPr>
              <w:t>%。</w:t>
            </w:r>
          </w:p>
          <w:p w14:paraId="02A048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表</w:t>
            </w:r>
            <w:r>
              <w:rPr>
                <w:rFonts w:hint="default" w:ascii="Times New Roman" w:hAnsi="Times New Roman" w:cs="Times New Roman"/>
                <w:b/>
                <w:color w:val="auto"/>
                <w:sz w:val="21"/>
                <w:szCs w:val="21"/>
                <w:lang w:val="en-US" w:eastAsia="zh-CN"/>
              </w:rPr>
              <w:t>5-</w:t>
            </w:r>
            <w:r>
              <w:rPr>
                <w:rFonts w:hint="eastAsia" w:ascii="Times New Roman" w:hAnsi="Times New Roman" w:cs="Times New Roman"/>
                <w:b/>
                <w:color w:val="auto"/>
                <w:sz w:val="21"/>
                <w:szCs w:val="21"/>
                <w:lang w:val="en-US" w:eastAsia="zh-CN"/>
              </w:rPr>
              <w:t>1</w:t>
            </w:r>
            <w:r>
              <w:rPr>
                <w:rFonts w:hint="default" w:ascii="Times New Roman" w:hAnsi="Times New Roman" w:cs="Times New Roman"/>
                <w:b/>
                <w:color w:val="auto"/>
                <w:sz w:val="21"/>
                <w:szCs w:val="21"/>
              </w:rPr>
              <w:t xml:space="preserve"> </w:t>
            </w:r>
            <w:r>
              <w:rPr>
                <w:rFonts w:hint="default" w:ascii="Times New Roman" w:hAnsi="Times New Roman" w:cs="Times New Roman"/>
                <w:b/>
                <w:color w:val="auto"/>
                <w:sz w:val="21"/>
                <w:szCs w:val="21"/>
                <w:lang w:val="en-US" w:eastAsia="zh-CN"/>
              </w:rPr>
              <w:t xml:space="preserve">  </w:t>
            </w:r>
            <w:r>
              <w:rPr>
                <w:rFonts w:hint="default" w:ascii="Times New Roman" w:hAnsi="Times New Roman" w:cs="Times New Roman"/>
                <w:b/>
                <w:color w:val="auto"/>
                <w:sz w:val="21"/>
                <w:szCs w:val="21"/>
              </w:rPr>
              <w:t>环保投资估算</w:t>
            </w:r>
          </w:p>
          <w:tbl>
            <w:tblPr>
              <w:tblStyle w:val="26"/>
              <w:tblW w:w="49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1483"/>
              <w:gridCol w:w="5204"/>
              <w:gridCol w:w="967"/>
            </w:tblGrid>
            <w:tr w14:paraId="78C5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01" w:type="pct"/>
                  <w:gridSpan w:val="2"/>
                  <w:tcBorders>
                    <w:tl2br w:val="nil"/>
                    <w:tr2bl w:val="nil"/>
                  </w:tcBorders>
                  <w:noWrap w:val="0"/>
                  <w:vAlign w:val="center"/>
                </w:tcPr>
                <w:p w14:paraId="3CF900F5">
                  <w:pPr>
                    <w:pStyle w:val="104"/>
                    <w:keepNext w:val="0"/>
                    <w:keepLines w:val="0"/>
                    <w:suppressLineNumbers w:val="0"/>
                    <w:spacing w:before="0" w:beforeAutospacing="0" w:after="0" w:afterAutospacing="0"/>
                    <w:ind w:left="0" w:right="0"/>
                    <w:rPr>
                      <w:rFonts w:hint="eastAsia" w:ascii="Times New Roman" w:hAnsi="Times New Roman" w:cs="Times New Roman"/>
                      <w:b/>
                      <w:bCs/>
                      <w:color w:val="auto"/>
                      <w:kern w:val="2"/>
                      <w:sz w:val="21"/>
                      <w:szCs w:val="21"/>
                      <w:lang w:val="en-US" w:eastAsia="zh-CN"/>
                    </w:rPr>
                  </w:pPr>
                  <w:r>
                    <w:rPr>
                      <w:rFonts w:hint="eastAsia" w:ascii="Times New Roman" w:hAnsi="Times New Roman" w:cs="Times New Roman"/>
                      <w:b/>
                      <w:bCs/>
                      <w:color w:val="auto"/>
                      <w:kern w:val="2"/>
                      <w:sz w:val="21"/>
                      <w:szCs w:val="21"/>
                      <w:lang w:val="en-US" w:eastAsia="zh-CN"/>
                    </w:rPr>
                    <w:t>项目</w:t>
                  </w:r>
                </w:p>
              </w:tc>
              <w:tc>
                <w:tcPr>
                  <w:tcW w:w="3203" w:type="pct"/>
                  <w:tcBorders>
                    <w:tl2br w:val="nil"/>
                    <w:tr2bl w:val="nil"/>
                  </w:tcBorders>
                  <w:noWrap w:val="0"/>
                  <w:vAlign w:val="center"/>
                </w:tcPr>
                <w:p w14:paraId="3AF62220">
                  <w:pPr>
                    <w:pStyle w:val="104"/>
                    <w:keepNext w:val="0"/>
                    <w:keepLines w:val="0"/>
                    <w:suppressLineNumbers w:val="0"/>
                    <w:spacing w:before="0" w:beforeAutospacing="0" w:after="0" w:afterAutospacing="0"/>
                    <w:ind w:left="0" w:right="0"/>
                    <w:rPr>
                      <w:rFonts w:hint="default" w:ascii="Times New Roman" w:hAnsi="Times New Roman" w:eastAsia="宋体" w:cs="Times New Roman"/>
                      <w:b/>
                      <w:bCs/>
                      <w:color w:val="auto"/>
                      <w:kern w:val="2"/>
                      <w:sz w:val="21"/>
                      <w:szCs w:val="21"/>
                      <w:highlight w:val="none"/>
                      <w:lang w:val="en-US" w:eastAsia="zh-CN"/>
                    </w:rPr>
                  </w:pPr>
                  <w:r>
                    <w:rPr>
                      <w:rFonts w:hint="eastAsia" w:ascii="Times New Roman" w:hAnsi="Times New Roman" w:cs="Times New Roman"/>
                      <w:b/>
                      <w:bCs/>
                      <w:color w:val="auto"/>
                      <w:kern w:val="2"/>
                      <w:sz w:val="21"/>
                      <w:szCs w:val="21"/>
                      <w:highlight w:val="none"/>
                      <w:lang w:val="en-US" w:eastAsia="zh-CN"/>
                    </w:rPr>
                    <w:t>环保措施</w:t>
                  </w:r>
                </w:p>
              </w:tc>
              <w:tc>
                <w:tcPr>
                  <w:tcW w:w="595" w:type="pct"/>
                  <w:tcBorders>
                    <w:tl2br w:val="nil"/>
                    <w:tr2bl w:val="nil"/>
                  </w:tcBorders>
                  <w:noWrap w:val="0"/>
                  <w:vAlign w:val="center"/>
                </w:tcPr>
                <w:p w14:paraId="49283D2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投资</w:t>
                  </w:r>
                </w:p>
                <w:p w14:paraId="124770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（万元）</w:t>
                  </w:r>
                </w:p>
              </w:tc>
            </w:tr>
            <w:tr w14:paraId="0ADD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8" w:type="pct"/>
                  <w:tcBorders>
                    <w:tl2br w:val="nil"/>
                    <w:tr2bl w:val="nil"/>
                  </w:tcBorders>
                  <w:noWrap w:val="0"/>
                  <w:vAlign w:val="center"/>
                </w:tcPr>
                <w:p w14:paraId="1C3F2F3A">
                  <w:pPr>
                    <w:pStyle w:val="104"/>
                    <w:keepNext w:val="0"/>
                    <w:keepLines w:val="0"/>
                    <w:suppressLineNumbers w:val="0"/>
                    <w:spacing w:before="0" w:beforeAutospacing="0" w:after="0" w:afterAutospacing="0"/>
                    <w:ind w:left="0" w:right="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废气</w:t>
                  </w:r>
                </w:p>
              </w:tc>
              <w:tc>
                <w:tcPr>
                  <w:tcW w:w="912" w:type="pct"/>
                  <w:tcBorders>
                    <w:tl2br w:val="nil"/>
                    <w:tr2bl w:val="nil"/>
                  </w:tcBorders>
                  <w:noWrap w:val="0"/>
                  <w:vAlign w:val="center"/>
                </w:tcPr>
                <w:p w14:paraId="05751CF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施工扬尘；施工机械、车辆尾气</w:t>
                  </w:r>
                </w:p>
              </w:tc>
              <w:tc>
                <w:tcPr>
                  <w:tcW w:w="3203" w:type="pct"/>
                  <w:tcBorders>
                    <w:tl2br w:val="nil"/>
                    <w:tr2bl w:val="nil"/>
                  </w:tcBorders>
                  <w:noWrap w:val="0"/>
                  <w:vAlign w:val="center"/>
                </w:tcPr>
                <w:p w14:paraId="429FC196">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rPr>
                  </w:pPr>
                  <w:r>
                    <w:rPr>
                      <w:rFonts w:hint="eastAsia" w:cs="Times New Roman"/>
                      <w:color w:val="auto"/>
                      <w:sz w:val="21"/>
                      <w:szCs w:val="21"/>
                      <w:lang w:val="en-US" w:eastAsia="zh-CN"/>
                    </w:rPr>
                    <w:t>合理</w:t>
                  </w:r>
                  <w:r>
                    <w:rPr>
                      <w:rFonts w:hint="default" w:ascii="Times New Roman" w:hAnsi="Times New Roman" w:eastAsia="宋体" w:cs="Times New Roman"/>
                      <w:color w:val="auto"/>
                      <w:sz w:val="21"/>
                      <w:szCs w:val="21"/>
                      <w:lang w:val="en-US" w:eastAsia="zh-CN"/>
                    </w:rPr>
                    <w:t>安排施工进度及施工时间，避免雨天和大风天开挖施工作业</w:t>
                  </w:r>
                  <w:r>
                    <w:rPr>
                      <w:rFonts w:hint="eastAsia" w:ascii="Times New Roman" w:hAnsi="Times New Roman" w:eastAsia="宋体" w:cs="Times New Roman"/>
                      <w:color w:val="auto"/>
                      <w:sz w:val="21"/>
                      <w:szCs w:val="21"/>
                      <w:lang w:val="en-US" w:eastAsia="zh-CN"/>
                    </w:rPr>
                    <w:t>；</w:t>
                  </w:r>
                  <w:r>
                    <w:rPr>
                      <w:rFonts w:hint="eastAsia" w:cs="宋体"/>
                      <w:color w:val="auto"/>
                      <w:kern w:val="0"/>
                      <w:sz w:val="21"/>
                      <w:szCs w:val="21"/>
                      <w:lang w:val="en-US" w:eastAsia="zh-CN" w:bidi="ar"/>
                    </w:rPr>
                    <w:t>剥离工程、钻探工程、取土场</w:t>
                  </w:r>
                  <w:r>
                    <w:rPr>
                      <w:rFonts w:hint="eastAsia" w:ascii="Times New Roman" w:hAnsi="Times New Roman" w:cs="宋体"/>
                      <w:color w:val="auto"/>
                      <w:kern w:val="0"/>
                      <w:sz w:val="21"/>
                      <w:szCs w:val="21"/>
                      <w:lang w:bidi="ar"/>
                    </w:rPr>
                    <w:t>等易于产生地面扬尘的工程区域，采用定期洒水方式降低施工扬尘的影响</w:t>
                  </w:r>
                  <w:r>
                    <w:rPr>
                      <w:rFonts w:hint="eastAsia" w:ascii="Times New Roman" w:hAnsi="Times New Roman" w:cs="宋体"/>
                      <w:color w:val="auto"/>
                      <w:kern w:val="0"/>
                      <w:sz w:val="21"/>
                      <w:szCs w:val="21"/>
                      <w:lang w:eastAsia="zh-CN" w:bidi="ar"/>
                    </w:rPr>
                    <w:t>；</w:t>
                  </w:r>
                  <w:r>
                    <w:rPr>
                      <w:rFonts w:hint="eastAsia" w:ascii="Times New Roman" w:hAnsi="Times New Roman" w:eastAsia="宋体" w:cs="Times New Roman"/>
                      <w:color w:val="auto"/>
                      <w:sz w:val="21"/>
                      <w:szCs w:val="21"/>
                      <w:lang w:val="en-US" w:eastAsia="zh-CN"/>
                    </w:rPr>
                    <w:t>注浆站上料区域四周设置围挡，上料过程密闭或采用湿法作业；</w:t>
                  </w:r>
                  <w:r>
                    <w:rPr>
                      <w:rFonts w:hint="eastAsia" w:ascii="Times New Roman" w:hAnsi="Times New Roman" w:cs="宋体"/>
                      <w:color w:val="auto"/>
                      <w:kern w:val="0"/>
                      <w:sz w:val="21"/>
                      <w:szCs w:val="21"/>
                      <w:lang w:val="en-US" w:eastAsia="zh-CN" w:bidi="ar"/>
                    </w:rPr>
                    <w:t>运输车辆采取篷布覆盖、降低车速、运输道路洒水等措施降低扬尘污染；</w:t>
                  </w:r>
                  <w:r>
                    <w:rPr>
                      <w:rFonts w:hint="default" w:ascii="Times New Roman" w:hAnsi="Times New Roman" w:eastAsia="宋体" w:cs="Times New Roman"/>
                      <w:color w:val="auto"/>
                      <w:sz w:val="21"/>
                      <w:szCs w:val="21"/>
                      <w:highlight w:val="none"/>
                      <w:lang w:val="en-US" w:eastAsia="zh-CN"/>
                    </w:rPr>
                    <w:t>加强施工机械、车辆</w:t>
                  </w:r>
                  <w:r>
                    <w:rPr>
                      <w:rFonts w:hint="eastAsia" w:ascii="Times New Roman" w:hAnsi="Times New Roman" w:cs="Times New Roman"/>
                      <w:color w:val="auto"/>
                      <w:szCs w:val="21"/>
                    </w:rPr>
                    <w:t>维护保养，使用正品燃油</w:t>
                  </w:r>
                  <w:r>
                    <w:rPr>
                      <w:rFonts w:hint="eastAsia" w:ascii="Times New Roman" w:hAnsi="Times New Roman" w:cs="宋体"/>
                      <w:color w:val="auto"/>
                      <w:kern w:val="0"/>
                      <w:sz w:val="21"/>
                      <w:szCs w:val="21"/>
                      <w:lang w:bidi="ar"/>
                    </w:rPr>
                    <w:t>。</w:t>
                  </w:r>
                </w:p>
              </w:tc>
              <w:tc>
                <w:tcPr>
                  <w:tcW w:w="595" w:type="pct"/>
                  <w:tcBorders>
                    <w:tl2br w:val="nil"/>
                    <w:tr2bl w:val="nil"/>
                  </w:tcBorders>
                  <w:noWrap w:val="0"/>
                  <w:vAlign w:val="center"/>
                </w:tcPr>
                <w:p w14:paraId="238E9A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r>
            <w:tr w14:paraId="68DC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288" w:type="pct"/>
                  <w:vMerge w:val="restart"/>
                  <w:tcBorders>
                    <w:tl2br w:val="nil"/>
                    <w:tr2bl w:val="nil"/>
                  </w:tcBorders>
                  <w:noWrap w:val="0"/>
                  <w:vAlign w:val="center"/>
                </w:tcPr>
                <w:p w14:paraId="743AC8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废水</w:t>
                  </w:r>
                </w:p>
              </w:tc>
              <w:tc>
                <w:tcPr>
                  <w:tcW w:w="912" w:type="pct"/>
                  <w:tcBorders>
                    <w:tl2br w:val="nil"/>
                    <w:tr2bl w:val="nil"/>
                  </w:tcBorders>
                  <w:noWrap w:val="0"/>
                  <w:vAlign w:val="center"/>
                </w:tcPr>
                <w:p w14:paraId="3CA8A1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施工机械冲洗废水</w:t>
                  </w:r>
                </w:p>
              </w:tc>
              <w:tc>
                <w:tcPr>
                  <w:tcW w:w="3203" w:type="pct"/>
                  <w:tcBorders>
                    <w:tl2br w:val="nil"/>
                    <w:tr2bl w:val="nil"/>
                  </w:tcBorders>
                  <w:noWrap w:val="0"/>
                  <w:vAlign w:val="center"/>
                </w:tcPr>
                <w:p w14:paraId="3B47C7ED">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rPr>
                    <w:t>经沉淀后</w:t>
                  </w:r>
                  <w:r>
                    <w:rPr>
                      <w:rFonts w:hint="eastAsia" w:cs="Times New Roman"/>
                      <w:color w:val="auto"/>
                      <w:sz w:val="21"/>
                      <w:szCs w:val="21"/>
                      <w:lang w:val="en-US" w:eastAsia="zh-CN"/>
                    </w:rPr>
                    <w:t>循环使用，不外排</w:t>
                  </w:r>
                  <w:r>
                    <w:rPr>
                      <w:rFonts w:hint="eastAsia" w:cs="Times New Roman"/>
                      <w:color w:val="auto"/>
                      <w:sz w:val="21"/>
                      <w:szCs w:val="21"/>
                      <w:lang w:eastAsia="zh-CN"/>
                    </w:rPr>
                    <w:t>。</w:t>
                  </w:r>
                </w:p>
              </w:tc>
              <w:tc>
                <w:tcPr>
                  <w:tcW w:w="595" w:type="pct"/>
                  <w:tcBorders>
                    <w:tl2br w:val="nil"/>
                    <w:tr2bl w:val="nil"/>
                  </w:tcBorders>
                  <w:noWrap w:val="0"/>
                  <w:vAlign w:val="center"/>
                </w:tcPr>
                <w:p w14:paraId="7ADF5C5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r>
            <w:tr w14:paraId="655D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88" w:type="pct"/>
                  <w:vMerge w:val="continue"/>
                  <w:tcBorders>
                    <w:tl2br w:val="nil"/>
                    <w:tr2bl w:val="nil"/>
                  </w:tcBorders>
                  <w:noWrap w:val="0"/>
                  <w:vAlign w:val="center"/>
                </w:tcPr>
                <w:p w14:paraId="172563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912" w:type="pct"/>
                  <w:tcBorders>
                    <w:tl2br w:val="nil"/>
                    <w:tr2bl w:val="nil"/>
                  </w:tcBorders>
                  <w:noWrap w:val="0"/>
                  <w:vAlign w:val="center"/>
                </w:tcPr>
                <w:p w14:paraId="6B700C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生活污水</w:t>
                  </w:r>
                </w:p>
              </w:tc>
              <w:tc>
                <w:tcPr>
                  <w:tcW w:w="3203" w:type="pct"/>
                  <w:tcBorders>
                    <w:tl2br w:val="nil"/>
                    <w:tr2bl w:val="nil"/>
                  </w:tcBorders>
                  <w:noWrap w:val="0"/>
                  <w:vAlign w:val="center"/>
                </w:tcPr>
                <w:p w14:paraId="02F50EFA">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sz w:val="21"/>
                      <w:szCs w:val="21"/>
                      <w:lang w:val="en-US" w:eastAsia="zh-CN"/>
                    </w:rPr>
                    <w:t>依托</w:t>
                  </w:r>
                  <w:r>
                    <w:rPr>
                      <w:rFonts w:hint="eastAsia" w:cs="Times New Roman"/>
                      <w:color w:val="auto"/>
                      <w:kern w:val="0"/>
                      <w:sz w:val="21"/>
                      <w:szCs w:val="21"/>
                      <w:highlight w:val="none"/>
                      <w:lang w:val="en-US" w:eastAsia="zh-CN"/>
                    </w:rPr>
                    <w:t>康龙煤矿</w:t>
                  </w:r>
                  <w:r>
                    <w:rPr>
                      <w:rFonts w:hint="eastAsia" w:cs="Times New Roman"/>
                      <w:color w:val="auto"/>
                      <w:spacing w:val="-1"/>
                      <w:kern w:val="2"/>
                      <w:sz w:val="21"/>
                      <w:szCs w:val="21"/>
                      <w:lang w:val="en-US" w:eastAsia="zh-CN" w:bidi="ar-SA"/>
                    </w:rPr>
                    <w:t>行政福利生活场地</w:t>
                  </w:r>
                  <w:r>
                    <w:rPr>
                      <w:rFonts w:hint="eastAsia" w:cs="Times New Roman"/>
                      <w:color w:val="auto"/>
                      <w:kern w:val="0"/>
                      <w:sz w:val="21"/>
                      <w:szCs w:val="21"/>
                      <w:highlight w:val="none"/>
                      <w:lang w:val="en-US" w:eastAsia="zh-CN"/>
                    </w:rPr>
                    <w:t>已建地埋式污水处理设备处理后用于绿化。</w:t>
                  </w:r>
                </w:p>
              </w:tc>
              <w:tc>
                <w:tcPr>
                  <w:tcW w:w="595" w:type="pct"/>
                  <w:tcBorders>
                    <w:tl2br w:val="nil"/>
                    <w:tr2bl w:val="nil"/>
                  </w:tcBorders>
                  <w:noWrap w:val="0"/>
                  <w:vAlign w:val="center"/>
                </w:tcPr>
                <w:p w14:paraId="3FB1216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r w14:paraId="1727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8" w:type="pct"/>
                  <w:tcBorders>
                    <w:tl2br w:val="nil"/>
                    <w:tr2bl w:val="nil"/>
                  </w:tcBorders>
                  <w:noWrap w:val="0"/>
                  <w:vAlign w:val="center"/>
                </w:tcPr>
                <w:p w14:paraId="5187C1D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噪声</w:t>
                  </w:r>
                </w:p>
              </w:tc>
              <w:tc>
                <w:tcPr>
                  <w:tcW w:w="912" w:type="pct"/>
                  <w:tcBorders>
                    <w:tl2br w:val="nil"/>
                    <w:tr2bl w:val="nil"/>
                  </w:tcBorders>
                  <w:noWrap w:val="0"/>
                  <w:vAlign w:val="center"/>
                </w:tcPr>
                <w:p w14:paraId="2A14DF6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施工机械噪声</w:t>
                  </w:r>
                </w:p>
              </w:tc>
              <w:tc>
                <w:tcPr>
                  <w:tcW w:w="3203" w:type="pct"/>
                  <w:tcBorders>
                    <w:tl2br w:val="nil"/>
                    <w:tr2bl w:val="nil"/>
                  </w:tcBorders>
                  <w:noWrap w:val="0"/>
                  <w:vAlign w:val="center"/>
                </w:tcPr>
                <w:p w14:paraId="32AF3AA6">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宋体" w:hAnsi="宋体" w:eastAsia="宋体" w:cs="宋体"/>
                      <w:color w:val="auto"/>
                      <w:kern w:val="2"/>
                      <w:sz w:val="21"/>
                      <w:szCs w:val="21"/>
                      <w:lang w:val="en-US" w:eastAsia="zh-CN" w:bidi="ar-SA"/>
                    </w:rPr>
                    <w:t>选用符合国家有关标准的机械</w:t>
                  </w:r>
                  <w:r>
                    <w:rPr>
                      <w:rFonts w:hint="eastAsia" w:ascii="宋体" w:hAnsi="宋体" w:eastAsia="宋体" w:cs="宋体"/>
                      <w:color w:val="auto"/>
                      <w:kern w:val="2"/>
                      <w:sz w:val="21"/>
                      <w:szCs w:val="21"/>
                      <w:lang w:val="en-US" w:eastAsia="zh-CN" w:bidi="ar-SA"/>
                    </w:rPr>
                    <w:t>设备和</w:t>
                  </w:r>
                  <w:r>
                    <w:rPr>
                      <w:rFonts w:hint="default" w:ascii="宋体" w:hAnsi="宋体" w:eastAsia="宋体" w:cs="宋体"/>
                      <w:color w:val="auto"/>
                      <w:kern w:val="2"/>
                      <w:sz w:val="21"/>
                      <w:szCs w:val="21"/>
                      <w:lang w:val="en-US" w:eastAsia="zh-CN" w:bidi="ar-SA"/>
                    </w:rPr>
                    <w:t>车辆，从源头降低噪声源强；合理安排施工时间，合理</w:t>
                  </w:r>
                  <w:r>
                    <w:rPr>
                      <w:rFonts w:hint="eastAsia" w:ascii="宋体" w:hAnsi="宋体" w:eastAsia="宋体" w:cs="宋体"/>
                      <w:color w:val="auto"/>
                      <w:kern w:val="2"/>
                      <w:sz w:val="21"/>
                      <w:szCs w:val="21"/>
                      <w:lang w:val="en-US" w:eastAsia="zh-CN" w:bidi="ar-SA"/>
                    </w:rPr>
                    <w:t>布置</w:t>
                  </w:r>
                  <w:r>
                    <w:rPr>
                      <w:rFonts w:hint="default" w:ascii="宋体" w:hAnsi="宋体" w:eastAsia="宋体" w:cs="宋体"/>
                      <w:color w:val="auto"/>
                      <w:kern w:val="2"/>
                      <w:sz w:val="21"/>
                      <w:szCs w:val="21"/>
                      <w:lang w:val="en-US" w:eastAsia="zh-CN" w:bidi="ar-SA"/>
                    </w:rPr>
                    <w:t>施工场地机械设置，</w:t>
                  </w:r>
                  <w:r>
                    <w:rPr>
                      <w:rFonts w:hint="eastAsia" w:ascii="宋体" w:hAnsi="宋体" w:eastAsia="宋体" w:cs="宋体"/>
                      <w:color w:val="auto"/>
                      <w:kern w:val="2"/>
                      <w:sz w:val="21"/>
                      <w:szCs w:val="21"/>
                      <w:lang w:val="en-US" w:eastAsia="zh-CN" w:bidi="ar-SA"/>
                    </w:rPr>
                    <w:t>钻机</w:t>
                  </w:r>
                  <w:r>
                    <w:rPr>
                      <w:rFonts w:hint="eastAsia" w:ascii="宋体" w:hAnsi="宋体" w:cs="宋体"/>
                      <w:color w:val="auto"/>
                      <w:kern w:val="2"/>
                      <w:sz w:val="21"/>
                      <w:szCs w:val="21"/>
                      <w:lang w:val="en-US" w:eastAsia="zh-CN" w:bidi="ar-SA"/>
                    </w:rPr>
                    <w:t>、泥浆泵</w:t>
                  </w:r>
                  <w:r>
                    <w:rPr>
                      <w:rFonts w:hint="eastAsia" w:ascii="宋体" w:hAnsi="宋体" w:eastAsia="宋体" w:cs="宋体"/>
                      <w:color w:val="auto"/>
                      <w:kern w:val="2"/>
                      <w:sz w:val="21"/>
                      <w:szCs w:val="21"/>
                      <w:lang w:val="en-US" w:eastAsia="zh-CN" w:bidi="ar-SA"/>
                    </w:rPr>
                    <w:t>等高噪声设备采取隔声、消声等</w:t>
                  </w:r>
                  <w:r>
                    <w:rPr>
                      <w:rFonts w:hint="default" w:ascii="宋体" w:hAnsi="宋体" w:eastAsia="宋体" w:cs="宋体"/>
                      <w:color w:val="auto"/>
                      <w:kern w:val="2"/>
                      <w:sz w:val="21"/>
                      <w:szCs w:val="21"/>
                      <w:lang w:val="en-US" w:eastAsia="zh-CN" w:bidi="ar-SA"/>
                    </w:rPr>
                    <w:t>降噪措施</w:t>
                  </w:r>
                  <w:r>
                    <w:rPr>
                      <w:rFonts w:hint="eastAsia" w:ascii="宋体" w:hAnsi="宋体" w:eastAsia="宋体" w:cs="宋体"/>
                      <w:color w:val="auto"/>
                      <w:kern w:val="2"/>
                      <w:sz w:val="21"/>
                      <w:szCs w:val="21"/>
                      <w:lang w:val="en-US" w:eastAsia="zh-CN" w:bidi="ar-SA"/>
                    </w:rPr>
                    <w:t>。</w:t>
                  </w:r>
                </w:p>
              </w:tc>
              <w:tc>
                <w:tcPr>
                  <w:tcW w:w="595" w:type="pct"/>
                  <w:tcBorders>
                    <w:tl2br w:val="nil"/>
                    <w:tr2bl w:val="nil"/>
                  </w:tcBorders>
                  <w:noWrap w:val="0"/>
                  <w:vAlign w:val="center"/>
                </w:tcPr>
                <w:p w14:paraId="39C2F8B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r>
            <w:tr w14:paraId="3764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8" w:type="pct"/>
                  <w:vMerge w:val="restart"/>
                  <w:tcBorders>
                    <w:tl2br w:val="nil"/>
                    <w:tr2bl w:val="nil"/>
                  </w:tcBorders>
                  <w:noWrap w:val="0"/>
                  <w:vAlign w:val="center"/>
                </w:tcPr>
                <w:p w14:paraId="50A0F9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固废</w:t>
                  </w:r>
                </w:p>
              </w:tc>
              <w:tc>
                <w:tcPr>
                  <w:tcW w:w="912" w:type="pct"/>
                  <w:tcBorders>
                    <w:tl2br w:val="nil"/>
                    <w:tr2bl w:val="nil"/>
                  </w:tcBorders>
                  <w:noWrap w:val="0"/>
                  <w:vAlign w:val="center"/>
                </w:tcPr>
                <w:p w14:paraId="1AF0901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土石方</w:t>
                  </w:r>
                </w:p>
              </w:tc>
              <w:tc>
                <w:tcPr>
                  <w:tcW w:w="3203" w:type="pct"/>
                  <w:tcBorders>
                    <w:tl2br w:val="nil"/>
                    <w:tr2bl w:val="nil"/>
                  </w:tcBorders>
                  <w:noWrap w:val="0"/>
                  <w:vAlign w:val="center"/>
                </w:tcPr>
                <w:p w14:paraId="54801186">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lang w:val="en-US" w:eastAsia="zh-CN"/>
                    </w:rPr>
                  </w:pPr>
                  <w:r>
                    <w:rPr>
                      <w:rFonts w:hint="eastAsia" w:cs="Times New Roman"/>
                      <w:color w:val="auto"/>
                      <w:kern w:val="0"/>
                      <w:sz w:val="21"/>
                      <w:szCs w:val="21"/>
                      <w:highlight w:val="none"/>
                      <w:lang w:val="en-US" w:eastAsia="zh-CN"/>
                    </w:rPr>
                    <w:t>剥离工程剥离土方不外排，剥离台阶土方直接向低处甩方自然堆弃，不设置排土场</w:t>
                  </w:r>
                  <w:r>
                    <w:rPr>
                      <w:rFonts w:hint="eastAsia" w:ascii="Times New Roman" w:hAnsi="Times New Roman" w:cs="Times New Roman"/>
                      <w:color w:val="auto"/>
                      <w:sz w:val="21"/>
                      <w:szCs w:val="21"/>
                      <w:lang w:bidi="ar"/>
                    </w:rPr>
                    <w:t>。</w:t>
                  </w:r>
                  <w:r>
                    <w:rPr>
                      <w:rFonts w:hint="eastAsia" w:ascii="Times New Roman" w:hAnsi="Times New Roman" w:eastAsia="宋体" w:cs="Times New Roman"/>
                      <w:color w:val="auto"/>
                      <w:sz w:val="21"/>
                      <w:szCs w:val="21"/>
                      <w:lang w:val="en-US" w:eastAsia="zh-CN" w:bidi="ar"/>
                    </w:rPr>
                    <w:t>土石方堆放限制在火区治理范围内</w:t>
                  </w:r>
                  <w:r>
                    <w:rPr>
                      <w:rFonts w:hint="eastAsia" w:cs="Times New Roman"/>
                      <w:color w:val="auto"/>
                      <w:sz w:val="21"/>
                      <w:szCs w:val="21"/>
                      <w:lang w:val="en-US" w:eastAsia="zh-CN" w:bidi="ar"/>
                    </w:rPr>
                    <w:t>，</w:t>
                  </w:r>
                  <w:r>
                    <w:rPr>
                      <w:rFonts w:hint="default"/>
                      <w:spacing w:val="-1"/>
                      <w:sz w:val="21"/>
                      <w:szCs w:val="21"/>
                    </w:rPr>
                    <w:t>治理结束后可进行边坡防护、场地平整，再进行生态恢复。</w:t>
                  </w:r>
                </w:p>
              </w:tc>
              <w:tc>
                <w:tcPr>
                  <w:tcW w:w="595" w:type="pct"/>
                  <w:vMerge w:val="restart"/>
                  <w:tcBorders>
                    <w:tl2br w:val="nil"/>
                    <w:tr2bl w:val="nil"/>
                  </w:tcBorders>
                  <w:noWrap w:val="0"/>
                  <w:vAlign w:val="center"/>
                </w:tcPr>
                <w:p w14:paraId="281D3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r>
            <w:tr w14:paraId="2AD9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88" w:type="pct"/>
                  <w:vMerge w:val="continue"/>
                  <w:tcBorders>
                    <w:tl2br w:val="nil"/>
                    <w:tr2bl w:val="nil"/>
                  </w:tcBorders>
                  <w:noWrap w:val="0"/>
                  <w:vAlign w:val="center"/>
                </w:tcPr>
                <w:p w14:paraId="3A07C42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912" w:type="pct"/>
                  <w:tcBorders>
                    <w:tl2br w:val="nil"/>
                    <w:tr2bl w:val="nil"/>
                  </w:tcBorders>
                  <w:noWrap w:val="0"/>
                  <w:vAlign w:val="center"/>
                </w:tcPr>
                <w:p w14:paraId="2D29BD6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生活垃圾</w:t>
                  </w:r>
                </w:p>
              </w:tc>
              <w:tc>
                <w:tcPr>
                  <w:tcW w:w="3203" w:type="pct"/>
                  <w:tcBorders>
                    <w:tl2br w:val="nil"/>
                    <w:tr2bl w:val="nil"/>
                  </w:tcBorders>
                  <w:noWrap w:val="0"/>
                  <w:vAlign w:val="center"/>
                </w:tcPr>
                <w:p w14:paraId="13CA6D7B">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lang w:val="en-US" w:eastAsia="zh-CN"/>
                    </w:rPr>
                    <w:t>生活垃圾统一定点收集，委托环卫部门拉运至当地生活垃圾填埋场处理。</w:t>
                  </w:r>
                </w:p>
              </w:tc>
              <w:tc>
                <w:tcPr>
                  <w:tcW w:w="595" w:type="pct"/>
                  <w:vMerge w:val="continue"/>
                  <w:tcBorders>
                    <w:tl2br w:val="nil"/>
                    <w:tr2bl w:val="nil"/>
                  </w:tcBorders>
                  <w:noWrap w:val="0"/>
                  <w:vAlign w:val="center"/>
                </w:tcPr>
                <w:p w14:paraId="3A14BF7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p>
              </w:tc>
            </w:tr>
            <w:tr w14:paraId="4421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01" w:type="pct"/>
                  <w:gridSpan w:val="2"/>
                  <w:tcBorders>
                    <w:tl2br w:val="nil"/>
                    <w:tr2bl w:val="nil"/>
                  </w:tcBorders>
                  <w:noWrap w:val="0"/>
                  <w:vAlign w:val="center"/>
                </w:tcPr>
                <w:p w14:paraId="5217DF2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 w:val="0"/>
                      <w:bCs/>
                      <w:color w:val="auto"/>
                      <w:sz w:val="21"/>
                      <w:szCs w:val="21"/>
                      <w:highlight w:val="none"/>
                      <w:vertAlign w:val="baseline"/>
                      <w:lang w:val="en-US" w:eastAsia="zh-CN"/>
                    </w:rPr>
                    <w:t>土壤、地下水环境</w:t>
                  </w:r>
                </w:p>
              </w:tc>
              <w:tc>
                <w:tcPr>
                  <w:tcW w:w="3203" w:type="pct"/>
                  <w:tcBorders>
                    <w:tl2br w:val="nil"/>
                    <w:tr2bl w:val="nil"/>
                  </w:tcBorders>
                  <w:noWrap w:val="0"/>
                  <w:vAlign w:val="center"/>
                </w:tcPr>
                <w:p w14:paraId="65756A45">
                  <w:pPr>
                    <w:keepNext w:val="0"/>
                    <w:keepLines w:val="0"/>
                    <w:suppressLineNumbers w:val="0"/>
                    <w:spacing w:before="0" w:beforeAutospacing="0" w:after="0" w:afterAutospacing="0"/>
                    <w:ind w:left="0" w:leftChars="0" w:right="0" w:rightChars="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highlight w:val="none"/>
                      <w:lang w:val="en-US" w:eastAsia="zh-CN"/>
                    </w:rPr>
                    <w:t>钻探设备、注浆设备进场后，所有涉油、涉水设备下部均铺设土工膜及防渗布，设备周围铺设围堰，防止油、水跑冒渗漏，并及时清理防渗布表面油、水等污渍注浆过程实时监测，防治泥浆泄漏。</w:t>
                  </w:r>
                </w:p>
              </w:tc>
              <w:tc>
                <w:tcPr>
                  <w:tcW w:w="595" w:type="pct"/>
                  <w:tcBorders>
                    <w:tl2br w:val="nil"/>
                    <w:tr2bl w:val="nil"/>
                  </w:tcBorders>
                  <w:noWrap w:val="0"/>
                  <w:vAlign w:val="center"/>
                </w:tcPr>
                <w:p w14:paraId="58A3E94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r>
            <w:tr w14:paraId="493A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201" w:type="pct"/>
                  <w:gridSpan w:val="2"/>
                  <w:tcBorders>
                    <w:tl2br w:val="nil"/>
                    <w:tr2bl w:val="nil"/>
                  </w:tcBorders>
                  <w:noWrap w:val="0"/>
                  <w:vAlign w:val="center"/>
                </w:tcPr>
                <w:p w14:paraId="0FF4722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w:t>
                  </w:r>
                  <w:r>
                    <w:rPr>
                      <w:rFonts w:hint="eastAsia" w:ascii="Times New Roman" w:hAnsi="Times New Roman" w:cs="Times New Roman"/>
                      <w:color w:val="auto"/>
                      <w:sz w:val="21"/>
                      <w:szCs w:val="21"/>
                      <w:lang w:val="en-US" w:eastAsia="zh-CN"/>
                    </w:rPr>
                    <w:t>保护</w:t>
                  </w:r>
                </w:p>
              </w:tc>
              <w:tc>
                <w:tcPr>
                  <w:tcW w:w="3203" w:type="pct"/>
                  <w:tcBorders>
                    <w:tl2br w:val="nil"/>
                    <w:tr2bl w:val="nil"/>
                  </w:tcBorders>
                  <w:noWrap w:val="0"/>
                  <w:vAlign w:val="center"/>
                </w:tcPr>
                <w:p w14:paraId="70BBB99B">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严格控制取土范围、规范开挖方式，取土后应及时固定边坡，按照技术规范要求比例进行放坡，防止取土场滑坡，取土场应设置截水沟以防止水土流失。火区治理区施工应充分利用原有道路，避免产生新的地貌破坏。火区注水和注浆过程中应严格按照规范进行，采取措施防止汽柴油等污染土壤环境。施工期应加强生态环境保护宣传教育，禁止施工作业人员捕杀野生动物和随意破坏野生植物。火区治理结束后应对取土场、火区治理区占用的临时牧草用地进行场地平整、植被恢复。</w:t>
                  </w:r>
                </w:p>
              </w:tc>
              <w:tc>
                <w:tcPr>
                  <w:tcW w:w="595" w:type="pct"/>
                  <w:tcBorders>
                    <w:tl2br w:val="nil"/>
                    <w:tr2bl w:val="nil"/>
                  </w:tcBorders>
                  <w:noWrap w:val="0"/>
                  <w:vAlign w:val="center"/>
                </w:tcPr>
                <w:p w14:paraId="638BFE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r>
            <w:tr w14:paraId="2D87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201" w:type="pct"/>
                  <w:gridSpan w:val="2"/>
                  <w:tcBorders>
                    <w:tl2br w:val="nil"/>
                    <w:tr2bl w:val="nil"/>
                  </w:tcBorders>
                  <w:noWrap w:val="0"/>
                  <w:vAlign w:val="center"/>
                </w:tcPr>
                <w:p w14:paraId="10145365">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环境风险防范</w:t>
                  </w:r>
                </w:p>
              </w:tc>
              <w:tc>
                <w:tcPr>
                  <w:tcW w:w="3203" w:type="pct"/>
                  <w:tcBorders>
                    <w:tl2br w:val="nil"/>
                    <w:tr2bl w:val="nil"/>
                  </w:tcBorders>
                  <w:noWrap w:val="0"/>
                  <w:vAlign w:val="center"/>
                </w:tcPr>
                <w:p w14:paraId="096E9DD8">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防止泥浆外溢，设置必要的护坡等，加强巡视、检查和日常宣传；加强钻孔、注水、注浆</w:t>
                  </w:r>
                  <w:r>
                    <w:rPr>
                      <w:rFonts w:hint="eastAsia" w:cs="Times New Roman"/>
                      <w:color w:val="auto"/>
                      <w:sz w:val="21"/>
                      <w:szCs w:val="21"/>
                      <w:lang w:val="en-US" w:eastAsia="zh-CN"/>
                    </w:rPr>
                    <w:t>、覆盖</w:t>
                  </w:r>
                  <w:r>
                    <w:rPr>
                      <w:rFonts w:hint="eastAsia" w:ascii="Times New Roman" w:hAnsi="Times New Roman" w:eastAsia="宋体" w:cs="Times New Roman"/>
                      <w:color w:val="auto"/>
                      <w:sz w:val="21"/>
                      <w:szCs w:val="21"/>
                      <w:lang w:val="en-US" w:eastAsia="zh-CN"/>
                    </w:rPr>
                    <w:t>等施工风险防范，建立应急处置制度。</w:t>
                  </w:r>
                </w:p>
              </w:tc>
              <w:tc>
                <w:tcPr>
                  <w:tcW w:w="595" w:type="pct"/>
                  <w:tcBorders>
                    <w:tl2br w:val="nil"/>
                    <w:tr2bl w:val="nil"/>
                  </w:tcBorders>
                  <w:noWrap w:val="0"/>
                  <w:vAlign w:val="center"/>
                </w:tcPr>
                <w:p w14:paraId="0E5D50B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r>
            <w:tr w14:paraId="387E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201" w:type="pct"/>
                  <w:gridSpan w:val="2"/>
                  <w:tcBorders>
                    <w:tl2br w:val="nil"/>
                    <w:tr2bl w:val="nil"/>
                  </w:tcBorders>
                  <w:noWrap w:val="0"/>
                  <w:vAlign w:val="center"/>
                </w:tcPr>
                <w:p w14:paraId="1BA356A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监测</w:t>
                  </w:r>
                </w:p>
              </w:tc>
              <w:tc>
                <w:tcPr>
                  <w:tcW w:w="3203" w:type="pct"/>
                  <w:tcBorders>
                    <w:tl2br w:val="nil"/>
                    <w:tr2bl w:val="nil"/>
                  </w:tcBorders>
                  <w:noWrap w:val="0"/>
                  <w:vAlign w:val="center"/>
                </w:tcPr>
                <w:p w14:paraId="347622C9">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治理效果和生态恢复跟踪监测。</w:t>
                  </w:r>
                </w:p>
              </w:tc>
              <w:tc>
                <w:tcPr>
                  <w:tcW w:w="595" w:type="pct"/>
                  <w:tcBorders>
                    <w:tl2br w:val="nil"/>
                    <w:tr2bl w:val="nil"/>
                  </w:tcBorders>
                  <w:noWrap w:val="0"/>
                  <w:vAlign w:val="center"/>
                </w:tcPr>
                <w:p w14:paraId="0A0503C5">
                  <w:pPr>
                    <w:keepNext w:val="0"/>
                    <w:keepLines w:val="0"/>
                    <w:suppressLineNumbers w:val="0"/>
                    <w:spacing w:before="0" w:beforeAutospacing="0" w:after="0" w:afterAutospacing="0" w:line="240" w:lineRule="auto"/>
                    <w:ind w:left="0" w:right="0"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r>
            <w:tr w14:paraId="0B79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404" w:type="pct"/>
                  <w:gridSpan w:val="3"/>
                  <w:tcBorders>
                    <w:tl2br w:val="nil"/>
                    <w:tr2bl w:val="nil"/>
                  </w:tcBorders>
                  <w:noWrap w:val="0"/>
                  <w:vAlign w:val="center"/>
                </w:tcPr>
                <w:p w14:paraId="2F29052D">
                  <w:pPr>
                    <w:keepNext w:val="0"/>
                    <w:keepLines w:val="0"/>
                    <w:suppressLineNumbers w:val="0"/>
                    <w:spacing w:before="0" w:beforeAutospacing="0" w:after="0" w:afterAutospacing="0" w:line="240" w:lineRule="auto"/>
                    <w:ind w:left="-105" w:leftChars="-50" w:right="-105" w:rightChars="-5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合计</w:t>
                  </w:r>
                </w:p>
              </w:tc>
              <w:tc>
                <w:tcPr>
                  <w:tcW w:w="595" w:type="pct"/>
                  <w:tcBorders>
                    <w:tl2br w:val="nil"/>
                    <w:tr2bl w:val="nil"/>
                  </w:tcBorders>
                  <w:noWrap w:val="0"/>
                  <w:vAlign w:val="center"/>
                </w:tcPr>
                <w:p w14:paraId="2BDCE2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r>
          </w:tbl>
          <w:p w14:paraId="2BAD1EE3">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cs="宋体"/>
                <w:bCs/>
                <w:color w:val="auto"/>
                <w:spacing w:val="10"/>
                <w:szCs w:val="21"/>
              </w:rPr>
            </w:pPr>
          </w:p>
        </w:tc>
      </w:tr>
    </w:tbl>
    <w:p w14:paraId="009DBCA1">
      <w:pPr>
        <w:rPr>
          <w:color w:val="auto"/>
        </w:rPr>
        <w:sectPr>
          <w:pgSz w:w="11907" w:h="16840"/>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p w14:paraId="50B4AA0C">
      <w:pPr>
        <w:pStyle w:val="23"/>
        <w:jc w:val="center"/>
        <w:outlineLvl w:val="0"/>
        <w:rPr>
          <w:rFonts w:ascii="黑体" w:hAnsi="黑体" w:eastAsia="黑体"/>
          <w:snapToGrid w:val="0"/>
          <w:color w:val="auto"/>
          <w:sz w:val="30"/>
          <w:szCs w:val="30"/>
        </w:rPr>
      </w:pPr>
      <w:bookmarkStart w:id="65" w:name="_Toc2941"/>
      <w:r>
        <w:rPr>
          <w:rFonts w:hint="eastAsia" w:ascii="黑体" w:hAnsi="黑体" w:eastAsia="黑体"/>
          <w:snapToGrid w:val="0"/>
          <w:color w:val="auto"/>
          <w:sz w:val="30"/>
          <w:szCs w:val="30"/>
        </w:rPr>
        <w:t>六、生态环境保护措施监督检查清单</w:t>
      </w:r>
      <w:bookmarkEnd w:id="65"/>
    </w:p>
    <w:tbl>
      <w:tblPr>
        <w:tblStyle w:val="26"/>
        <w:tblW w:w="524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3660"/>
        <w:gridCol w:w="1833"/>
        <w:gridCol w:w="1500"/>
        <w:gridCol w:w="1360"/>
      </w:tblGrid>
      <w:tr w14:paraId="241F85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7" w:type="pct"/>
            <w:vMerge w:val="restart"/>
            <w:tcBorders>
              <w:tl2br w:val="single" w:color="auto" w:sz="4" w:space="0"/>
            </w:tcBorders>
            <w:noWrap w:val="0"/>
            <w:vAlign w:val="top"/>
          </w:tcPr>
          <w:p w14:paraId="4849A19F">
            <w:pPr>
              <w:pStyle w:val="23"/>
              <w:keepNext w:val="0"/>
              <w:keepLines w:val="0"/>
              <w:pageBreakBefore w:val="0"/>
              <w:suppressLineNumbers w:val="0"/>
              <w:kinsoku/>
              <w:wordWrap/>
              <w:overflowPunct/>
              <w:topLinePunct w:val="0"/>
              <w:autoSpaceDE/>
              <w:autoSpaceDN/>
              <w:bidi w:val="0"/>
              <w:adjustRightInd w:val="0"/>
              <w:snapToGrid w:val="0"/>
              <w:spacing w:before="72" w:beforeLines="30" w:beforeAutospacing="0" w:after="0" w:afterAutospacing="0"/>
              <w:ind w:left="0" w:right="0"/>
              <w:jc w:val="center"/>
              <w:textAlignment w:val="auto"/>
              <w:outlineLvl w:val="9"/>
              <w:rPr>
                <w:rFonts w:hint="default" w:ascii="Times New Roman" w:hAnsi="Times New Roman" w:cs="宋体"/>
                <w:b/>
                <w:bCs/>
                <w:color w:val="auto"/>
                <w:kern w:val="2"/>
                <w:sz w:val="21"/>
                <w:szCs w:val="21"/>
              </w:rPr>
            </w:pPr>
            <w:r>
              <w:rPr>
                <w:rFonts w:hint="eastAsia" w:ascii="Times New Roman" w:hAnsi="Times New Roman" w:cs="宋体"/>
                <w:b/>
                <w:bCs/>
                <w:color w:val="auto"/>
                <w:kern w:val="2"/>
                <w:sz w:val="21"/>
                <w:szCs w:val="21"/>
              </w:rPr>
              <w:t xml:space="preserve"> 内容   </w:t>
            </w:r>
          </w:p>
          <w:p w14:paraId="372F1594">
            <w:pPr>
              <w:pStyle w:val="23"/>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textAlignment w:val="auto"/>
              <w:outlineLvl w:val="9"/>
              <w:rPr>
                <w:rFonts w:hint="eastAsia" w:ascii="Times New Roman" w:hAnsi="Times New Roman" w:cs="宋体"/>
                <w:b/>
                <w:bCs/>
                <w:color w:val="auto"/>
                <w:kern w:val="2"/>
                <w:sz w:val="21"/>
                <w:szCs w:val="21"/>
              </w:rPr>
            </w:pPr>
            <w:r>
              <w:rPr>
                <w:rFonts w:hint="eastAsia" w:ascii="Times New Roman" w:hAnsi="Times New Roman" w:cs="宋体"/>
                <w:b/>
                <w:bCs/>
                <w:color w:val="auto"/>
                <w:kern w:val="2"/>
                <w:sz w:val="21"/>
                <w:szCs w:val="21"/>
              </w:rPr>
              <w:t xml:space="preserve">  </w:t>
            </w:r>
          </w:p>
          <w:p w14:paraId="55467731">
            <w:pPr>
              <w:pStyle w:val="23"/>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textAlignment w:val="auto"/>
              <w:outlineLvl w:val="9"/>
              <w:rPr>
                <w:rFonts w:hint="eastAsia" w:ascii="Times New Roman" w:hAnsi="Times New Roman" w:cs="宋体"/>
                <w:b/>
                <w:bCs/>
                <w:color w:val="auto"/>
                <w:kern w:val="2"/>
                <w:sz w:val="21"/>
                <w:szCs w:val="21"/>
              </w:rPr>
            </w:pPr>
            <w:r>
              <w:rPr>
                <w:rFonts w:hint="eastAsia" w:ascii="Times New Roman" w:hAnsi="Times New Roman" w:cs="宋体"/>
                <w:b/>
                <w:bCs/>
                <w:color w:val="auto"/>
                <w:kern w:val="2"/>
                <w:sz w:val="21"/>
                <w:szCs w:val="21"/>
              </w:rPr>
              <w:t>要素</w:t>
            </w:r>
          </w:p>
        </w:tc>
        <w:tc>
          <w:tcPr>
            <w:tcW w:w="2888" w:type="pct"/>
            <w:gridSpan w:val="2"/>
            <w:noWrap w:val="0"/>
            <w:vAlign w:val="center"/>
          </w:tcPr>
          <w:p w14:paraId="4D54A42B">
            <w:pPr>
              <w:pStyle w:val="23"/>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b/>
                <w:bCs/>
                <w:color w:val="auto"/>
                <w:kern w:val="2"/>
                <w:sz w:val="21"/>
                <w:szCs w:val="21"/>
              </w:rPr>
            </w:pPr>
            <w:r>
              <w:rPr>
                <w:rFonts w:hint="eastAsia" w:ascii="Times New Roman" w:hAnsi="Times New Roman" w:cs="宋体"/>
                <w:b/>
                <w:bCs/>
                <w:color w:val="auto"/>
                <w:kern w:val="2"/>
                <w:sz w:val="21"/>
                <w:szCs w:val="21"/>
              </w:rPr>
              <w:t>施工期</w:t>
            </w:r>
          </w:p>
        </w:tc>
        <w:tc>
          <w:tcPr>
            <w:tcW w:w="1503" w:type="pct"/>
            <w:gridSpan w:val="2"/>
            <w:noWrap w:val="0"/>
            <w:vAlign w:val="center"/>
          </w:tcPr>
          <w:p w14:paraId="4F68325D">
            <w:pPr>
              <w:pStyle w:val="23"/>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b/>
                <w:bCs/>
                <w:color w:val="auto"/>
                <w:kern w:val="2"/>
                <w:sz w:val="21"/>
                <w:szCs w:val="21"/>
              </w:rPr>
            </w:pPr>
            <w:r>
              <w:rPr>
                <w:rFonts w:hint="eastAsia" w:ascii="Times New Roman" w:hAnsi="Times New Roman" w:cs="宋体"/>
                <w:b/>
                <w:bCs/>
                <w:color w:val="auto"/>
                <w:kern w:val="2"/>
                <w:sz w:val="21"/>
                <w:szCs w:val="21"/>
              </w:rPr>
              <w:t>运营期</w:t>
            </w:r>
          </w:p>
        </w:tc>
      </w:tr>
      <w:tr w14:paraId="44287E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07" w:type="pct"/>
            <w:vMerge w:val="continue"/>
            <w:noWrap w:val="0"/>
            <w:vAlign w:val="top"/>
          </w:tcPr>
          <w:p w14:paraId="72B72A4B">
            <w:pPr>
              <w:pStyle w:val="23"/>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840"/>
              <w:jc w:val="center"/>
              <w:textAlignment w:val="auto"/>
              <w:outlineLvl w:val="9"/>
              <w:rPr>
                <w:rFonts w:hint="default" w:ascii="Times New Roman" w:hAnsi="Times New Roman" w:cs="宋体"/>
                <w:b/>
                <w:bCs/>
                <w:color w:val="auto"/>
                <w:kern w:val="2"/>
                <w:sz w:val="21"/>
                <w:szCs w:val="21"/>
              </w:rPr>
            </w:pPr>
          </w:p>
        </w:tc>
        <w:tc>
          <w:tcPr>
            <w:tcW w:w="1924" w:type="pct"/>
            <w:noWrap w:val="0"/>
            <w:vAlign w:val="center"/>
          </w:tcPr>
          <w:p w14:paraId="15AF2E54">
            <w:pPr>
              <w:pStyle w:val="23"/>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b/>
                <w:bCs/>
                <w:color w:val="auto"/>
                <w:kern w:val="2"/>
                <w:sz w:val="21"/>
                <w:szCs w:val="21"/>
              </w:rPr>
            </w:pPr>
            <w:r>
              <w:rPr>
                <w:rFonts w:hint="eastAsia" w:ascii="Times New Roman" w:hAnsi="Times New Roman" w:cs="宋体"/>
                <w:b/>
                <w:bCs/>
                <w:color w:val="auto"/>
                <w:kern w:val="2"/>
                <w:sz w:val="21"/>
                <w:szCs w:val="21"/>
              </w:rPr>
              <w:t>环境保护措施</w:t>
            </w:r>
          </w:p>
        </w:tc>
        <w:tc>
          <w:tcPr>
            <w:tcW w:w="963" w:type="pct"/>
            <w:noWrap w:val="0"/>
            <w:vAlign w:val="center"/>
          </w:tcPr>
          <w:p w14:paraId="60195580">
            <w:pPr>
              <w:pStyle w:val="23"/>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b/>
                <w:bCs/>
                <w:color w:val="auto"/>
                <w:kern w:val="2"/>
                <w:sz w:val="21"/>
                <w:szCs w:val="21"/>
              </w:rPr>
            </w:pPr>
            <w:r>
              <w:rPr>
                <w:rFonts w:hint="eastAsia" w:ascii="Times New Roman" w:hAnsi="Times New Roman" w:cs="宋体"/>
                <w:b/>
                <w:bCs/>
                <w:color w:val="auto"/>
                <w:kern w:val="2"/>
                <w:sz w:val="21"/>
                <w:szCs w:val="21"/>
              </w:rPr>
              <w:t>验收要求</w:t>
            </w:r>
          </w:p>
        </w:tc>
        <w:tc>
          <w:tcPr>
            <w:tcW w:w="788" w:type="pct"/>
            <w:noWrap w:val="0"/>
            <w:vAlign w:val="center"/>
          </w:tcPr>
          <w:p w14:paraId="6040B246">
            <w:pPr>
              <w:pStyle w:val="23"/>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b/>
                <w:bCs/>
                <w:color w:val="auto"/>
                <w:kern w:val="2"/>
                <w:sz w:val="21"/>
                <w:szCs w:val="21"/>
              </w:rPr>
            </w:pPr>
            <w:r>
              <w:rPr>
                <w:rFonts w:hint="eastAsia" w:ascii="Times New Roman" w:hAnsi="Times New Roman" w:cs="宋体"/>
                <w:b/>
                <w:bCs/>
                <w:color w:val="auto"/>
                <w:kern w:val="2"/>
                <w:sz w:val="21"/>
                <w:szCs w:val="21"/>
              </w:rPr>
              <w:t>环境保护措施</w:t>
            </w:r>
          </w:p>
        </w:tc>
        <w:tc>
          <w:tcPr>
            <w:tcW w:w="715" w:type="pct"/>
            <w:noWrap w:val="0"/>
            <w:vAlign w:val="center"/>
          </w:tcPr>
          <w:p w14:paraId="1E7F9A6A">
            <w:pPr>
              <w:pStyle w:val="23"/>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b/>
                <w:bCs/>
                <w:color w:val="auto"/>
                <w:kern w:val="2"/>
                <w:sz w:val="21"/>
                <w:szCs w:val="21"/>
              </w:rPr>
            </w:pPr>
            <w:r>
              <w:rPr>
                <w:rFonts w:hint="eastAsia" w:ascii="Times New Roman" w:hAnsi="Times New Roman" w:cs="宋体"/>
                <w:b/>
                <w:bCs/>
                <w:color w:val="auto"/>
                <w:kern w:val="2"/>
                <w:sz w:val="21"/>
                <w:szCs w:val="21"/>
              </w:rPr>
              <w:t>验收要求</w:t>
            </w:r>
          </w:p>
        </w:tc>
      </w:tr>
      <w:tr w14:paraId="76F0F2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607" w:type="pct"/>
            <w:noWrap w:val="0"/>
            <w:vAlign w:val="center"/>
          </w:tcPr>
          <w:p w14:paraId="103C70B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陆生生态</w:t>
            </w:r>
          </w:p>
        </w:tc>
        <w:tc>
          <w:tcPr>
            <w:tcW w:w="1924" w:type="pct"/>
            <w:noWrap w:val="0"/>
            <w:vAlign w:val="center"/>
          </w:tcPr>
          <w:p w14:paraId="045A3C09">
            <w:pPr>
              <w:pStyle w:val="15"/>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firstLine="0" w:firstLineChars="0"/>
              <w:textAlignment w:val="auto"/>
              <w:outlineLvl w:val="9"/>
              <w:rPr>
                <w:rFonts w:hint="eastAsia" w:ascii="Times New Roman" w:hAnsi="Times New Roman"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严格控制取土范围、规范开挖方式，取土后应及时固定边坡，按照技术规范要求比例进行放坡，防止取土场滑坡，取土场应设置截水沟以防止水土流失。火区治理区施工应充分利用原有道路，避免产生新的地貌破坏。火区注水和注浆过程中应严格按照规范进行，采取措施防止汽柴油等污染土壤环境。施工期应加强生态环境保护宣传教育，禁止施工作业人员捕杀野生动物和随意破坏野生植物。火区治理结束后应对取土场、火区治理区占用的临时牧草用地进行场地平整、植被恢复。</w:t>
            </w:r>
          </w:p>
        </w:tc>
        <w:tc>
          <w:tcPr>
            <w:tcW w:w="963" w:type="pct"/>
            <w:noWrap w:val="0"/>
            <w:vAlign w:val="center"/>
          </w:tcPr>
          <w:p w14:paraId="55CCCF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default"/>
                <w:color w:val="auto"/>
                <w:sz w:val="21"/>
                <w:szCs w:val="21"/>
              </w:rPr>
              <w:t>落实相关环保要求</w:t>
            </w:r>
          </w:p>
        </w:tc>
        <w:tc>
          <w:tcPr>
            <w:tcW w:w="788" w:type="pct"/>
            <w:noWrap w:val="0"/>
            <w:vAlign w:val="center"/>
          </w:tcPr>
          <w:p w14:paraId="7F04E92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w:t>
            </w:r>
          </w:p>
        </w:tc>
        <w:tc>
          <w:tcPr>
            <w:tcW w:w="715" w:type="pct"/>
            <w:noWrap w:val="0"/>
            <w:vAlign w:val="center"/>
          </w:tcPr>
          <w:p w14:paraId="6674BF2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w:t>
            </w:r>
          </w:p>
        </w:tc>
      </w:tr>
      <w:tr w14:paraId="774319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4" w:hRule="exact"/>
          <w:jc w:val="center"/>
        </w:trPr>
        <w:tc>
          <w:tcPr>
            <w:tcW w:w="607" w:type="pct"/>
            <w:noWrap w:val="0"/>
            <w:vAlign w:val="center"/>
          </w:tcPr>
          <w:p w14:paraId="1731490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水生生态</w:t>
            </w:r>
          </w:p>
        </w:tc>
        <w:tc>
          <w:tcPr>
            <w:tcW w:w="1924" w:type="pct"/>
            <w:noWrap w:val="0"/>
            <w:vAlign w:val="center"/>
          </w:tcPr>
          <w:p w14:paraId="5C5BEB4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w:t>
            </w:r>
          </w:p>
        </w:tc>
        <w:tc>
          <w:tcPr>
            <w:tcW w:w="963" w:type="pct"/>
            <w:noWrap w:val="0"/>
            <w:vAlign w:val="center"/>
          </w:tcPr>
          <w:p w14:paraId="7A2ADF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c>
          <w:tcPr>
            <w:tcW w:w="788" w:type="pct"/>
            <w:noWrap w:val="0"/>
            <w:vAlign w:val="center"/>
          </w:tcPr>
          <w:p w14:paraId="17CDBF9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c>
          <w:tcPr>
            <w:tcW w:w="715" w:type="pct"/>
            <w:noWrap w:val="0"/>
            <w:vAlign w:val="center"/>
          </w:tcPr>
          <w:p w14:paraId="7FA57B6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r>
      <w:tr w14:paraId="5CF17A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7" w:type="pct"/>
            <w:noWrap w:val="0"/>
            <w:vAlign w:val="center"/>
          </w:tcPr>
          <w:p w14:paraId="342B9A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地表水环境</w:t>
            </w:r>
          </w:p>
        </w:tc>
        <w:tc>
          <w:tcPr>
            <w:tcW w:w="1924" w:type="pct"/>
            <w:noWrap w:val="0"/>
            <w:vAlign w:val="center"/>
          </w:tcPr>
          <w:p w14:paraId="3425E0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outlineLvl w:val="9"/>
              <w:rPr>
                <w:rFonts w:hint="eastAsia" w:cs="Times New Roman"/>
                <w:color w:val="auto"/>
                <w:sz w:val="21"/>
                <w:szCs w:val="21"/>
                <w:lang w:eastAsia="zh-CN"/>
              </w:rPr>
            </w:pPr>
            <w:r>
              <w:rPr>
                <w:rFonts w:hint="eastAsia" w:cs="Times New Roman"/>
                <w:color w:val="auto"/>
                <w:sz w:val="21"/>
                <w:szCs w:val="21"/>
                <w:lang w:val="en-US" w:eastAsia="zh-CN"/>
              </w:rPr>
              <w:t>施工废水排入施工沉淀池收集后循环使用</w:t>
            </w:r>
            <w:r>
              <w:rPr>
                <w:rFonts w:hint="eastAsia" w:ascii="Times New Roman" w:hAnsi="Times New Roman" w:eastAsia="宋体" w:cs="Times New Roman"/>
                <w:color w:val="auto"/>
                <w:sz w:val="21"/>
                <w:szCs w:val="21"/>
                <w:lang w:val="en-US" w:eastAsia="zh-CN"/>
              </w:rPr>
              <w:t>，不外排；项目不设施工营地，施工人员生活污水依托康龙煤矿行政福利生活场地已建地埋式污水处理设备处理后用于绿化。</w:t>
            </w:r>
          </w:p>
        </w:tc>
        <w:tc>
          <w:tcPr>
            <w:tcW w:w="963" w:type="pct"/>
            <w:noWrap w:val="0"/>
            <w:vAlign w:val="center"/>
          </w:tcPr>
          <w:p w14:paraId="1F0689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default"/>
                <w:color w:val="auto"/>
                <w:sz w:val="21"/>
                <w:szCs w:val="21"/>
              </w:rPr>
              <w:t>落实相关环保要求</w:t>
            </w:r>
          </w:p>
        </w:tc>
        <w:tc>
          <w:tcPr>
            <w:tcW w:w="788" w:type="pct"/>
            <w:noWrap w:val="0"/>
            <w:vAlign w:val="center"/>
          </w:tcPr>
          <w:p w14:paraId="0D78916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eastAsia="宋体" w:cs="宋体"/>
                <w:color w:val="auto"/>
                <w:sz w:val="21"/>
                <w:szCs w:val="21"/>
                <w:lang w:val="en-US" w:eastAsia="zh-CN"/>
              </w:rPr>
            </w:pPr>
            <w:r>
              <w:rPr>
                <w:rFonts w:hint="eastAsia" w:ascii="Times New Roman" w:hAnsi="Times New Roman" w:cs="宋体"/>
                <w:color w:val="auto"/>
                <w:sz w:val="21"/>
                <w:szCs w:val="21"/>
              </w:rPr>
              <w:t>/</w:t>
            </w:r>
          </w:p>
        </w:tc>
        <w:tc>
          <w:tcPr>
            <w:tcW w:w="715" w:type="pct"/>
            <w:noWrap w:val="0"/>
            <w:vAlign w:val="center"/>
          </w:tcPr>
          <w:p w14:paraId="1EBDC7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r>
      <w:tr w14:paraId="0686BE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07" w:type="pct"/>
            <w:noWrap w:val="0"/>
            <w:vAlign w:val="center"/>
          </w:tcPr>
          <w:p w14:paraId="37F7B47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地下水及土壤环境</w:t>
            </w:r>
          </w:p>
        </w:tc>
        <w:tc>
          <w:tcPr>
            <w:tcW w:w="1924" w:type="pct"/>
            <w:noWrap w:val="0"/>
            <w:vAlign w:val="center"/>
          </w:tcPr>
          <w:p w14:paraId="40D7CF91">
            <w:pPr>
              <w:keepNext w:val="0"/>
              <w:keepLines w:val="0"/>
              <w:suppressLineNumbers w:val="0"/>
              <w:adjustRightInd w:val="0"/>
              <w:snapToGrid w:val="0"/>
              <w:spacing w:before="0" w:beforeAutospacing="0" w:after="0" w:afterAutospacing="0" w:line="240" w:lineRule="auto"/>
              <w:ind w:left="0" w:leftChars="0" w:right="0" w:rightChars="0"/>
              <w:jc w:val="left"/>
              <w:rPr>
                <w:rFonts w:hint="default" w:ascii="Times New Roman" w:hAnsi="Times New Roman" w:cs="宋体"/>
                <w:color w:val="auto"/>
                <w:sz w:val="21"/>
                <w:szCs w:val="21"/>
                <w:lang w:val="en-US"/>
              </w:rPr>
            </w:pPr>
            <w:r>
              <w:rPr>
                <w:rFonts w:hint="eastAsia" w:ascii="Times New Roman" w:hAnsi="Times New Roman" w:eastAsia="宋体" w:cs="Times New Roman"/>
                <w:color w:val="auto"/>
                <w:sz w:val="21"/>
                <w:szCs w:val="21"/>
                <w:highlight w:val="none"/>
                <w:lang w:val="en-US" w:eastAsia="zh-CN"/>
              </w:rPr>
              <w:t>钻探设备、注浆设备进场后，所有涉油、涉水设备下部均铺设土工膜及防渗布，设备周围铺设围堰，防止油、水跑冒渗漏，并及时清理防渗布表面油、水等污渍；注浆过程实时监测，防治泥浆泄漏。</w:t>
            </w:r>
          </w:p>
        </w:tc>
        <w:tc>
          <w:tcPr>
            <w:tcW w:w="963" w:type="pct"/>
            <w:noWrap w:val="0"/>
            <w:vAlign w:val="center"/>
          </w:tcPr>
          <w:p w14:paraId="54D20DB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宋体"/>
                <w:color w:val="auto"/>
                <w:sz w:val="21"/>
                <w:szCs w:val="21"/>
              </w:rPr>
            </w:pPr>
            <w:r>
              <w:rPr>
                <w:rFonts w:hint="eastAsia" w:ascii="宋体" w:hAnsi="宋体" w:cs="宋体"/>
                <w:color w:val="auto"/>
                <w:sz w:val="21"/>
                <w:szCs w:val="21"/>
                <w:lang w:val="en-US" w:eastAsia="zh-CN"/>
              </w:rPr>
              <w:t>不对周边地下水及土壤环境造成影响</w:t>
            </w:r>
          </w:p>
        </w:tc>
        <w:tc>
          <w:tcPr>
            <w:tcW w:w="788" w:type="pct"/>
            <w:noWrap w:val="0"/>
            <w:vAlign w:val="center"/>
          </w:tcPr>
          <w:p w14:paraId="065467D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Times New Roman"/>
                <w:bCs/>
                <w:color w:val="auto"/>
                <w:sz w:val="21"/>
                <w:szCs w:val="21"/>
              </w:rPr>
            </w:pPr>
            <w:r>
              <w:rPr>
                <w:rFonts w:hint="eastAsia" w:ascii="Times New Roman" w:hAnsi="Times New Roman" w:cs="宋体"/>
                <w:color w:val="auto"/>
                <w:sz w:val="21"/>
                <w:szCs w:val="21"/>
              </w:rPr>
              <w:t>/</w:t>
            </w:r>
          </w:p>
        </w:tc>
        <w:tc>
          <w:tcPr>
            <w:tcW w:w="715" w:type="pct"/>
            <w:noWrap w:val="0"/>
            <w:vAlign w:val="center"/>
          </w:tcPr>
          <w:p w14:paraId="70B9B8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eastAsia="宋体" w:cs="宋体"/>
                <w:color w:val="auto"/>
                <w:sz w:val="21"/>
                <w:szCs w:val="21"/>
                <w:lang w:eastAsia="zh-CN"/>
              </w:rPr>
            </w:pPr>
            <w:r>
              <w:rPr>
                <w:rFonts w:hint="eastAsia" w:ascii="Times New Roman" w:hAnsi="Times New Roman" w:cs="宋体"/>
                <w:color w:val="auto"/>
                <w:sz w:val="21"/>
                <w:szCs w:val="21"/>
              </w:rPr>
              <w:t>/</w:t>
            </w:r>
          </w:p>
        </w:tc>
      </w:tr>
      <w:tr w14:paraId="330D1F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607" w:type="pct"/>
            <w:noWrap w:val="0"/>
            <w:vAlign w:val="center"/>
          </w:tcPr>
          <w:p w14:paraId="532957E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声环境</w:t>
            </w:r>
          </w:p>
        </w:tc>
        <w:tc>
          <w:tcPr>
            <w:tcW w:w="1924" w:type="pct"/>
            <w:noWrap w:val="0"/>
            <w:vAlign w:val="center"/>
          </w:tcPr>
          <w:p w14:paraId="04D16DD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textAlignment w:val="auto"/>
              <w:outlineLvl w:val="9"/>
              <w:rPr>
                <w:rFonts w:hint="default" w:ascii="Times New Roman" w:hAnsi="Times New Roman" w:cs="宋体"/>
                <w:color w:val="auto"/>
                <w:sz w:val="21"/>
                <w:szCs w:val="21"/>
              </w:rPr>
            </w:pPr>
            <w:r>
              <w:rPr>
                <w:rFonts w:hint="default" w:ascii="宋体" w:hAnsi="宋体" w:eastAsia="宋体" w:cs="宋体"/>
                <w:color w:val="auto"/>
                <w:kern w:val="2"/>
                <w:sz w:val="21"/>
                <w:szCs w:val="21"/>
                <w:lang w:val="en-US" w:eastAsia="zh-CN" w:bidi="ar-SA"/>
              </w:rPr>
              <w:t>选用符合国家有关标准的机械</w:t>
            </w:r>
            <w:r>
              <w:rPr>
                <w:rFonts w:hint="eastAsia" w:ascii="宋体" w:hAnsi="宋体" w:eastAsia="宋体" w:cs="宋体"/>
                <w:color w:val="auto"/>
                <w:kern w:val="2"/>
                <w:sz w:val="21"/>
                <w:szCs w:val="21"/>
                <w:lang w:val="en-US" w:eastAsia="zh-CN" w:bidi="ar-SA"/>
              </w:rPr>
              <w:t>设备和</w:t>
            </w:r>
            <w:r>
              <w:rPr>
                <w:rFonts w:hint="default" w:ascii="宋体" w:hAnsi="宋体" w:eastAsia="宋体" w:cs="宋体"/>
                <w:color w:val="auto"/>
                <w:kern w:val="2"/>
                <w:sz w:val="21"/>
                <w:szCs w:val="21"/>
                <w:lang w:val="en-US" w:eastAsia="zh-CN" w:bidi="ar-SA"/>
              </w:rPr>
              <w:t>车辆，从源头降低噪声源强；合理安排施工时间，合理</w:t>
            </w:r>
            <w:r>
              <w:rPr>
                <w:rFonts w:hint="eastAsia" w:ascii="宋体" w:hAnsi="宋体" w:eastAsia="宋体" w:cs="宋体"/>
                <w:color w:val="auto"/>
                <w:kern w:val="2"/>
                <w:sz w:val="21"/>
                <w:szCs w:val="21"/>
                <w:lang w:val="en-US" w:eastAsia="zh-CN" w:bidi="ar-SA"/>
              </w:rPr>
              <w:t>布置</w:t>
            </w:r>
            <w:r>
              <w:rPr>
                <w:rFonts w:hint="default" w:ascii="宋体" w:hAnsi="宋体" w:eastAsia="宋体" w:cs="宋体"/>
                <w:color w:val="auto"/>
                <w:kern w:val="2"/>
                <w:sz w:val="21"/>
                <w:szCs w:val="21"/>
                <w:lang w:val="en-US" w:eastAsia="zh-CN" w:bidi="ar-SA"/>
              </w:rPr>
              <w:t>施工场地机械设置，</w:t>
            </w:r>
            <w:r>
              <w:rPr>
                <w:rFonts w:hint="eastAsia" w:ascii="宋体" w:hAnsi="宋体" w:eastAsia="宋体" w:cs="宋体"/>
                <w:color w:val="auto"/>
                <w:kern w:val="2"/>
                <w:sz w:val="21"/>
                <w:szCs w:val="21"/>
                <w:lang w:val="en-US" w:eastAsia="zh-CN" w:bidi="ar-SA"/>
              </w:rPr>
              <w:t>钻机</w:t>
            </w:r>
            <w:r>
              <w:rPr>
                <w:rFonts w:hint="eastAsia" w:ascii="宋体" w:hAnsi="宋体" w:cs="宋体"/>
                <w:color w:val="auto"/>
                <w:kern w:val="2"/>
                <w:sz w:val="21"/>
                <w:szCs w:val="21"/>
                <w:lang w:val="en-US" w:eastAsia="zh-CN" w:bidi="ar-SA"/>
              </w:rPr>
              <w:t>、泥浆泵</w:t>
            </w:r>
            <w:r>
              <w:rPr>
                <w:rFonts w:hint="eastAsia" w:ascii="宋体" w:hAnsi="宋体" w:eastAsia="宋体" w:cs="宋体"/>
                <w:color w:val="auto"/>
                <w:kern w:val="2"/>
                <w:sz w:val="21"/>
                <w:szCs w:val="21"/>
                <w:lang w:val="en-US" w:eastAsia="zh-CN" w:bidi="ar-SA"/>
              </w:rPr>
              <w:t>等高噪声设备采取隔声、消声等</w:t>
            </w:r>
            <w:r>
              <w:rPr>
                <w:rFonts w:hint="default" w:ascii="宋体" w:hAnsi="宋体" w:eastAsia="宋体" w:cs="宋体"/>
                <w:color w:val="auto"/>
                <w:kern w:val="2"/>
                <w:sz w:val="21"/>
                <w:szCs w:val="21"/>
                <w:lang w:val="en-US" w:eastAsia="zh-CN" w:bidi="ar-SA"/>
              </w:rPr>
              <w:t>降噪措施</w:t>
            </w:r>
            <w:r>
              <w:rPr>
                <w:rFonts w:hint="eastAsia" w:ascii="宋体" w:hAnsi="宋体" w:eastAsia="宋体" w:cs="宋体"/>
                <w:color w:val="auto"/>
                <w:kern w:val="2"/>
                <w:sz w:val="21"/>
                <w:szCs w:val="21"/>
                <w:lang w:val="en-US" w:eastAsia="zh-CN" w:bidi="ar-SA"/>
              </w:rPr>
              <w:t>。</w:t>
            </w:r>
          </w:p>
        </w:tc>
        <w:tc>
          <w:tcPr>
            <w:tcW w:w="963" w:type="pct"/>
            <w:noWrap w:val="0"/>
            <w:vAlign w:val="center"/>
          </w:tcPr>
          <w:p w14:paraId="1A4D8C9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default"/>
                <w:color w:val="auto"/>
                <w:sz w:val="21"/>
                <w:szCs w:val="21"/>
              </w:rPr>
              <w:t>《建筑施工噪声排放标准》（GB</w:t>
            </w:r>
            <w:r>
              <w:rPr>
                <w:rFonts w:hint="eastAsia"/>
                <w:color w:val="auto"/>
                <w:sz w:val="21"/>
                <w:szCs w:val="21"/>
                <w:lang w:val="en-US" w:eastAsia="zh-CN"/>
              </w:rPr>
              <w:t xml:space="preserve"> </w:t>
            </w:r>
            <w:r>
              <w:rPr>
                <w:rFonts w:hint="default"/>
                <w:color w:val="auto"/>
                <w:sz w:val="21"/>
                <w:szCs w:val="21"/>
              </w:rPr>
              <w:t>12523-20</w:t>
            </w:r>
            <w:r>
              <w:rPr>
                <w:rFonts w:hint="eastAsia"/>
                <w:color w:val="auto"/>
                <w:sz w:val="21"/>
                <w:szCs w:val="21"/>
                <w:lang w:val="en-US" w:eastAsia="zh-CN"/>
              </w:rPr>
              <w:t>25</w:t>
            </w:r>
            <w:r>
              <w:rPr>
                <w:rFonts w:hint="default"/>
                <w:color w:val="auto"/>
                <w:sz w:val="21"/>
                <w:szCs w:val="21"/>
              </w:rPr>
              <w:t>）</w:t>
            </w:r>
          </w:p>
        </w:tc>
        <w:tc>
          <w:tcPr>
            <w:tcW w:w="788" w:type="pct"/>
            <w:noWrap w:val="0"/>
            <w:vAlign w:val="center"/>
          </w:tcPr>
          <w:p w14:paraId="600E168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c>
          <w:tcPr>
            <w:tcW w:w="715" w:type="pct"/>
            <w:noWrap w:val="0"/>
            <w:vAlign w:val="center"/>
          </w:tcPr>
          <w:p w14:paraId="040663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Times New Roman"/>
                <w:color w:val="auto"/>
                <w:sz w:val="21"/>
                <w:szCs w:val="21"/>
              </w:rPr>
            </w:pPr>
            <w:r>
              <w:rPr>
                <w:rFonts w:hint="eastAsia" w:ascii="Times New Roman" w:hAnsi="Times New Roman" w:cs="宋体"/>
                <w:color w:val="auto"/>
                <w:sz w:val="21"/>
                <w:szCs w:val="21"/>
              </w:rPr>
              <w:t>/</w:t>
            </w:r>
          </w:p>
        </w:tc>
      </w:tr>
      <w:tr w14:paraId="63FB35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07" w:type="pct"/>
            <w:noWrap w:val="0"/>
            <w:vAlign w:val="center"/>
          </w:tcPr>
          <w:p w14:paraId="03F8C41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振动</w:t>
            </w:r>
          </w:p>
        </w:tc>
        <w:tc>
          <w:tcPr>
            <w:tcW w:w="1924" w:type="pct"/>
            <w:noWrap w:val="0"/>
            <w:vAlign w:val="center"/>
          </w:tcPr>
          <w:p w14:paraId="58714B2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w:t>
            </w:r>
          </w:p>
        </w:tc>
        <w:tc>
          <w:tcPr>
            <w:tcW w:w="963" w:type="pct"/>
            <w:noWrap w:val="0"/>
            <w:vAlign w:val="center"/>
          </w:tcPr>
          <w:p w14:paraId="0FE72D5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c>
          <w:tcPr>
            <w:tcW w:w="788" w:type="pct"/>
            <w:noWrap w:val="0"/>
            <w:vAlign w:val="center"/>
          </w:tcPr>
          <w:p w14:paraId="624085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c>
          <w:tcPr>
            <w:tcW w:w="715" w:type="pct"/>
            <w:noWrap w:val="0"/>
            <w:vAlign w:val="center"/>
          </w:tcPr>
          <w:p w14:paraId="27B016D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w:t>
            </w:r>
          </w:p>
        </w:tc>
      </w:tr>
      <w:tr w14:paraId="60D6BA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07" w:type="pct"/>
            <w:noWrap w:val="0"/>
            <w:vAlign w:val="center"/>
          </w:tcPr>
          <w:p w14:paraId="27CE5A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大气环境</w:t>
            </w:r>
          </w:p>
        </w:tc>
        <w:tc>
          <w:tcPr>
            <w:tcW w:w="1924" w:type="pct"/>
            <w:noWrap w:val="0"/>
            <w:vAlign w:val="center"/>
          </w:tcPr>
          <w:p w14:paraId="5F2EF6F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textAlignment w:val="auto"/>
              <w:outlineLvl w:val="9"/>
              <w:rPr>
                <w:rFonts w:hint="eastAsia" w:ascii="Times New Roman" w:hAnsi="Times New Roman" w:cs="宋体"/>
                <w:color w:val="auto"/>
                <w:sz w:val="21"/>
                <w:szCs w:val="21"/>
              </w:rPr>
            </w:pPr>
            <w:r>
              <w:rPr>
                <w:rFonts w:hint="eastAsia" w:cs="Times New Roman"/>
                <w:color w:val="auto"/>
                <w:sz w:val="21"/>
                <w:szCs w:val="21"/>
                <w:lang w:val="en-US" w:eastAsia="zh-CN"/>
              </w:rPr>
              <w:t>合理</w:t>
            </w:r>
            <w:r>
              <w:rPr>
                <w:rFonts w:hint="default" w:ascii="Times New Roman" w:hAnsi="Times New Roman" w:eastAsia="宋体" w:cs="Times New Roman"/>
                <w:color w:val="auto"/>
                <w:sz w:val="21"/>
                <w:szCs w:val="21"/>
                <w:lang w:val="en-US" w:eastAsia="zh-CN"/>
              </w:rPr>
              <w:t>安排施工进度及施工时间，避免雨天和大风天开挖施工作业</w:t>
            </w:r>
            <w:r>
              <w:rPr>
                <w:rFonts w:hint="eastAsia" w:ascii="Times New Roman" w:hAnsi="Times New Roman" w:eastAsia="宋体" w:cs="Times New Roman"/>
                <w:color w:val="auto"/>
                <w:sz w:val="21"/>
                <w:szCs w:val="21"/>
                <w:lang w:val="en-US" w:eastAsia="zh-CN"/>
              </w:rPr>
              <w:t>；</w:t>
            </w:r>
            <w:r>
              <w:rPr>
                <w:rFonts w:hint="eastAsia" w:cs="宋体"/>
                <w:color w:val="auto"/>
                <w:kern w:val="0"/>
                <w:sz w:val="21"/>
                <w:szCs w:val="21"/>
                <w:lang w:val="en-US" w:eastAsia="zh-CN" w:bidi="ar"/>
              </w:rPr>
              <w:t>剥离工程、钻探工程、取土场</w:t>
            </w:r>
            <w:r>
              <w:rPr>
                <w:rFonts w:hint="eastAsia" w:ascii="Times New Roman" w:hAnsi="Times New Roman" w:cs="宋体"/>
                <w:color w:val="auto"/>
                <w:kern w:val="0"/>
                <w:sz w:val="21"/>
                <w:szCs w:val="21"/>
                <w:lang w:bidi="ar"/>
              </w:rPr>
              <w:t>等易于产生地面扬尘的工程区域，采用定期洒水方式降低施工扬尘的影响</w:t>
            </w:r>
            <w:r>
              <w:rPr>
                <w:rFonts w:hint="eastAsia" w:ascii="Times New Roman" w:hAnsi="Times New Roman" w:cs="宋体"/>
                <w:color w:val="auto"/>
                <w:kern w:val="0"/>
                <w:sz w:val="21"/>
                <w:szCs w:val="21"/>
                <w:lang w:eastAsia="zh-CN" w:bidi="ar"/>
              </w:rPr>
              <w:t>；</w:t>
            </w:r>
            <w:r>
              <w:rPr>
                <w:rFonts w:hint="eastAsia" w:ascii="Times New Roman" w:hAnsi="Times New Roman" w:eastAsia="宋体" w:cs="Times New Roman"/>
                <w:color w:val="auto"/>
                <w:sz w:val="21"/>
                <w:szCs w:val="21"/>
                <w:lang w:val="en-US" w:eastAsia="zh-CN"/>
              </w:rPr>
              <w:t>注浆站上料区域四周设置围挡，上料过程密闭或采用湿法作业；</w:t>
            </w:r>
            <w:r>
              <w:rPr>
                <w:rFonts w:hint="eastAsia" w:ascii="Times New Roman" w:hAnsi="Times New Roman" w:cs="宋体"/>
                <w:color w:val="auto"/>
                <w:kern w:val="0"/>
                <w:sz w:val="21"/>
                <w:szCs w:val="21"/>
                <w:lang w:val="en-US" w:eastAsia="zh-CN" w:bidi="ar"/>
              </w:rPr>
              <w:t>运输车辆采取篷布覆盖、降低车速、运输道路洒水等措施降低扬尘污染；</w:t>
            </w:r>
            <w:r>
              <w:rPr>
                <w:rFonts w:hint="default" w:ascii="Times New Roman" w:hAnsi="Times New Roman" w:eastAsia="宋体" w:cs="Times New Roman"/>
                <w:color w:val="auto"/>
                <w:sz w:val="21"/>
                <w:szCs w:val="21"/>
                <w:highlight w:val="none"/>
                <w:lang w:val="en-US" w:eastAsia="zh-CN"/>
              </w:rPr>
              <w:t>加强施工机械、车辆</w:t>
            </w:r>
            <w:r>
              <w:rPr>
                <w:rFonts w:hint="eastAsia" w:ascii="Times New Roman" w:hAnsi="Times New Roman" w:cs="Times New Roman"/>
                <w:color w:val="auto"/>
                <w:sz w:val="21"/>
                <w:szCs w:val="21"/>
              </w:rPr>
              <w:t>维护保养，使用正品燃油</w:t>
            </w:r>
            <w:r>
              <w:rPr>
                <w:rFonts w:hint="eastAsia" w:ascii="Times New Roman" w:hAnsi="Times New Roman" w:cs="宋体"/>
                <w:color w:val="auto"/>
                <w:kern w:val="0"/>
                <w:sz w:val="21"/>
                <w:szCs w:val="21"/>
                <w:lang w:bidi="ar"/>
              </w:rPr>
              <w:t>。</w:t>
            </w:r>
          </w:p>
        </w:tc>
        <w:tc>
          <w:tcPr>
            <w:tcW w:w="963" w:type="pct"/>
            <w:noWrap w:val="0"/>
            <w:vAlign w:val="center"/>
          </w:tcPr>
          <w:p w14:paraId="4F3000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eastAsia="宋体" w:cs="宋体"/>
                <w:color w:val="auto"/>
                <w:sz w:val="21"/>
                <w:szCs w:val="21"/>
                <w:lang w:eastAsia="zh-CN"/>
              </w:rPr>
            </w:pPr>
            <w:r>
              <w:rPr>
                <w:rFonts w:hint="default"/>
                <w:color w:val="auto"/>
                <w:sz w:val="21"/>
                <w:szCs w:val="21"/>
              </w:rPr>
              <w:t>落实相关环保要求</w:t>
            </w:r>
          </w:p>
        </w:tc>
        <w:tc>
          <w:tcPr>
            <w:tcW w:w="788" w:type="pct"/>
            <w:noWrap w:val="0"/>
            <w:vAlign w:val="center"/>
          </w:tcPr>
          <w:p w14:paraId="76F602A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lang w:val="en-US"/>
              </w:rPr>
            </w:pPr>
            <w:r>
              <w:rPr>
                <w:rFonts w:hint="eastAsia" w:ascii="Times New Roman" w:hAnsi="Times New Roman" w:cs="宋体"/>
                <w:color w:val="auto"/>
                <w:sz w:val="21"/>
                <w:szCs w:val="21"/>
              </w:rPr>
              <w:t>/</w:t>
            </w:r>
          </w:p>
        </w:tc>
        <w:tc>
          <w:tcPr>
            <w:tcW w:w="715" w:type="pct"/>
            <w:noWrap w:val="0"/>
            <w:vAlign w:val="center"/>
          </w:tcPr>
          <w:p w14:paraId="642417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r>
      <w:tr w14:paraId="066AFF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07" w:type="pct"/>
            <w:noWrap w:val="0"/>
            <w:vAlign w:val="center"/>
          </w:tcPr>
          <w:p w14:paraId="57B1D3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固体废物</w:t>
            </w:r>
          </w:p>
        </w:tc>
        <w:tc>
          <w:tcPr>
            <w:tcW w:w="1924" w:type="pct"/>
            <w:noWrap w:val="0"/>
            <w:vAlign w:val="center"/>
          </w:tcPr>
          <w:p w14:paraId="23140130">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ind w:left="0" w:right="0" w:rightChars="0"/>
              <w:textAlignment w:val="auto"/>
              <w:outlineLvl w:val="9"/>
              <w:rPr>
                <w:rFonts w:hint="eastAsia" w:ascii="Times New Roman" w:hAnsi="Times New Roman" w:eastAsia="宋体" w:cs="Times New Roman"/>
                <w:color w:val="auto"/>
                <w:sz w:val="21"/>
                <w:szCs w:val="21"/>
                <w:lang w:eastAsia="zh-CN"/>
              </w:rPr>
            </w:pPr>
            <w:r>
              <w:rPr>
                <w:rFonts w:hint="eastAsia" w:cs="Times New Roman"/>
                <w:color w:val="auto"/>
                <w:kern w:val="0"/>
                <w:sz w:val="21"/>
                <w:szCs w:val="21"/>
                <w:highlight w:val="none"/>
                <w:lang w:val="en-US" w:eastAsia="zh-CN"/>
              </w:rPr>
              <w:t>剥离工程剥离土方不外排，剥离台阶土方直接向低处甩方自然堆弃，不设置排土场；</w:t>
            </w:r>
            <w:r>
              <w:rPr>
                <w:rFonts w:hint="eastAsia" w:ascii="Times New Roman" w:hAnsi="Times New Roman" w:eastAsia="宋体" w:cs="Times New Roman"/>
                <w:color w:val="auto"/>
                <w:sz w:val="21"/>
                <w:szCs w:val="21"/>
                <w:lang w:val="en-US" w:eastAsia="zh-CN" w:bidi="ar"/>
              </w:rPr>
              <w:t>土石方堆放限制在火区治理范围内</w:t>
            </w:r>
            <w:r>
              <w:rPr>
                <w:rFonts w:hint="eastAsia" w:cs="Times New Roman"/>
                <w:color w:val="auto"/>
                <w:sz w:val="21"/>
                <w:szCs w:val="21"/>
                <w:lang w:val="en-US" w:eastAsia="zh-CN" w:bidi="ar"/>
              </w:rPr>
              <w:t>，</w:t>
            </w:r>
            <w:r>
              <w:rPr>
                <w:rFonts w:hint="default"/>
                <w:spacing w:val="-1"/>
                <w:sz w:val="21"/>
                <w:szCs w:val="21"/>
              </w:rPr>
              <w:t>治理结束后可进行边坡防护、场地平整，再进行生态恢复</w:t>
            </w:r>
            <w:r>
              <w:rPr>
                <w:rFonts w:hint="eastAsia"/>
                <w:spacing w:val="-1"/>
                <w:sz w:val="21"/>
                <w:szCs w:val="21"/>
                <w:lang w:eastAsia="zh-CN"/>
              </w:rPr>
              <w:t>。</w:t>
            </w:r>
            <w:r>
              <w:rPr>
                <w:rFonts w:hint="eastAsia" w:ascii="Times New Roman" w:hAnsi="Times New Roman" w:eastAsia="宋体" w:cs="Times New Roman"/>
                <w:color w:val="auto"/>
                <w:sz w:val="21"/>
                <w:szCs w:val="21"/>
                <w:lang w:val="en-US" w:eastAsia="zh-CN"/>
              </w:rPr>
              <w:t>生活垃圾统一定点收集，委托环卫部门拉运至当地生活垃圾填埋场处理。</w:t>
            </w:r>
          </w:p>
        </w:tc>
        <w:tc>
          <w:tcPr>
            <w:tcW w:w="963" w:type="pct"/>
            <w:noWrap w:val="0"/>
            <w:vAlign w:val="center"/>
          </w:tcPr>
          <w:p w14:paraId="68DFDD5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default"/>
                <w:color w:val="auto"/>
                <w:sz w:val="21"/>
                <w:szCs w:val="21"/>
              </w:rPr>
              <w:t>落实相关环保要求</w:t>
            </w:r>
          </w:p>
        </w:tc>
        <w:tc>
          <w:tcPr>
            <w:tcW w:w="788" w:type="pct"/>
            <w:noWrap w:val="0"/>
            <w:vAlign w:val="center"/>
          </w:tcPr>
          <w:p w14:paraId="4DB5D7A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Times New Roman"/>
                <w:color w:val="auto"/>
                <w:sz w:val="21"/>
                <w:szCs w:val="21"/>
              </w:rPr>
            </w:pPr>
            <w:r>
              <w:rPr>
                <w:rFonts w:hint="eastAsia" w:ascii="Times New Roman" w:hAnsi="Times New Roman" w:cs="宋体"/>
                <w:color w:val="auto"/>
                <w:sz w:val="21"/>
                <w:szCs w:val="21"/>
              </w:rPr>
              <w:t>/</w:t>
            </w:r>
          </w:p>
        </w:tc>
        <w:tc>
          <w:tcPr>
            <w:tcW w:w="715" w:type="pct"/>
            <w:noWrap w:val="0"/>
            <w:vAlign w:val="center"/>
          </w:tcPr>
          <w:p w14:paraId="1B77B62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w:t>
            </w:r>
          </w:p>
        </w:tc>
      </w:tr>
      <w:tr w14:paraId="5FE90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07" w:type="pct"/>
            <w:noWrap w:val="0"/>
            <w:vAlign w:val="center"/>
          </w:tcPr>
          <w:p w14:paraId="5459D7F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电磁环境</w:t>
            </w:r>
          </w:p>
        </w:tc>
        <w:tc>
          <w:tcPr>
            <w:tcW w:w="1924" w:type="pct"/>
            <w:noWrap w:val="0"/>
            <w:vAlign w:val="center"/>
          </w:tcPr>
          <w:p w14:paraId="7B0DA7B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c>
          <w:tcPr>
            <w:tcW w:w="963" w:type="pct"/>
            <w:noWrap w:val="0"/>
            <w:vAlign w:val="center"/>
          </w:tcPr>
          <w:p w14:paraId="0F987FF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c>
          <w:tcPr>
            <w:tcW w:w="788" w:type="pct"/>
            <w:noWrap w:val="0"/>
            <w:vAlign w:val="center"/>
          </w:tcPr>
          <w:p w14:paraId="711A851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c>
          <w:tcPr>
            <w:tcW w:w="715" w:type="pct"/>
            <w:noWrap w:val="0"/>
            <w:vAlign w:val="center"/>
          </w:tcPr>
          <w:p w14:paraId="336BD0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r>
      <w:tr w14:paraId="067650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07" w:type="pct"/>
            <w:noWrap w:val="0"/>
            <w:vAlign w:val="center"/>
          </w:tcPr>
          <w:p w14:paraId="5AA593D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环境风险</w:t>
            </w:r>
          </w:p>
        </w:tc>
        <w:tc>
          <w:tcPr>
            <w:tcW w:w="1924" w:type="pct"/>
            <w:noWrap w:val="0"/>
            <w:vAlign w:val="center"/>
          </w:tcPr>
          <w:p w14:paraId="249957D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outlineLvl w:val="9"/>
              <w:rPr>
                <w:rFonts w:hint="eastAsia" w:ascii="Times New Roman" w:hAnsi="Times New Roman" w:eastAsia="宋体" w:cs="宋体"/>
                <w:color w:val="auto"/>
                <w:sz w:val="21"/>
                <w:szCs w:val="21"/>
                <w:lang w:val="en-US" w:eastAsia="zh-CN"/>
              </w:rPr>
            </w:pPr>
            <w:r>
              <w:rPr>
                <w:rFonts w:hint="eastAsia" w:ascii="Times New Roman" w:hAnsi="Times New Roman" w:eastAsia="宋体" w:cs="Times New Roman"/>
                <w:color w:val="auto"/>
                <w:sz w:val="21"/>
                <w:szCs w:val="21"/>
                <w:highlight w:val="none"/>
                <w:lang w:val="en-US" w:eastAsia="zh-CN"/>
              </w:rPr>
              <w:t>防止泥浆外溢，设置必要的护坡等，加强巡视、检查和日常宣传；加强钻孔、注水、注浆</w:t>
            </w:r>
            <w:r>
              <w:rPr>
                <w:rFonts w:hint="eastAsia" w:cs="Times New Roman"/>
                <w:color w:val="auto"/>
                <w:sz w:val="21"/>
                <w:szCs w:val="21"/>
                <w:highlight w:val="none"/>
                <w:lang w:val="en-US" w:eastAsia="zh-CN"/>
              </w:rPr>
              <w:t>、覆盖</w:t>
            </w:r>
            <w:r>
              <w:rPr>
                <w:rFonts w:hint="eastAsia" w:ascii="Times New Roman" w:hAnsi="Times New Roman" w:eastAsia="宋体" w:cs="Times New Roman"/>
                <w:color w:val="auto"/>
                <w:sz w:val="21"/>
                <w:szCs w:val="21"/>
                <w:highlight w:val="none"/>
                <w:lang w:val="en-US" w:eastAsia="zh-CN"/>
              </w:rPr>
              <w:t>等施工风险防范，建立应急处置制度。</w:t>
            </w:r>
          </w:p>
        </w:tc>
        <w:tc>
          <w:tcPr>
            <w:tcW w:w="963" w:type="pct"/>
            <w:noWrap w:val="0"/>
            <w:vAlign w:val="center"/>
          </w:tcPr>
          <w:p w14:paraId="59B6389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default"/>
                <w:color w:val="auto"/>
                <w:sz w:val="21"/>
                <w:szCs w:val="21"/>
              </w:rPr>
              <w:t>落实相关环保要求</w:t>
            </w:r>
          </w:p>
        </w:tc>
        <w:tc>
          <w:tcPr>
            <w:tcW w:w="788" w:type="pct"/>
            <w:noWrap w:val="0"/>
            <w:vAlign w:val="center"/>
          </w:tcPr>
          <w:p w14:paraId="64742CA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lang w:val="en-US"/>
              </w:rPr>
            </w:pPr>
            <w:r>
              <w:rPr>
                <w:rFonts w:hint="eastAsia" w:ascii="Times New Roman" w:hAnsi="Times New Roman" w:cs="宋体"/>
                <w:color w:val="auto"/>
                <w:sz w:val="21"/>
                <w:szCs w:val="21"/>
              </w:rPr>
              <w:t>/</w:t>
            </w:r>
          </w:p>
        </w:tc>
        <w:tc>
          <w:tcPr>
            <w:tcW w:w="715" w:type="pct"/>
            <w:noWrap w:val="0"/>
            <w:vAlign w:val="center"/>
          </w:tcPr>
          <w:p w14:paraId="35B7061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w:t>
            </w:r>
          </w:p>
        </w:tc>
      </w:tr>
      <w:tr w14:paraId="47590C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pct"/>
            <w:noWrap w:val="0"/>
            <w:vAlign w:val="center"/>
          </w:tcPr>
          <w:p w14:paraId="3930547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环境监测</w:t>
            </w:r>
          </w:p>
        </w:tc>
        <w:tc>
          <w:tcPr>
            <w:tcW w:w="1924" w:type="pct"/>
            <w:noWrap w:val="0"/>
            <w:vAlign w:val="center"/>
          </w:tcPr>
          <w:p w14:paraId="0A448FF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应按照《新疆煤田火区治理工作规范（试行）》《煤田火灾灭火规范》等，对火区治理效果及生态恢复情况开展跟踪监测，保证生态环境保护措施的严格落实。</w:t>
            </w:r>
          </w:p>
        </w:tc>
        <w:tc>
          <w:tcPr>
            <w:tcW w:w="963" w:type="pct"/>
            <w:noWrap w:val="0"/>
            <w:vAlign w:val="center"/>
          </w:tcPr>
          <w:p w14:paraId="485A7A9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default"/>
                <w:color w:val="auto"/>
                <w:sz w:val="21"/>
                <w:szCs w:val="21"/>
              </w:rPr>
              <w:t>落实相关环保要求</w:t>
            </w:r>
          </w:p>
        </w:tc>
        <w:tc>
          <w:tcPr>
            <w:tcW w:w="788" w:type="pct"/>
            <w:noWrap w:val="0"/>
            <w:vAlign w:val="center"/>
          </w:tcPr>
          <w:p w14:paraId="491B094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color w:val="auto"/>
                <w:sz w:val="21"/>
                <w:szCs w:val="21"/>
              </w:rPr>
            </w:pPr>
            <w:r>
              <w:rPr>
                <w:rFonts w:hint="eastAsia" w:ascii="Times New Roman" w:hAnsi="Times New Roman" w:cs="宋体"/>
                <w:color w:val="auto"/>
                <w:sz w:val="21"/>
                <w:szCs w:val="21"/>
              </w:rPr>
              <w:t>/</w:t>
            </w:r>
          </w:p>
        </w:tc>
        <w:tc>
          <w:tcPr>
            <w:tcW w:w="715" w:type="pct"/>
            <w:noWrap w:val="0"/>
            <w:vAlign w:val="center"/>
          </w:tcPr>
          <w:p w14:paraId="208F8F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宋体"/>
                <w:color w:val="auto"/>
                <w:sz w:val="21"/>
                <w:szCs w:val="21"/>
              </w:rPr>
            </w:pPr>
            <w:r>
              <w:rPr>
                <w:rFonts w:hint="eastAsia" w:ascii="Times New Roman" w:hAnsi="Times New Roman" w:cs="宋体"/>
                <w:color w:val="auto"/>
                <w:sz w:val="21"/>
                <w:szCs w:val="21"/>
              </w:rPr>
              <w:t>/</w:t>
            </w:r>
          </w:p>
        </w:tc>
      </w:tr>
      <w:tr w14:paraId="2AA236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07" w:type="pct"/>
            <w:noWrap w:val="0"/>
            <w:vAlign w:val="center"/>
          </w:tcPr>
          <w:p w14:paraId="140965E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Times New Roman" w:hAnsi="Times New Roman" w:cs="宋体"/>
                <w:color w:val="auto"/>
                <w:sz w:val="21"/>
                <w:szCs w:val="21"/>
              </w:rPr>
            </w:pPr>
            <w:r>
              <w:rPr>
                <w:rFonts w:hint="eastAsia" w:ascii="Times New Roman" w:hAnsi="Times New Roman" w:cs="宋体"/>
                <w:color w:val="auto"/>
                <w:sz w:val="21"/>
                <w:szCs w:val="21"/>
              </w:rPr>
              <w:t>其他</w:t>
            </w:r>
          </w:p>
        </w:tc>
        <w:tc>
          <w:tcPr>
            <w:tcW w:w="4392" w:type="pct"/>
            <w:gridSpan w:val="4"/>
            <w:noWrap w:val="0"/>
            <w:vAlign w:val="center"/>
          </w:tcPr>
          <w:p w14:paraId="5C8253F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Times New Roman" w:hAnsi="Times New Roman" w:cs="宋体"/>
                <w:color w:val="auto"/>
                <w:sz w:val="21"/>
                <w:szCs w:val="21"/>
              </w:rPr>
            </w:pPr>
            <w:r>
              <w:rPr>
                <w:rFonts w:hint="eastAsia" w:ascii="Times New Roman" w:hAnsi="Times New Roman" w:cs="宋体"/>
                <w:color w:val="auto"/>
                <w:sz w:val="21"/>
                <w:szCs w:val="21"/>
              </w:rPr>
              <w:t>/</w:t>
            </w:r>
          </w:p>
        </w:tc>
      </w:tr>
    </w:tbl>
    <w:p w14:paraId="638EA557">
      <w:pPr>
        <w:pStyle w:val="23"/>
        <w:spacing w:before="0" w:beforeAutospacing="0"/>
        <w:jc w:val="center"/>
        <w:outlineLvl w:val="0"/>
        <w:rPr>
          <w:rFonts w:ascii="黑体" w:hAnsi="黑体" w:eastAsia="黑体"/>
          <w:snapToGrid w:val="0"/>
          <w:color w:val="auto"/>
          <w:sz w:val="30"/>
          <w:szCs w:val="30"/>
        </w:rPr>
      </w:pPr>
      <w:r>
        <w:rPr>
          <w:rFonts w:ascii="黑体" w:hAnsi="黑体" w:eastAsia="黑体"/>
          <w:snapToGrid w:val="0"/>
          <w:color w:val="auto"/>
          <w:sz w:val="30"/>
          <w:szCs w:val="30"/>
        </w:rPr>
        <w:br w:type="page"/>
      </w:r>
      <w:bookmarkStart w:id="66" w:name="_Toc21578"/>
      <w:r>
        <w:rPr>
          <w:rFonts w:hint="eastAsia" w:ascii="黑体" w:hAnsi="黑体" w:eastAsia="黑体"/>
          <w:snapToGrid w:val="0"/>
          <w:color w:val="auto"/>
          <w:sz w:val="30"/>
          <w:szCs w:val="30"/>
        </w:rPr>
        <w:t>七、结论</w:t>
      </w:r>
      <w:bookmarkEnd w:id="66"/>
    </w:p>
    <w:tbl>
      <w:tblPr>
        <w:tblStyle w:val="26"/>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50F286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74" w:hRule="atLeast"/>
          <w:jc w:val="center"/>
        </w:trPr>
        <w:tc>
          <w:tcPr>
            <w:tcW w:w="9289" w:type="dxa"/>
            <w:noWrap w:val="0"/>
            <w:vAlign w:val="top"/>
          </w:tcPr>
          <w:p w14:paraId="03CDEB33">
            <w:pPr>
              <w:keepNext w:val="0"/>
              <w:keepLines w:val="0"/>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综上所述，本项目符合国家产业政策，项目选址合理。建设单位在严格执行我国建设项目环境保护“三同时”制度、对各项污染防治措施和上述建议切实逐项予以落实、并加强生产和污染治理设施的运行管理保证各种污染物达标排放的前提下，</w:t>
            </w:r>
            <w:r>
              <w:rPr>
                <w:rFonts w:hint="eastAsia" w:cs="Times New Roman"/>
                <w:color w:val="auto"/>
                <w:sz w:val="24"/>
                <w:szCs w:val="24"/>
                <w:lang w:val="en-US" w:eastAsia="zh-CN"/>
              </w:rPr>
              <w:t>阜康西沙沟煤田火区灭火工程</w:t>
            </w:r>
            <w:r>
              <w:rPr>
                <w:rFonts w:hint="eastAsia" w:ascii="Times New Roman" w:hAnsi="Times New Roman" w:cs="Times New Roman"/>
                <w:color w:val="auto"/>
                <w:sz w:val="24"/>
                <w:szCs w:val="24"/>
              </w:rPr>
              <w:t>对周围环境质量影响较小，符合国家、地方的环保标准，因而本项目从环境保护的角度来看，该项目的建设是合理可行的。</w:t>
            </w:r>
          </w:p>
          <w:p w14:paraId="00B34A3D">
            <w:pPr>
              <w:keepNext w:val="0"/>
              <w:keepLines w:val="0"/>
              <w:suppressLineNumbers w:val="0"/>
              <w:adjustRightInd w:val="0"/>
              <w:snapToGrid w:val="0"/>
              <w:spacing w:before="0" w:beforeAutospacing="0" w:after="0" w:afterAutospacing="0" w:line="360" w:lineRule="auto"/>
              <w:ind w:left="0" w:right="0" w:firstLine="420" w:firstLineChars="200"/>
              <w:jc w:val="left"/>
              <w:rPr>
                <w:rFonts w:hint="default" w:ascii="Times New Roman" w:hAnsi="Times New Roman" w:cs="宋体"/>
                <w:color w:val="auto"/>
                <w:szCs w:val="21"/>
              </w:rPr>
            </w:pPr>
          </w:p>
        </w:tc>
      </w:tr>
    </w:tbl>
    <w:p w14:paraId="626B8ED9">
      <w:pPr>
        <w:widowControl/>
        <w:adjustRightInd w:val="0"/>
        <w:snapToGrid w:val="0"/>
        <w:spacing w:before="192" w:beforeLines="80"/>
        <w:jc w:val="center"/>
        <w:rPr>
          <w:rFonts w:hint="default" w:ascii="仿宋_GB2312" w:eastAsia="仿宋_GB2312"/>
          <w:b/>
          <w:color w:val="auto"/>
          <w:kern w:val="0"/>
          <w:sz w:val="24"/>
          <w:lang w:val="en-US" w:eastAsia="zh-CN"/>
        </w:rPr>
      </w:pPr>
    </w:p>
    <w:sectPr>
      <w:pgSz w:w="11906" w:h="16838"/>
      <w:pgMar w:top="1701" w:right="1531" w:bottom="1701" w:left="1531" w:header="851" w:footer="1077"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BC01194-F451-4974-B2DF-F881DD4F167C}"/>
  </w:font>
  <w:font w:name="黑体">
    <w:panose1 w:val="02010609060101010101"/>
    <w:charset w:val="86"/>
    <w:family w:val="auto"/>
    <w:pitch w:val="default"/>
    <w:sig w:usb0="800002BF" w:usb1="38CF7CFA" w:usb2="00000016" w:usb3="00000000" w:csb0="00040001" w:csb1="00000000"/>
    <w:embedRegular r:id="rId2" w:fontKey="{A47D5F3B-4814-4FE3-9B2D-6FDA274CAF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460E3DB6-5417-4C83-A055-B977B42599D1}"/>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modern"/>
    <w:pitch w:val="default"/>
    <w:sig w:usb0="00000001" w:usb1="080E0000" w:usb2="00000000" w:usb3="00000000" w:csb0="00040000" w:csb1="00000000"/>
    <w:embedRegular r:id="rId4" w:fontKey="{23AEA836-AA70-4B82-8EA6-3ED49F696E91}"/>
  </w:font>
  <w:font w:name="TimesNewRoman">
    <w:altName w:val="Times New Roman"/>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script"/>
    <w:pitch w:val="default"/>
    <w:sig w:usb0="A00002BF" w:usb1="38CF7CFA" w:usb2="00082016" w:usb3="00000000" w:csb0="00040001" w:csb1="00000000"/>
  </w:font>
  <w:font w:name="华文仿宋">
    <w:panose1 w:val="02010600040101010101"/>
    <w:charset w:val="86"/>
    <w:family w:val="auto"/>
    <w:pitch w:val="default"/>
    <w:sig w:usb0="00000287" w:usb1="080F0000" w:usb2="00000000" w:usb3="00000000" w:csb0="0004009F" w:csb1="DFD70000"/>
    <w:embedRegular r:id="rId5" w:fontKey="{0E675A88-78F6-4D06-A907-824EB5A7A2BD}"/>
  </w:font>
  <w:font w:name="Arial Unicode MS">
    <w:altName w:val="宋体"/>
    <w:panose1 w:val="020B0604020202020204"/>
    <w:charset w:val="86"/>
    <w:family w:val="auto"/>
    <w:pitch w:val="default"/>
    <w:sig w:usb0="00000000" w:usb1="00000000" w:usb2="0000007F" w:usb3="00000000" w:csb0="203F01FF" w:csb1="DFFF0000"/>
  </w:font>
  <w:font w:name="方正小标宋_GBK">
    <w:panose1 w:val="02000000000000000000"/>
    <w:charset w:val="86"/>
    <w:family w:val="script"/>
    <w:pitch w:val="default"/>
    <w:sig w:usb0="A00002BF" w:usb1="38CF7CFA" w:usb2="00082016" w:usb3="00000000" w:csb0="00040001" w:csb1="00000000"/>
    <w:embedRegular r:id="rId6" w:fontKey="{FDD4A0CF-BEAC-4F2D-A08E-2012BB2FE538}"/>
  </w:font>
  <w:font w:name="仿宋">
    <w:panose1 w:val="02010609060101010101"/>
    <w:charset w:val="86"/>
    <w:family w:val="modern"/>
    <w:pitch w:val="default"/>
    <w:sig w:usb0="800002BF" w:usb1="38CF7CFA" w:usb2="00000016" w:usb3="00000000" w:csb0="00040001" w:csb1="00000000"/>
    <w:embedRegular r:id="rId7" w:fontKey="{302F63EE-B463-4A79-9681-0D5CAB62AE44}"/>
  </w:font>
  <w:font w:name="Wingdings 2">
    <w:panose1 w:val="05020102010507070707"/>
    <w:charset w:val="02"/>
    <w:family w:val="roman"/>
    <w:pitch w:val="default"/>
    <w:sig w:usb0="00000000" w:usb1="00000000" w:usb2="00000000" w:usb3="00000000" w:csb0="80000000" w:csb1="00000000"/>
    <w:embedRegular r:id="rId8" w:fontKey="{1A1322A6-0922-4545-AFB3-684B86C26044}"/>
  </w:font>
  <w:font w:name="Helvetica">
    <w:altName w:val="Arial"/>
    <w:panose1 w:val="020B0604020202030204"/>
    <w:charset w:val="00"/>
    <w:family w:val="auto"/>
    <w:pitch w:val="default"/>
    <w:sig w:usb0="00000000" w:usb1="00000000" w:usb2="00000000" w:usb3="00000000" w:csb0="00000093" w:csb1="00000000"/>
    <w:embedRegular r:id="rId9" w:fontKey="{696BB4D3-EC24-4B90-8193-A2D256D60035}"/>
  </w:font>
  <w:font w:name="Segoe UI">
    <w:panose1 w:val="020B0502040204020203"/>
    <w:charset w:val="00"/>
    <w:family w:val="auto"/>
    <w:pitch w:val="default"/>
    <w:sig w:usb0="E4002EFF" w:usb1="C000E47F" w:usb2="00000009" w:usb3="00000000" w:csb0="200001FF" w:csb1="00000000"/>
    <w:embedRegular r:id="rId10" w:fontKey="{48531F84-47B3-40F6-8FBB-8B480626B2E8}"/>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B662A">
    <w:pPr>
      <w:pStyle w:val="17"/>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D95DCB">
                          <w:pPr>
                            <w:pStyle w:val="17"/>
                            <w:rPr>
                              <w:rStyle w:val="30"/>
                              <w:rFonts w:ascii="宋体" w:hAnsi="宋体"/>
                              <w:sz w:val="28"/>
                              <w:szCs w:val="28"/>
                            </w:rPr>
                          </w:pPr>
                          <w:r>
                            <w:rPr>
                              <w:rStyle w:val="30"/>
                              <w:rFonts w:hint="eastAsia" w:ascii="宋体" w:hAnsi="宋体"/>
                              <w:sz w:val="20"/>
                              <w:szCs w:val="20"/>
                            </w:rPr>
                            <w:t xml:space="preserve">  </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tgJ8gBAACa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Wq8pcdzixC/fv11+/Lr8/Epe&#10;Zn2GAA2m3QdMTOMbP+LWLH5AZ6Y9qmjzFwkRjKO656u6ckxE5Ef1uq4rDAmMLRfEZw/PQ4T0VnpL&#10;stHSiOMrqvLTe0hT6pKSqzl/p40pIzTuLwdiZg/LvU89ZiuN+3EmtPfdGfkMOPmWOlx0Ssw7h8Lm&#10;JVmMuBj7xTiGqA992aJcD8LrY8ImSm+5wgQ7F8aRFXbz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ZbYCfIAQAAmgMAAA4AAAAAAAAAAQAgAAAAHgEAAGRycy9lMm9Eb2Mu&#10;eG1sUEsFBgAAAAAGAAYAWQEAAFgFAAAAAA==&#10;">
              <v:fill on="f" focussize="0,0"/>
              <v:stroke on="f"/>
              <v:imagedata o:title=""/>
              <o:lock v:ext="edit" aspectratio="f"/>
              <v:textbox inset="0mm,0mm,0mm,0mm" style="mso-fit-shape-to-text:t;">
                <w:txbxContent>
                  <w:p w14:paraId="3DD95DCB">
                    <w:pPr>
                      <w:pStyle w:val="17"/>
                      <w:rPr>
                        <w:rStyle w:val="30"/>
                        <w:rFonts w:ascii="宋体" w:hAnsi="宋体"/>
                        <w:sz w:val="28"/>
                        <w:szCs w:val="28"/>
                      </w:rPr>
                    </w:pPr>
                    <w:r>
                      <w:rPr>
                        <w:rStyle w:val="30"/>
                        <w:rFonts w:hint="eastAsia" w:ascii="宋体" w:hAnsi="宋体"/>
                        <w:sz w:val="20"/>
                        <w:szCs w:val="2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19CC7">
    <w:pPr>
      <w:pStyle w:val="17"/>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posOffset>2750820</wp:posOffset>
              </wp:positionH>
              <wp:positionV relativeFrom="paragraph">
                <wp:posOffset>0</wp:posOffset>
              </wp:positionV>
              <wp:extent cx="187960" cy="1828800"/>
              <wp:effectExtent l="0" t="0" r="0" b="0"/>
              <wp:wrapNone/>
              <wp:docPr id="84" name="文本框 3"/>
              <wp:cNvGraphicFramePr/>
              <a:graphic xmlns:a="http://schemas.openxmlformats.org/drawingml/2006/main">
                <a:graphicData uri="http://schemas.microsoft.com/office/word/2010/wordprocessingShape">
                  <wps:wsp>
                    <wps:cNvSpPr txBox="1"/>
                    <wps:spPr>
                      <a:xfrm>
                        <a:off x="0" y="0"/>
                        <a:ext cx="187960" cy="1828800"/>
                      </a:xfrm>
                      <a:prstGeom prst="rect">
                        <a:avLst/>
                      </a:prstGeom>
                      <a:noFill/>
                      <a:ln>
                        <a:noFill/>
                      </a:ln>
                    </wps:spPr>
                    <wps:txbx>
                      <w:txbxContent>
                        <w:p w14:paraId="55B86149">
                          <w:pPr>
                            <w:pStyle w:val="17"/>
                          </w:pPr>
                          <w:r>
                            <w:fldChar w:fldCharType="begin"/>
                          </w:r>
                          <w:r>
                            <w:instrText xml:space="preserve"> PAGE  \* MERGEFORMAT </w:instrText>
                          </w:r>
                          <w:r>
                            <w:fldChar w:fldCharType="separate"/>
                          </w:r>
                          <w:r>
                            <w:t>21</w:t>
                          </w:r>
                          <w:r>
                            <w:fldChar w:fldCharType="end"/>
                          </w:r>
                        </w:p>
                      </w:txbxContent>
                    </wps:txbx>
                    <wps:bodyPr wrap="square" lIns="0" tIns="0" rIns="0" bIns="0" upright="0">
                      <a:spAutoFit/>
                    </wps:bodyPr>
                  </wps:wsp>
                </a:graphicData>
              </a:graphic>
            </wp:anchor>
          </w:drawing>
        </mc:Choice>
        <mc:Fallback>
          <w:pict>
            <v:shape id="文本框 3" o:spid="_x0000_s1026" o:spt="202" type="#_x0000_t202" style="position:absolute;left:0pt;margin-left:216.6pt;margin-top:0pt;height:144pt;width:14.8pt;mso-position-horizontal-relative:margin;z-index:251661312;mso-width-relative:page;mso-height-relative:page;" filled="f" stroked="f" coordsize="21600,21600" o:gfxdata="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1bPuV9UAAAAIAQAADwAAAAAAAAABACAAAAAiAAAA&#10;ZHJzL2Rvd25yZXYueG1sUEsBAhQAFAAAAAgAh07iQBeCckXRAQAAmwMAAA4AAAAAAAAAAQAgAAAA&#10;JAEAAGRycy9lMm9Eb2MueG1sUEsFBgAAAAAGAAYAWQEAAGcFAAAAAA==&#10;">
              <v:fill on="f" focussize="0,0"/>
              <v:stroke on="f"/>
              <v:imagedata o:title=""/>
              <o:lock v:ext="edit" aspectratio="f"/>
              <v:textbox inset="0mm,0mm,0mm,0mm" style="mso-fit-shape-to-text:t;">
                <w:txbxContent>
                  <w:p w14:paraId="55B86149">
                    <w:pPr>
                      <w:pStyle w:val="17"/>
                    </w:pPr>
                    <w:r>
                      <w:fldChar w:fldCharType="begin"/>
                    </w:r>
                    <w:r>
                      <w:instrText xml:space="preserve"> PAGE  \* MERGEFORMAT </w:instrText>
                    </w:r>
                    <w:r>
                      <w:fldChar w:fldCharType="separate"/>
                    </w:r>
                    <w:r>
                      <w:t>21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4D4C36">
                          <w:pPr>
                            <w:pStyle w:val="17"/>
                            <w:rPr>
                              <w:rStyle w:val="30"/>
                              <w:rFonts w:ascii="宋体" w:hAnsi="宋体"/>
                              <w:sz w:val="28"/>
                              <w:szCs w:val="28"/>
                            </w:rPr>
                          </w:pPr>
                          <w:r>
                            <w:rPr>
                              <w:rStyle w:val="30"/>
                              <w:rFonts w:hint="eastAsia" w:ascii="宋体" w:hAnsi="宋体"/>
                              <w:sz w:val="20"/>
                              <w:szCs w:val="20"/>
                            </w:rPr>
                            <w:t xml:space="preserve">  </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13iEC8oBAACaAwAADgAAAAAAAAABACAAAAAeAQAAZHJzL2Uyb0Rv&#10;Yy54bWxQSwUGAAAAAAYABgBZAQAAWgUAAAAA&#10;">
              <v:fill on="f" focussize="0,0"/>
              <v:stroke on="f"/>
              <v:imagedata o:title=""/>
              <o:lock v:ext="edit" aspectratio="f"/>
              <v:textbox inset="0mm,0mm,0mm,0mm" style="mso-fit-shape-to-text:t;">
                <w:txbxContent>
                  <w:p w14:paraId="304D4C36">
                    <w:pPr>
                      <w:pStyle w:val="17"/>
                      <w:rPr>
                        <w:rStyle w:val="30"/>
                        <w:rFonts w:ascii="宋体" w:hAnsi="宋体"/>
                        <w:sz w:val="28"/>
                        <w:szCs w:val="28"/>
                      </w:rPr>
                    </w:pPr>
                    <w:r>
                      <w:rPr>
                        <w:rStyle w:val="30"/>
                        <w:rFonts w:hint="eastAsia" w:ascii="宋体" w:hAnsi="宋体"/>
                        <w:sz w:val="20"/>
                        <w:szCs w:val="20"/>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EB7222"/>
    <w:multiLevelType w:val="singleLevel"/>
    <w:tmpl w:val="ECEB7222"/>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MjFhY2MwMDM1ZDZhMzliY2I1Mjc4ZTUxNmU4OTkifQ=="/>
    <w:docVar w:name="KSO_WPS_MARK_KEY" w:val="83b8d3c3-aa21-4424-bccc-46fd58a0d319"/>
  </w:docVars>
  <w:rsids>
    <w:rsidRoot w:val="00172A2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281D"/>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86BF0"/>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4703D"/>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4929"/>
    <w:rsid w:val="002B49E2"/>
    <w:rsid w:val="002B7B00"/>
    <w:rsid w:val="002B7C44"/>
    <w:rsid w:val="002C1388"/>
    <w:rsid w:val="002C1BCE"/>
    <w:rsid w:val="002C3C6A"/>
    <w:rsid w:val="002D42DB"/>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67609"/>
    <w:rsid w:val="00373B0D"/>
    <w:rsid w:val="00376988"/>
    <w:rsid w:val="00381A72"/>
    <w:rsid w:val="0039024F"/>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D6899"/>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0597"/>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C4898"/>
    <w:rsid w:val="006D170E"/>
    <w:rsid w:val="006E06AF"/>
    <w:rsid w:val="006F1789"/>
    <w:rsid w:val="00704336"/>
    <w:rsid w:val="00706C5D"/>
    <w:rsid w:val="007118E6"/>
    <w:rsid w:val="007225C9"/>
    <w:rsid w:val="00735CD7"/>
    <w:rsid w:val="00754034"/>
    <w:rsid w:val="00754BF1"/>
    <w:rsid w:val="00755A30"/>
    <w:rsid w:val="00755E1C"/>
    <w:rsid w:val="00756556"/>
    <w:rsid w:val="0076132B"/>
    <w:rsid w:val="007623AE"/>
    <w:rsid w:val="00764DA5"/>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C30AD"/>
    <w:rsid w:val="008C48A4"/>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4445"/>
    <w:rsid w:val="009E5984"/>
    <w:rsid w:val="009E7E95"/>
    <w:rsid w:val="009F116F"/>
    <w:rsid w:val="009F329E"/>
    <w:rsid w:val="009F7ED3"/>
    <w:rsid w:val="00A03607"/>
    <w:rsid w:val="00A047FF"/>
    <w:rsid w:val="00A04FEF"/>
    <w:rsid w:val="00A122CD"/>
    <w:rsid w:val="00A12A32"/>
    <w:rsid w:val="00A14248"/>
    <w:rsid w:val="00A14947"/>
    <w:rsid w:val="00A23DC5"/>
    <w:rsid w:val="00A339CF"/>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05A67"/>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CE6272"/>
    <w:rsid w:val="00D0072E"/>
    <w:rsid w:val="00D01C9D"/>
    <w:rsid w:val="00D15727"/>
    <w:rsid w:val="00D16332"/>
    <w:rsid w:val="00D24972"/>
    <w:rsid w:val="00D2515E"/>
    <w:rsid w:val="00D308ED"/>
    <w:rsid w:val="00D56178"/>
    <w:rsid w:val="00D56CF0"/>
    <w:rsid w:val="00D56F5C"/>
    <w:rsid w:val="00D704B1"/>
    <w:rsid w:val="00D70B63"/>
    <w:rsid w:val="00D72B92"/>
    <w:rsid w:val="00D72ED4"/>
    <w:rsid w:val="00D73760"/>
    <w:rsid w:val="00D73F61"/>
    <w:rsid w:val="00D754C0"/>
    <w:rsid w:val="00D776A2"/>
    <w:rsid w:val="00D801C4"/>
    <w:rsid w:val="00D8150D"/>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9687D"/>
    <w:rsid w:val="00FA301A"/>
    <w:rsid w:val="00FA406A"/>
    <w:rsid w:val="00FA5CB6"/>
    <w:rsid w:val="00FC66AC"/>
    <w:rsid w:val="00FD18F4"/>
    <w:rsid w:val="00FD74B4"/>
    <w:rsid w:val="00FF6FCE"/>
    <w:rsid w:val="00FF7518"/>
    <w:rsid w:val="00FF7FD8"/>
    <w:rsid w:val="010B22B0"/>
    <w:rsid w:val="01325C78"/>
    <w:rsid w:val="013F3AE0"/>
    <w:rsid w:val="015D1EF7"/>
    <w:rsid w:val="01613A6C"/>
    <w:rsid w:val="0163262B"/>
    <w:rsid w:val="018856AF"/>
    <w:rsid w:val="018F2801"/>
    <w:rsid w:val="01986A32"/>
    <w:rsid w:val="01A32FD0"/>
    <w:rsid w:val="01A7022B"/>
    <w:rsid w:val="01B033D2"/>
    <w:rsid w:val="01C33426"/>
    <w:rsid w:val="01C439A0"/>
    <w:rsid w:val="01CE3A0A"/>
    <w:rsid w:val="01D01FFF"/>
    <w:rsid w:val="01D408F4"/>
    <w:rsid w:val="01D816A9"/>
    <w:rsid w:val="01EB5ADA"/>
    <w:rsid w:val="0204039B"/>
    <w:rsid w:val="02093128"/>
    <w:rsid w:val="0216715F"/>
    <w:rsid w:val="02560315"/>
    <w:rsid w:val="025A704C"/>
    <w:rsid w:val="025D023A"/>
    <w:rsid w:val="027345B1"/>
    <w:rsid w:val="029D659E"/>
    <w:rsid w:val="02A028BE"/>
    <w:rsid w:val="02A47077"/>
    <w:rsid w:val="02BD21E6"/>
    <w:rsid w:val="02CF04CF"/>
    <w:rsid w:val="02DB0A81"/>
    <w:rsid w:val="02F1631B"/>
    <w:rsid w:val="02F44DBE"/>
    <w:rsid w:val="03125E0D"/>
    <w:rsid w:val="03277FAD"/>
    <w:rsid w:val="033349EE"/>
    <w:rsid w:val="0337493F"/>
    <w:rsid w:val="0346774D"/>
    <w:rsid w:val="034E7FFA"/>
    <w:rsid w:val="036D07D5"/>
    <w:rsid w:val="037441BD"/>
    <w:rsid w:val="03847454"/>
    <w:rsid w:val="03862B21"/>
    <w:rsid w:val="038E748A"/>
    <w:rsid w:val="039E7CEB"/>
    <w:rsid w:val="03A54BC9"/>
    <w:rsid w:val="03B367DE"/>
    <w:rsid w:val="03B67CF1"/>
    <w:rsid w:val="03B823BD"/>
    <w:rsid w:val="03C71719"/>
    <w:rsid w:val="03C97A0D"/>
    <w:rsid w:val="03CA2849"/>
    <w:rsid w:val="03EB0861"/>
    <w:rsid w:val="03F0541D"/>
    <w:rsid w:val="03FD32F7"/>
    <w:rsid w:val="04181207"/>
    <w:rsid w:val="041E770C"/>
    <w:rsid w:val="04207E21"/>
    <w:rsid w:val="04312700"/>
    <w:rsid w:val="04373D7E"/>
    <w:rsid w:val="043D54CB"/>
    <w:rsid w:val="043D7A6E"/>
    <w:rsid w:val="044052BD"/>
    <w:rsid w:val="044D59F4"/>
    <w:rsid w:val="044E6266"/>
    <w:rsid w:val="0463522E"/>
    <w:rsid w:val="046E0A40"/>
    <w:rsid w:val="046F76E8"/>
    <w:rsid w:val="04763EE5"/>
    <w:rsid w:val="048E6FA4"/>
    <w:rsid w:val="049B18BB"/>
    <w:rsid w:val="04B53D6B"/>
    <w:rsid w:val="04BC5CE3"/>
    <w:rsid w:val="04D927DE"/>
    <w:rsid w:val="04D9310C"/>
    <w:rsid w:val="04E710DF"/>
    <w:rsid w:val="04F62686"/>
    <w:rsid w:val="04FA68C4"/>
    <w:rsid w:val="050E0034"/>
    <w:rsid w:val="05123AB9"/>
    <w:rsid w:val="051B58A3"/>
    <w:rsid w:val="05417F0C"/>
    <w:rsid w:val="05504736"/>
    <w:rsid w:val="05517543"/>
    <w:rsid w:val="056F32B9"/>
    <w:rsid w:val="05742AC8"/>
    <w:rsid w:val="05753A34"/>
    <w:rsid w:val="05921783"/>
    <w:rsid w:val="059656C7"/>
    <w:rsid w:val="0597235D"/>
    <w:rsid w:val="059B55BE"/>
    <w:rsid w:val="05B774A4"/>
    <w:rsid w:val="05CB200E"/>
    <w:rsid w:val="06117B50"/>
    <w:rsid w:val="061D4AE9"/>
    <w:rsid w:val="06285C06"/>
    <w:rsid w:val="063470C2"/>
    <w:rsid w:val="06352F05"/>
    <w:rsid w:val="063E7D85"/>
    <w:rsid w:val="066532F3"/>
    <w:rsid w:val="066659CB"/>
    <w:rsid w:val="067601CC"/>
    <w:rsid w:val="06772E19"/>
    <w:rsid w:val="06837E7B"/>
    <w:rsid w:val="069470FE"/>
    <w:rsid w:val="06A00B42"/>
    <w:rsid w:val="06A66D03"/>
    <w:rsid w:val="06A82BC7"/>
    <w:rsid w:val="06B33D32"/>
    <w:rsid w:val="06B457C8"/>
    <w:rsid w:val="06BF7900"/>
    <w:rsid w:val="06CA72DD"/>
    <w:rsid w:val="06D2567A"/>
    <w:rsid w:val="06EF45E0"/>
    <w:rsid w:val="070875E0"/>
    <w:rsid w:val="071F6AB6"/>
    <w:rsid w:val="07254729"/>
    <w:rsid w:val="07262E75"/>
    <w:rsid w:val="07293586"/>
    <w:rsid w:val="07295285"/>
    <w:rsid w:val="076B1CFB"/>
    <w:rsid w:val="07705A95"/>
    <w:rsid w:val="07724D83"/>
    <w:rsid w:val="07724E37"/>
    <w:rsid w:val="07770C56"/>
    <w:rsid w:val="07796593"/>
    <w:rsid w:val="077C69D1"/>
    <w:rsid w:val="077E5E1A"/>
    <w:rsid w:val="0782128F"/>
    <w:rsid w:val="07866B35"/>
    <w:rsid w:val="07921036"/>
    <w:rsid w:val="079D2C7B"/>
    <w:rsid w:val="07A2047D"/>
    <w:rsid w:val="07A9005E"/>
    <w:rsid w:val="07B50156"/>
    <w:rsid w:val="07C47737"/>
    <w:rsid w:val="07DC069D"/>
    <w:rsid w:val="07E439BB"/>
    <w:rsid w:val="07EF1C75"/>
    <w:rsid w:val="081F1402"/>
    <w:rsid w:val="082459BA"/>
    <w:rsid w:val="08314C1A"/>
    <w:rsid w:val="08387C94"/>
    <w:rsid w:val="085245E8"/>
    <w:rsid w:val="086315B9"/>
    <w:rsid w:val="086724C2"/>
    <w:rsid w:val="089649FD"/>
    <w:rsid w:val="08AD3C8E"/>
    <w:rsid w:val="08B36B01"/>
    <w:rsid w:val="08EA175D"/>
    <w:rsid w:val="090730ED"/>
    <w:rsid w:val="09102954"/>
    <w:rsid w:val="092217DD"/>
    <w:rsid w:val="093A7294"/>
    <w:rsid w:val="09636E39"/>
    <w:rsid w:val="09653EA6"/>
    <w:rsid w:val="097030D0"/>
    <w:rsid w:val="09714C67"/>
    <w:rsid w:val="097F55EA"/>
    <w:rsid w:val="09863F22"/>
    <w:rsid w:val="09BB68FD"/>
    <w:rsid w:val="09BC445D"/>
    <w:rsid w:val="09EF429D"/>
    <w:rsid w:val="09F26440"/>
    <w:rsid w:val="09FE0C04"/>
    <w:rsid w:val="0A073DC9"/>
    <w:rsid w:val="0A0E684A"/>
    <w:rsid w:val="0A2543E3"/>
    <w:rsid w:val="0A257274"/>
    <w:rsid w:val="0A285422"/>
    <w:rsid w:val="0A3035BA"/>
    <w:rsid w:val="0A324AD7"/>
    <w:rsid w:val="0A3B108F"/>
    <w:rsid w:val="0A410AF1"/>
    <w:rsid w:val="0A5275E8"/>
    <w:rsid w:val="0A5302E7"/>
    <w:rsid w:val="0A6537B2"/>
    <w:rsid w:val="0A693A61"/>
    <w:rsid w:val="0A74291F"/>
    <w:rsid w:val="0A7A7043"/>
    <w:rsid w:val="0AA4449E"/>
    <w:rsid w:val="0ABD2C58"/>
    <w:rsid w:val="0AD46CBC"/>
    <w:rsid w:val="0AD5360E"/>
    <w:rsid w:val="0AD63AD0"/>
    <w:rsid w:val="0B06349B"/>
    <w:rsid w:val="0B2201B7"/>
    <w:rsid w:val="0B2E032F"/>
    <w:rsid w:val="0B3042C0"/>
    <w:rsid w:val="0B436969"/>
    <w:rsid w:val="0B720882"/>
    <w:rsid w:val="0B835B38"/>
    <w:rsid w:val="0BA20207"/>
    <w:rsid w:val="0BD27BF6"/>
    <w:rsid w:val="0BD657B4"/>
    <w:rsid w:val="0BF96E42"/>
    <w:rsid w:val="0C063DA0"/>
    <w:rsid w:val="0C0D1A32"/>
    <w:rsid w:val="0C0D59D2"/>
    <w:rsid w:val="0C26368A"/>
    <w:rsid w:val="0C392088"/>
    <w:rsid w:val="0C443FEC"/>
    <w:rsid w:val="0C5C0D03"/>
    <w:rsid w:val="0C653D96"/>
    <w:rsid w:val="0C9155F6"/>
    <w:rsid w:val="0C9D17A6"/>
    <w:rsid w:val="0CA02ADC"/>
    <w:rsid w:val="0CA17ECB"/>
    <w:rsid w:val="0CAA246F"/>
    <w:rsid w:val="0CD024DF"/>
    <w:rsid w:val="0CDF0B93"/>
    <w:rsid w:val="0CDF55BF"/>
    <w:rsid w:val="0D2F7452"/>
    <w:rsid w:val="0D3A04F0"/>
    <w:rsid w:val="0D646FD0"/>
    <w:rsid w:val="0D6C55AF"/>
    <w:rsid w:val="0D737A3D"/>
    <w:rsid w:val="0D750CC8"/>
    <w:rsid w:val="0D7C1138"/>
    <w:rsid w:val="0D8633EB"/>
    <w:rsid w:val="0D921D8F"/>
    <w:rsid w:val="0DAE6353"/>
    <w:rsid w:val="0DB27CCD"/>
    <w:rsid w:val="0DB53CD0"/>
    <w:rsid w:val="0DCE2FC0"/>
    <w:rsid w:val="0DD37CF6"/>
    <w:rsid w:val="0DDD6D83"/>
    <w:rsid w:val="0DE567E1"/>
    <w:rsid w:val="0DFE1B72"/>
    <w:rsid w:val="0E0E518E"/>
    <w:rsid w:val="0E110D06"/>
    <w:rsid w:val="0E180C18"/>
    <w:rsid w:val="0E221D05"/>
    <w:rsid w:val="0E301C7D"/>
    <w:rsid w:val="0E320E7D"/>
    <w:rsid w:val="0E332CB4"/>
    <w:rsid w:val="0E3D31F1"/>
    <w:rsid w:val="0E3E75FD"/>
    <w:rsid w:val="0E600D48"/>
    <w:rsid w:val="0E86653D"/>
    <w:rsid w:val="0E9126EA"/>
    <w:rsid w:val="0EA10147"/>
    <w:rsid w:val="0EAF3BDB"/>
    <w:rsid w:val="0EB75EDE"/>
    <w:rsid w:val="0ED97846"/>
    <w:rsid w:val="0EDB1840"/>
    <w:rsid w:val="0EDD6F5C"/>
    <w:rsid w:val="0EF736CA"/>
    <w:rsid w:val="0EF73DED"/>
    <w:rsid w:val="0EFA2FDB"/>
    <w:rsid w:val="0EFB3964"/>
    <w:rsid w:val="0F0B0D3E"/>
    <w:rsid w:val="0F13775A"/>
    <w:rsid w:val="0F2E1262"/>
    <w:rsid w:val="0F502AB7"/>
    <w:rsid w:val="0F520039"/>
    <w:rsid w:val="0F5D3E39"/>
    <w:rsid w:val="0F660BA3"/>
    <w:rsid w:val="0F6C655D"/>
    <w:rsid w:val="0F7977F4"/>
    <w:rsid w:val="0F7A2ADB"/>
    <w:rsid w:val="0F7A5ED6"/>
    <w:rsid w:val="0F8F06BE"/>
    <w:rsid w:val="0F9A112B"/>
    <w:rsid w:val="0F9D68B6"/>
    <w:rsid w:val="0FA318B0"/>
    <w:rsid w:val="0FAC4536"/>
    <w:rsid w:val="0FCD63EF"/>
    <w:rsid w:val="0FD3636E"/>
    <w:rsid w:val="0FDF3133"/>
    <w:rsid w:val="0FE6742B"/>
    <w:rsid w:val="0FF05143"/>
    <w:rsid w:val="101C1DCE"/>
    <w:rsid w:val="1025513D"/>
    <w:rsid w:val="10395122"/>
    <w:rsid w:val="103A04BC"/>
    <w:rsid w:val="10485472"/>
    <w:rsid w:val="10593038"/>
    <w:rsid w:val="106D2F64"/>
    <w:rsid w:val="107B1987"/>
    <w:rsid w:val="1082242A"/>
    <w:rsid w:val="10A7464F"/>
    <w:rsid w:val="10B04B5C"/>
    <w:rsid w:val="10B33E70"/>
    <w:rsid w:val="10B36D49"/>
    <w:rsid w:val="10B63710"/>
    <w:rsid w:val="10B940D7"/>
    <w:rsid w:val="11051EEE"/>
    <w:rsid w:val="1116411D"/>
    <w:rsid w:val="1118335A"/>
    <w:rsid w:val="111C2F7A"/>
    <w:rsid w:val="11225D53"/>
    <w:rsid w:val="113013DE"/>
    <w:rsid w:val="113D13AE"/>
    <w:rsid w:val="115025F7"/>
    <w:rsid w:val="115B3EF1"/>
    <w:rsid w:val="116B7D44"/>
    <w:rsid w:val="11732A8D"/>
    <w:rsid w:val="11793267"/>
    <w:rsid w:val="11877731"/>
    <w:rsid w:val="119767EA"/>
    <w:rsid w:val="11BB7E33"/>
    <w:rsid w:val="11D63897"/>
    <w:rsid w:val="11E75D29"/>
    <w:rsid w:val="11F42600"/>
    <w:rsid w:val="11F50E4A"/>
    <w:rsid w:val="121F3E0E"/>
    <w:rsid w:val="121F64C1"/>
    <w:rsid w:val="122B06C2"/>
    <w:rsid w:val="122E344D"/>
    <w:rsid w:val="123D63F3"/>
    <w:rsid w:val="12620F04"/>
    <w:rsid w:val="12641894"/>
    <w:rsid w:val="126B3894"/>
    <w:rsid w:val="12734B3F"/>
    <w:rsid w:val="1284159E"/>
    <w:rsid w:val="128A3E26"/>
    <w:rsid w:val="12A634F2"/>
    <w:rsid w:val="12BA0AEB"/>
    <w:rsid w:val="12BD7227"/>
    <w:rsid w:val="12D07315"/>
    <w:rsid w:val="12DA517D"/>
    <w:rsid w:val="12EA0462"/>
    <w:rsid w:val="12EF1689"/>
    <w:rsid w:val="12F77283"/>
    <w:rsid w:val="1301505E"/>
    <w:rsid w:val="13053004"/>
    <w:rsid w:val="130628D8"/>
    <w:rsid w:val="13242E4C"/>
    <w:rsid w:val="13266E74"/>
    <w:rsid w:val="133108B1"/>
    <w:rsid w:val="13340347"/>
    <w:rsid w:val="133F0CC2"/>
    <w:rsid w:val="134C3473"/>
    <w:rsid w:val="135807A3"/>
    <w:rsid w:val="135E0A85"/>
    <w:rsid w:val="13614D08"/>
    <w:rsid w:val="13675D33"/>
    <w:rsid w:val="138201E8"/>
    <w:rsid w:val="13951726"/>
    <w:rsid w:val="13AC582C"/>
    <w:rsid w:val="13B01C4A"/>
    <w:rsid w:val="13BC6B86"/>
    <w:rsid w:val="13C31C1D"/>
    <w:rsid w:val="13C57778"/>
    <w:rsid w:val="13D25886"/>
    <w:rsid w:val="13D50E28"/>
    <w:rsid w:val="13E35EAF"/>
    <w:rsid w:val="13F46A54"/>
    <w:rsid w:val="13F6078F"/>
    <w:rsid w:val="13FC2BAC"/>
    <w:rsid w:val="14071D6F"/>
    <w:rsid w:val="140A67BC"/>
    <w:rsid w:val="1424321C"/>
    <w:rsid w:val="1429160A"/>
    <w:rsid w:val="142C2D1F"/>
    <w:rsid w:val="14321076"/>
    <w:rsid w:val="14396509"/>
    <w:rsid w:val="143C379A"/>
    <w:rsid w:val="143F50E6"/>
    <w:rsid w:val="143F7D43"/>
    <w:rsid w:val="1447165C"/>
    <w:rsid w:val="1448764C"/>
    <w:rsid w:val="145B69D3"/>
    <w:rsid w:val="14644899"/>
    <w:rsid w:val="1468742B"/>
    <w:rsid w:val="146D7B05"/>
    <w:rsid w:val="14863CD0"/>
    <w:rsid w:val="148D3A24"/>
    <w:rsid w:val="14927E49"/>
    <w:rsid w:val="14A760FD"/>
    <w:rsid w:val="14A80826"/>
    <w:rsid w:val="14B608A6"/>
    <w:rsid w:val="14B9085C"/>
    <w:rsid w:val="14D03259"/>
    <w:rsid w:val="14D30118"/>
    <w:rsid w:val="14DD63D0"/>
    <w:rsid w:val="14E962C6"/>
    <w:rsid w:val="150123CC"/>
    <w:rsid w:val="150124ED"/>
    <w:rsid w:val="15017C26"/>
    <w:rsid w:val="15042013"/>
    <w:rsid w:val="151E215B"/>
    <w:rsid w:val="151E288C"/>
    <w:rsid w:val="153A162B"/>
    <w:rsid w:val="1541603D"/>
    <w:rsid w:val="154A2F50"/>
    <w:rsid w:val="15504F07"/>
    <w:rsid w:val="157A37FA"/>
    <w:rsid w:val="157F3E3C"/>
    <w:rsid w:val="159019C3"/>
    <w:rsid w:val="15962639"/>
    <w:rsid w:val="159933BF"/>
    <w:rsid w:val="15B227E7"/>
    <w:rsid w:val="15C1606D"/>
    <w:rsid w:val="15C50A7F"/>
    <w:rsid w:val="15CE76F3"/>
    <w:rsid w:val="160E50B6"/>
    <w:rsid w:val="163F3427"/>
    <w:rsid w:val="165A761A"/>
    <w:rsid w:val="167246FA"/>
    <w:rsid w:val="167406F6"/>
    <w:rsid w:val="167C0179"/>
    <w:rsid w:val="1688015A"/>
    <w:rsid w:val="168B78B2"/>
    <w:rsid w:val="16905DCD"/>
    <w:rsid w:val="169907BD"/>
    <w:rsid w:val="169B7533"/>
    <w:rsid w:val="16B5089D"/>
    <w:rsid w:val="16C403D1"/>
    <w:rsid w:val="16D06151"/>
    <w:rsid w:val="16D556D3"/>
    <w:rsid w:val="16DE4297"/>
    <w:rsid w:val="16E211FB"/>
    <w:rsid w:val="16F707BE"/>
    <w:rsid w:val="16FA7D55"/>
    <w:rsid w:val="16FF0B97"/>
    <w:rsid w:val="171657DF"/>
    <w:rsid w:val="171A4891"/>
    <w:rsid w:val="17214184"/>
    <w:rsid w:val="172C5003"/>
    <w:rsid w:val="17406597"/>
    <w:rsid w:val="17445B9C"/>
    <w:rsid w:val="17533461"/>
    <w:rsid w:val="175D405C"/>
    <w:rsid w:val="17684C72"/>
    <w:rsid w:val="176D28C4"/>
    <w:rsid w:val="176F7300"/>
    <w:rsid w:val="17735226"/>
    <w:rsid w:val="17960478"/>
    <w:rsid w:val="179901BE"/>
    <w:rsid w:val="17C76AD9"/>
    <w:rsid w:val="17CB3D33"/>
    <w:rsid w:val="17D75383"/>
    <w:rsid w:val="17EC4DE0"/>
    <w:rsid w:val="17FC5493"/>
    <w:rsid w:val="180737CD"/>
    <w:rsid w:val="182A1090"/>
    <w:rsid w:val="18365A0D"/>
    <w:rsid w:val="183D53B3"/>
    <w:rsid w:val="183E42DF"/>
    <w:rsid w:val="1850262B"/>
    <w:rsid w:val="18730E3A"/>
    <w:rsid w:val="18951178"/>
    <w:rsid w:val="18965F03"/>
    <w:rsid w:val="18A46E1B"/>
    <w:rsid w:val="18CA4365"/>
    <w:rsid w:val="18DF6EA4"/>
    <w:rsid w:val="18EA22F6"/>
    <w:rsid w:val="18F31904"/>
    <w:rsid w:val="18FC3673"/>
    <w:rsid w:val="19257F5C"/>
    <w:rsid w:val="193B535C"/>
    <w:rsid w:val="196138CD"/>
    <w:rsid w:val="19741067"/>
    <w:rsid w:val="19753A4D"/>
    <w:rsid w:val="197B0DEE"/>
    <w:rsid w:val="19820B2B"/>
    <w:rsid w:val="198C7230"/>
    <w:rsid w:val="199C3008"/>
    <w:rsid w:val="199E7D0E"/>
    <w:rsid w:val="19A6486F"/>
    <w:rsid w:val="19BB441C"/>
    <w:rsid w:val="19BD10D5"/>
    <w:rsid w:val="19C534DB"/>
    <w:rsid w:val="19D50A62"/>
    <w:rsid w:val="19D76303"/>
    <w:rsid w:val="1A04281F"/>
    <w:rsid w:val="1A0E2614"/>
    <w:rsid w:val="1A0E7937"/>
    <w:rsid w:val="1A0F3BAF"/>
    <w:rsid w:val="1A140049"/>
    <w:rsid w:val="1A144763"/>
    <w:rsid w:val="1A1447AA"/>
    <w:rsid w:val="1A1C66C0"/>
    <w:rsid w:val="1A1E488E"/>
    <w:rsid w:val="1A1E7756"/>
    <w:rsid w:val="1A273773"/>
    <w:rsid w:val="1A365783"/>
    <w:rsid w:val="1A42393B"/>
    <w:rsid w:val="1A456C1E"/>
    <w:rsid w:val="1A472154"/>
    <w:rsid w:val="1A4E5290"/>
    <w:rsid w:val="1A755A79"/>
    <w:rsid w:val="1A9126A9"/>
    <w:rsid w:val="1AA2382E"/>
    <w:rsid w:val="1ABD41C4"/>
    <w:rsid w:val="1ABE6FF4"/>
    <w:rsid w:val="1AC45552"/>
    <w:rsid w:val="1AC763BB"/>
    <w:rsid w:val="1ACA2C33"/>
    <w:rsid w:val="1AD939FE"/>
    <w:rsid w:val="1AE0119B"/>
    <w:rsid w:val="1AEF4293"/>
    <w:rsid w:val="1AF31906"/>
    <w:rsid w:val="1B046F80"/>
    <w:rsid w:val="1B0671ED"/>
    <w:rsid w:val="1B185D57"/>
    <w:rsid w:val="1B1E5F5C"/>
    <w:rsid w:val="1B240483"/>
    <w:rsid w:val="1B2530AA"/>
    <w:rsid w:val="1B2B2F5B"/>
    <w:rsid w:val="1B2D3703"/>
    <w:rsid w:val="1B3267B5"/>
    <w:rsid w:val="1B363409"/>
    <w:rsid w:val="1B3D4C1A"/>
    <w:rsid w:val="1B8235BC"/>
    <w:rsid w:val="1B8372DC"/>
    <w:rsid w:val="1B871D7A"/>
    <w:rsid w:val="1B8E12BE"/>
    <w:rsid w:val="1B9E128C"/>
    <w:rsid w:val="1BB26C0B"/>
    <w:rsid w:val="1BB54761"/>
    <w:rsid w:val="1BBB4DC1"/>
    <w:rsid w:val="1BC25DC8"/>
    <w:rsid w:val="1BDC0DBE"/>
    <w:rsid w:val="1BE86120"/>
    <w:rsid w:val="1C2E5379"/>
    <w:rsid w:val="1C3F6CF1"/>
    <w:rsid w:val="1C491BE2"/>
    <w:rsid w:val="1C5E7925"/>
    <w:rsid w:val="1C725BEB"/>
    <w:rsid w:val="1C736CBB"/>
    <w:rsid w:val="1C8802B1"/>
    <w:rsid w:val="1C886E0C"/>
    <w:rsid w:val="1C887FC8"/>
    <w:rsid w:val="1CAF0F95"/>
    <w:rsid w:val="1CB31BC7"/>
    <w:rsid w:val="1CC6153B"/>
    <w:rsid w:val="1CC620C9"/>
    <w:rsid w:val="1CD563E1"/>
    <w:rsid w:val="1CF64F85"/>
    <w:rsid w:val="1D11016F"/>
    <w:rsid w:val="1D146CF0"/>
    <w:rsid w:val="1D155AC0"/>
    <w:rsid w:val="1D2576BB"/>
    <w:rsid w:val="1D281EAC"/>
    <w:rsid w:val="1D2D7103"/>
    <w:rsid w:val="1D34536A"/>
    <w:rsid w:val="1D350DD5"/>
    <w:rsid w:val="1D52370D"/>
    <w:rsid w:val="1D581B14"/>
    <w:rsid w:val="1D5F6196"/>
    <w:rsid w:val="1D5F77B4"/>
    <w:rsid w:val="1D6132A5"/>
    <w:rsid w:val="1D7057B2"/>
    <w:rsid w:val="1D8E56D5"/>
    <w:rsid w:val="1DA90C2D"/>
    <w:rsid w:val="1DAA4ED3"/>
    <w:rsid w:val="1DE3423B"/>
    <w:rsid w:val="1E05554B"/>
    <w:rsid w:val="1E0839A8"/>
    <w:rsid w:val="1E092804"/>
    <w:rsid w:val="1E1A37D9"/>
    <w:rsid w:val="1E2B0A6A"/>
    <w:rsid w:val="1E2F52AD"/>
    <w:rsid w:val="1E314A92"/>
    <w:rsid w:val="1E3168CB"/>
    <w:rsid w:val="1E44327C"/>
    <w:rsid w:val="1E5872AA"/>
    <w:rsid w:val="1E6364E3"/>
    <w:rsid w:val="1E644550"/>
    <w:rsid w:val="1E667E9C"/>
    <w:rsid w:val="1E756287"/>
    <w:rsid w:val="1E7A43DA"/>
    <w:rsid w:val="1E7B061E"/>
    <w:rsid w:val="1E7F1517"/>
    <w:rsid w:val="1E805152"/>
    <w:rsid w:val="1E8D6CF8"/>
    <w:rsid w:val="1E935967"/>
    <w:rsid w:val="1E9D7B58"/>
    <w:rsid w:val="1EAB1D76"/>
    <w:rsid w:val="1EB2065F"/>
    <w:rsid w:val="1EB277FE"/>
    <w:rsid w:val="1EC60D44"/>
    <w:rsid w:val="1ECF3ADC"/>
    <w:rsid w:val="1ED03EF6"/>
    <w:rsid w:val="1ED90204"/>
    <w:rsid w:val="1EDC25A0"/>
    <w:rsid w:val="1EE13F85"/>
    <w:rsid w:val="1EE94DB1"/>
    <w:rsid w:val="1EFD1865"/>
    <w:rsid w:val="1F070103"/>
    <w:rsid w:val="1F0A2365"/>
    <w:rsid w:val="1F12256F"/>
    <w:rsid w:val="1F162FB8"/>
    <w:rsid w:val="1F396E36"/>
    <w:rsid w:val="1F3B03BE"/>
    <w:rsid w:val="1F3D519B"/>
    <w:rsid w:val="1F4160E3"/>
    <w:rsid w:val="1F617814"/>
    <w:rsid w:val="1F6F6A79"/>
    <w:rsid w:val="1F793717"/>
    <w:rsid w:val="1F8162BD"/>
    <w:rsid w:val="1F853902"/>
    <w:rsid w:val="1F8E612F"/>
    <w:rsid w:val="1FAA078A"/>
    <w:rsid w:val="1FAC1094"/>
    <w:rsid w:val="1FAC1BD6"/>
    <w:rsid w:val="1FD71884"/>
    <w:rsid w:val="1FD94C20"/>
    <w:rsid w:val="1FE7539E"/>
    <w:rsid w:val="1FF072B5"/>
    <w:rsid w:val="200831DC"/>
    <w:rsid w:val="201721F5"/>
    <w:rsid w:val="20174893"/>
    <w:rsid w:val="20254CE5"/>
    <w:rsid w:val="202F5892"/>
    <w:rsid w:val="20347E5B"/>
    <w:rsid w:val="20452AD2"/>
    <w:rsid w:val="20463296"/>
    <w:rsid w:val="20464B4D"/>
    <w:rsid w:val="204E3FFD"/>
    <w:rsid w:val="20624974"/>
    <w:rsid w:val="2079293B"/>
    <w:rsid w:val="207A4111"/>
    <w:rsid w:val="20963CB8"/>
    <w:rsid w:val="20992AC7"/>
    <w:rsid w:val="209A7FCC"/>
    <w:rsid w:val="20A20476"/>
    <w:rsid w:val="20A57BD4"/>
    <w:rsid w:val="20A621C7"/>
    <w:rsid w:val="20B07FB6"/>
    <w:rsid w:val="20B75395"/>
    <w:rsid w:val="20D97AE8"/>
    <w:rsid w:val="20EC135F"/>
    <w:rsid w:val="213B63A8"/>
    <w:rsid w:val="213B74B1"/>
    <w:rsid w:val="213E6B47"/>
    <w:rsid w:val="21401A72"/>
    <w:rsid w:val="214B580A"/>
    <w:rsid w:val="2154271C"/>
    <w:rsid w:val="21581E7D"/>
    <w:rsid w:val="215A2310"/>
    <w:rsid w:val="21703444"/>
    <w:rsid w:val="21713F5A"/>
    <w:rsid w:val="219A7739"/>
    <w:rsid w:val="219B0923"/>
    <w:rsid w:val="21C92F00"/>
    <w:rsid w:val="21DE318A"/>
    <w:rsid w:val="21E552DE"/>
    <w:rsid w:val="21ED0B30"/>
    <w:rsid w:val="21EF5B80"/>
    <w:rsid w:val="2203441A"/>
    <w:rsid w:val="220568B0"/>
    <w:rsid w:val="221E4287"/>
    <w:rsid w:val="22260C2F"/>
    <w:rsid w:val="22327245"/>
    <w:rsid w:val="22364A15"/>
    <w:rsid w:val="223964A8"/>
    <w:rsid w:val="223C39BA"/>
    <w:rsid w:val="22431EA7"/>
    <w:rsid w:val="224A21A0"/>
    <w:rsid w:val="22505D53"/>
    <w:rsid w:val="22576990"/>
    <w:rsid w:val="22604528"/>
    <w:rsid w:val="226B3EB3"/>
    <w:rsid w:val="226D283E"/>
    <w:rsid w:val="227A33FE"/>
    <w:rsid w:val="229C4EAB"/>
    <w:rsid w:val="22AE59A2"/>
    <w:rsid w:val="22B04133"/>
    <w:rsid w:val="22C8693B"/>
    <w:rsid w:val="22CF718A"/>
    <w:rsid w:val="22E22A19"/>
    <w:rsid w:val="22EC5646"/>
    <w:rsid w:val="22FC534B"/>
    <w:rsid w:val="2301092A"/>
    <w:rsid w:val="23194809"/>
    <w:rsid w:val="233F75CF"/>
    <w:rsid w:val="234411DC"/>
    <w:rsid w:val="234C7981"/>
    <w:rsid w:val="235E319B"/>
    <w:rsid w:val="23663058"/>
    <w:rsid w:val="23733FB9"/>
    <w:rsid w:val="23957B07"/>
    <w:rsid w:val="23A36B7B"/>
    <w:rsid w:val="23FC1CC2"/>
    <w:rsid w:val="23FC7B0B"/>
    <w:rsid w:val="23FF53CF"/>
    <w:rsid w:val="24002D34"/>
    <w:rsid w:val="24156E1F"/>
    <w:rsid w:val="24195D78"/>
    <w:rsid w:val="241B323A"/>
    <w:rsid w:val="243820D7"/>
    <w:rsid w:val="244D65B8"/>
    <w:rsid w:val="245D0CB0"/>
    <w:rsid w:val="24614DFB"/>
    <w:rsid w:val="247E4439"/>
    <w:rsid w:val="24867AE9"/>
    <w:rsid w:val="24B76F89"/>
    <w:rsid w:val="24C503E7"/>
    <w:rsid w:val="24F276CC"/>
    <w:rsid w:val="24F81F32"/>
    <w:rsid w:val="25070282"/>
    <w:rsid w:val="251856C6"/>
    <w:rsid w:val="252A0F53"/>
    <w:rsid w:val="252D53FE"/>
    <w:rsid w:val="25424BC5"/>
    <w:rsid w:val="2548425A"/>
    <w:rsid w:val="25495A04"/>
    <w:rsid w:val="256120DA"/>
    <w:rsid w:val="25620ADC"/>
    <w:rsid w:val="2564005E"/>
    <w:rsid w:val="256E7F3B"/>
    <w:rsid w:val="257D2ECD"/>
    <w:rsid w:val="258D5A40"/>
    <w:rsid w:val="25931205"/>
    <w:rsid w:val="25944FFB"/>
    <w:rsid w:val="259A582D"/>
    <w:rsid w:val="259B28FC"/>
    <w:rsid w:val="25A13012"/>
    <w:rsid w:val="25BE258E"/>
    <w:rsid w:val="25C94CD4"/>
    <w:rsid w:val="25CA0A38"/>
    <w:rsid w:val="25DA179A"/>
    <w:rsid w:val="25DA3E7C"/>
    <w:rsid w:val="25EC2D81"/>
    <w:rsid w:val="25F0546B"/>
    <w:rsid w:val="25F747AF"/>
    <w:rsid w:val="261E1BC5"/>
    <w:rsid w:val="26254E00"/>
    <w:rsid w:val="262E022D"/>
    <w:rsid w:val="264528BD"/>
    <w:rsid w:val="265C548E"/>
    <w:rsid w:val="2669218B"/>
    <w:rsid w:val="26717CE4"/>
    <w:rsid w:val="2678036C"/>
    <w:rsid w:val="26784B62"/>
    <w:rsid w:val="267A68B5"/>
    <w:rsid w:val="268C1E61"/>
    <w:rsid w:val="268E6747"/>
    <w:rsid w:val="269C5F46"/>
    <w:rsid w:val="269C712B"/>
    <w:rsid w:val="26B26BA7"/>
    <w:rsid w:val="26B70C83"/>
    <w:rsid w:val="26B81402"/>
    <w:rsid w:val="26D07ACD"/>
    <w:rsid w:val="26DA5AA2"/>
    <w:rsid w:val="26E56F7C"/>
    <w:rsid w:val="26F33861"/>
    <w:rsid w:val="26FC1355"/>
    <w:rsid w:val="27055C8B"/>
    <w:rsid w:val="270A6969"/>
    <w:rsid w:val="27181AFF"/>
    <w:rsid w:val="271D2A93"/>
    <w:rsid w:val="272B0DBB"/>
    <w:rsid w:val="273C7EC5"/>
    <w:rsid w:val="275D6BA3"/>
    <w:rsid w:val="276A4E6B"/>
    <w:rsid w:val="27870033"/>
    <w:rsid w:val="279F4C5D"/>
    <w:rsid w:val="27A7331C"/>
    <w:rsid w:val="27B63ADE"/>
    <w:rsid w:val="27C3125F"/>
    <w:rsid w:val="27D15DD1"/>
    <w:rsid w:val="27D74B17"/>
    <w:rsid w:val="27F3788C"/>
    <w:rsid w:val="280132AC"/>
    <w:rsid w:val="280478A4"/>
    <w:rsid w:val="280D12CD"/>
    <w:rsid w:val="283B67BA"/>
    <w:rsid w:val="28503B52"/>
    <w:rsid w:val="28556108"/>
    <w:rsid w:val="285B10EB"/>
    <w:rsid w:val="285F4291"/>
    <w:rsid w:val="2867108D"/>
    <w:rsid w:val="287873BD"/>
    <w:rsid w:val="287A0688"/>
    <w:rsid w:val="287C549F"/>
    <w:rsid w:val="288520B2"/>
    <w:rsid w:val="28887534"/>
    <w:rsid w:val="28902E3D"/>
    <w:rsid w:val="28A76295"/>
    <w:rsid w:val="28D91E15"/>
    <w:rsid w:val="28DC3784"/>
    <w:rsid w:val="28DD344B"/>
    <w:rsid w:val="291E45A8"/>
    <w:rsid w:val="29206EB8"/>
    <w:rsid w:val="292B18B5"/>
    <w:rsid w:val="292E277E"/>
    <w:rsid w:val="292F2C92"/>
    <w:rsid w:val="293321CD"/>
    <w:rsid w:val="294750DB"/>
    <w:rsid w:val="294C19FD"/>
    <w:rsid w:val="295232AF"/>
    <w:rsid w:val="2959266F"/>
    <w:rsid w:val="296F6FD1"/>
    <w:rsid w:val="29721334"/>
    <w:rsid w:val="297A18A6"/>
    <w:rsid w:val="29820806"/>
    <w:rsid w:val="299A3DFE"/>
    <w:rsid w:val="29A033F0"/>
    <w:rsid w:val="29A27D6F"/>
    <w:rsid w:val="29A70C4E"/>
    <w:rsid w:val="29A75A2E"/>
    <w:rsid w:val="29B8189D"/>
    <w:rsid w:val="29BC5663"/>
    <w:rsid w:val="29C96F99"/>
    <w:rsid w:val="29CE4FE3"/>
    <w:rsid w:val="29E325E0"/>
    <w:rsid w:val="29FB1288"/>
    <w:rsid w:val="2A017C02"/>
    <w:rsid w:val="2A0853AD"/>
    <w:rsid w:val="2A1831C5"/>
    <w:rsid w:val="2A2D7318"/>
    <w:rsid w:val="2A312E6E"/>
    <w:rsid w:val="2A321881"/>
    <w:rsid w:val="2A452503"/>
    <w:rsid w:val="2A5B6E74"/>
    <w:rsid w:val="2A6840DE"/>
    <w:rsid w:val="2A6A04D3"/>
    <w:rsid w:val="2A752452"/>
    <w:rsid w:val="2A862824"/>
    <w:rsid w:val="2A8C5B46"/>
    <w:rsid w:val="2A962D4A"/>
    <w:rsid w:val="2A9F38E6"/>
    <w:rsid w:val="2AD06EC1"/>
    <w:rsid w:val="2AEB27B1"/>
    <w:rsid w:val="2AED4651"/>
    <w:rsid w:val="2AF57DA0"/>
    <w:rsid w:val="2AFA0B1C"/>
    <w:rsid w:val="2B046C3D"/>
    <w:rsid w:val="2B345DDC"/>
    <w:rsid w:val="2B5916E9"/>
    <w:rsid w:val="2B6A165E"/>
    <w:rsid w:val="2B8A2A44"/>
    <w:rsid w:val="2B8B597A"/>
    <w:rsid w:val="2B8D353B"/>
    <w:rsid w:val="2BA34EA7"/>
    <w:rsid w:val="2BA936A8"/>
    <w:rsid w:val="2BB868B0"/>
    <w:rsid w:val="2BCC2669"/>
    <w:rsid w:val="2BD33F54"/>
    <w:rsid w:val="2BD34066"/>
    <w:rsid w:val="2BDB33D0"/>
    <w:rsid w:val="2BF00E42"/>
    <w:rsid w:val="2BF33EE9"/>
    <w:rsid w:val="2C057A65"/>
    <w:rsid w:val="2C175693"/>
    <w:rsid w:val="2C1C113C"/>
    <w:rsid w:val="2C1E0A0A"/>
    <w:rsid w:val="2C2F7B89"/>
    <w:rsid w:val="2C315A5A"/>
    <w:rsid w:val="2C4315E1"/>
    <w:rsid w:val="2C6426F1"/>
    <w:rsid w:val="2C740836"/>
    <w:rsid w:val="2C7F0FF2"/>
    <w:rsid w:val="2C8E776E"/>
    <w:rsid w:val="2C9D74CB"/>
    <w:rsid w:val="2CBB2380"/>
    <w:rsid w:val="2CC05FB5"/>
    <w:rsid w:val="2CD42A70"/>
    <w:rsid w:val="2CE20AF8"/>
    <w:rsid w:val="2CEE0760"/>
    <w:rsid w:val="2CF25F4F"/>
    <w:rsid w:val="2CFD3C51"/>
    <w:rsid w:val="2D0005B5"/>
    <w:rsid w:val="2D0C39C5"/>
    <w:rsid w:val="2D1442BC"/>
    <w:rsid w:val="2D3E0469"/>
    <w:rsid w:val="2D4B53C1"/>
    <w:rsid w:val="2D5C6A8E"/>
    <w:rsid w:val="2D720E3E"/>
    <w:rsid w:val="2D773D38"/>
    <w:rsid w:val="2D892234"/>
    <w:rsid w:val="2D9E56F5"/>
    <w:rsid w:val="2DBF315D"/>
    <w:rsid w:val="2DC54C4B"/>
    <w:rsid w:val="2DC90F32"/>
    <w:rsid w:val="2DCA6125"/>
    <w:rsid w:val="2DD54E04"/>
    <w:rsid w:val="2E310CF9"/>
    <w:rsid w:val="2E360D56"/>
    <w:rsid w:val="2E4D4015"/>
    <w:rsid w:val="2E667F96"/>
    <w:rsid w:val="2E70323A"/>
    <w:rsid w:val="2E7844CA"/>
    <w:rsid w:val="2E8226AB"/>
    <w:rsid w:val="2E951288"/>
    <w:rsid w:val="2EAE2349"/>
    <w:rsid w:val="2EB66368"/>
    <w:rsid w:val="2ECE5E9F"/>
    <w:rsid w:val="2ED42292"/>
    <w:rsid w:val="2EDF7FDA"/>
    <w:rsid w:val="2EE67D35"/>
    <w:rsid w:val="2EEF6BEA"/>
    <w:rsid w:val="2EFE1169"/>
    <w:rsid w:val="2F0554ED"/>
    <w:rsid w:val="2F0D5D63"/>
    <w:rsid w:val="2F104C74"/>
    <w:rsid w:val="2F1217B0"/>
    <w:rsid w:val="2F16092A"/>
    <w:rsid w:val="2F345781"/>
    <w:rsid w:val="2F3A598B"/>
    <w:rsid w:val="2F425878"/>
    <w:rsid w:val="2F4F2BF6"/>
    <w:rsid w:val="2F596C2A"/>
    <w:rsid w:val="2F6C4B19"/>
    <w:rsid w:val="2F78791A"/>
    <w:rsid w:val="2F832C79"/>
    <w:rsid w:val="2F8E000F"/>
    <w:rsid w:val="2F8E60B1"/>
    <w:rsid w:val="2F915DEF"/>
    <w:rsid w:val="2FC4183C"/>
    <w:rsid w:val="2FEF2D58"/>
    <w:rsid w:val="2FF40230"/>
    <w:rsid w:val="30206DC2"/>
    <w:rsid w:val="30213A01"/>
    <w:rsid w:val="302362E1"/>
    <w:rsid w:val="30297150"/>
    <w:rsid w:val="302A45E0"/>
    <w:rsid w:val="304243A9"/>
    <w:rsid w:val="30580BC9"/>
    <w:rsid w:val="305D5210"/>
    <w:rsid w:val="305E391E"/>
    <w:rsid w:val="309733E0"/>
    <w:rsid w:val="3099134B"/>
    <w:rsid w:val="309C7114"/>
    <w:rsid w:val="30A30058"/>
    <w:rsid w:val="30AD16CF"/>
    <w:rsid w:val="30BC0D4E"/>
    <w:rsid w:val="30C66D61"/>
    <w:rsid w:val="30C678A0"/>
    <w:rsid w:val="30C860C4"/>
    <w:rsid w:val="30EB1BE9"/>
    <w:rsid w:val="30F81BA4"/>
    <w:rsid w:val="30FF6E8C"/>
    <w:rsid w:val="310D0412"/>
    <w:rsid w:val="31132938"/>
    <w:rsid w:val="311E2ED7"/>
    <w:rsid w:val="31252CC3"/>
    <w:rsid w:val="313E3BA2"/>
    <w:rsid w:val="3145227A"/>
    <w:rsid w:val="315C449C"/>
    <w:rsid w:val="315E5F73"/>
    <w:rsid w:val="3174431A"/>
    <w:rsid w:val="31754421"/>
    <w:rsid w:val="317D686B"/>
    <w:rsid w:val="318C28F6"/>
    <w:rsid w:val="3192401B"/>
    <w:rsid w:val="31983AED"/>
    <w:rsid w:val="31B82709"/>
    <w:rsid w:val="31B9528D"/>
    <w:rsid w:val="31D32527"/>
    <w:rsid w:val="31DA32EE"/>
    <w:rsid w:val="31DE6AA2"/>
    <w:rsid w:val="31F6203D"/>
    <w:rsid w:val="32121CCE"/>
    <w:rsid w:val="321677F3"/>
    <w:rsid w:val="32400B34"/>
    <w:rsid w:val="3243315B"/>
    <w:rsid w:val="3251196A"/>
    <w:rsid w:val="3257721F"/>
    <w:rsid w:val="326B2F0A"/>
    <w:rsid w:val="326E33E4"/>
    <w:rsid w:val="32732F9D"/>
    <w:rsid w:val="32812F75"/>
    <w:rsid w:val="3291703F"/>
    <w:rsid w:val="32991F4A"/>
    <w:rsid w:val="329B1FFC"/>
    <w:rsid w:val="329B6BDC"/>
    <w:rsid w:val="329E6876"/>
    <w:rsid w:val="32AD727A"/>
    <w:rsid w:val="32BA750F"/>
    <w:rsid w:val="32F877C1"/>
    <w:rsid w:val="3311227C"/>
    <w:rsid w:val="33182C34"/>
    <w:rsid w:val="33252886"/>
    <w:rsid w:val="33283674"/>
    <w:rsid w:val="332A371E"/>
    <w:rsid w:val="333252F7"/>
    <w:rsid w:val="3343700D"/>
    <w:rsid w:val="33450900"/>
    <w:rsid w:val="33453C92"/>
    <w:rsid w:val="33481AEA"/>
    <w:rsid w:val="334C3FB1"/>
    <w:rsid w:val="335E6316"/>
    <w:rsid w:val="336C1328"/>
    <w:rsid w:val="337516DC"/>
    <w:rsid w:val="337551E4"/>
    <w:rsid w:val="337771AE"/>
    <w:rsid w:val="337E0E26"/>
    <w:rsid w:val="338463F1"/>
    <w:rsid w:val="33854035"/>
    <w:rsid w:val="33A108F5"/>
    <w:rsid w:val="33A61787"/>
    <w:rsid w:val="33C45845"/>
    <w:rsid w:val="33D61BA3"/>
    <w:rsid w:val="33D934D4"/>
    <w:rsid w:val="33EC7B9C"/>
    <w:rsid w:val="33EF3C9C"/>
    <w:rsid w:val="33F96A86"/>
    <w:rsid w:val="33FE2F6A"/>
    <w:rsid w:val="341E587B"/>
    <w:rsid w:val="34205B52"/>
    <w:rsid w:val="34226368"/>
    <w:rsid w:val="34372A5A"/>
    <w:rsid w:val="343806B6"/>
    <w:rsid w:val="34380D04"/>
    <w:rsid w:val="343A31C9"/>
    <w:rsid w:val="346148E3"/>
    <w:rsid w:val="346C4597"/>
    <w:rsid w:val="347E0774"/>
    <w:rsid w:val="3485572B"/>
    <w:rsid w:val="34896187"/>
    <w:rsid w:val="349D49F2"/>
    <w:rsid w:val="34A43FD3"/>
    <w:rsid w:val="34A63356"/>
    <w:rsid w:val="34BA161A"/>
    <w:rsid w:val="34DA3E98"/>
    <w:rsid w:val="34E4034B"/>
    <w:rsid w:val="34F616C2"/>
    <w:rsid w:val="35260E8C"/>
    <w:rsid w:val="35482D3F"/>
    <w:rsid w:val="3558300F"/>
    <w:rsid w:val="356A670F"/>
    <w:rsid w:val="35875408"/>
    <w:rsid w:val="35912DA9"/>
    <w:rsid w:val="35927E29"/>
    <w:rsid w:val="35951B6D"/>
    <w:rsid w:val="35993825"/>
    <w:rsid w:val="35A104D1"/>
    <w:rsid w:val="35A35AF4"/>
    <w:rsid w:val="35A9270C"/>
    <w:rsid w:val="35AF1215"/>
    <w:rsid w:val="35C20EA5"/>
    <w:rsid w:val="36074A7F"/>
    <w:rsid w:val="360C22F6"/>
    <w:rsid w:val="360D33BD"/>
    <w:rsid w:val="3624698D"/>
    <w:rsid w:val="36440F1A"/>
    <w:rsid w:val="36470914"/>
    <w:rsid w:val="364B4FEE"/>
    <w:rsid w:val="3653654C"/>
    <w:rsid w:val="365D7CED"/>
    <w:rsid w:val="36611C8B"/>
    <w:rsid w:val="36626903"/>
    <w:rsid w:val="36897924"/>
    <w:rsid w:val="36923549"/>
    <w:rsid w:val="36966D52"/>
    <w:rsid w:val="36AA2D01"/>
    <w:rsid w:val="36AA7E57"/>
    <w:rsid w:val="36B75FBF"/>
    <w:rsid w:val="36BE1DDA"/>
    <w:rsid w:val="36BE7FC0"/>
    <w:rsid w:val="36DF16E7"/>
    <w:rsid w:val="36FB4891"/>
    <w:rsid w:val="370435BB"/>
    <w:rsid w:val="370E6D68"/>
    <w:rsid w:val="37194C91"/>
    <w:rsid w:val="37215366"/>
    <w:rsid w:val="372E794B"/>
    <w:rsid w:val="37343340"/>
    <w:rsid w:val="373B3341"/>
    <w:rsid w:val="374E10F4"/>
    <w:rsid w:val="374E2B08"/>
    <w:rsid w:val="37636D89"/>
    <w:rsid w:val="376D5966"/>
    <w:rsid w:val="3772660A"/>
    <w:rsid w:val="377860EA"/>
    <w:rsid w:val="37867757"/>
    <w:rsid w:val="378C33AD"/>
    <w:rsid w:val="37A018E6"/>
    <w:rsid w:val="37AC539A"/>
    <w:rsid w:val="37B9589C"/>
    <w:rsid w:val="37CC3488"/>
    <w:rsid w:val="37D2180A"/>
    <w:rsid w:val="37F05FCE"/>
    <w:rsid w:val="37F931C6"/>
    <w:rsid w:val="38045DD2"/>
    <w:rsid w:val="3806772A"/>
    <w:rsid w:val="38085BF8"/>
    <w:rsid w:val="38293486"/>
    <w:rsid w:val="383C2774"/>
    <w:rsid w:val="38433742"/>
    <w:rsid w:val="38653A79"/>
    <w:rsid w:val="38683E0C"/>
    <w:rsid w:val="387B3241"/>
    <w:rsid w:val="38847B28"/>
    <w:rsid w:val="388A4A7A"/>
    <w:rsid w:val="388F7447"/>
    <w:rsid w:val="38A51B46"/>
    <w:rsid w:val="38B87535"/>
    <w:rsid w:val="38BB5F4C"/>
    <w:rsid w:val="38BD07E7"/>
    <w:rsid w:val="38BE4051"/>
    <w:rsid w:val="38CF5396"/>
    <w:rsid w:val="38F12CD3"/>
    <w:rsid w:val="38F35173"/>
    <w:rsid w:val="38F94775"/>
    <w:rsid w:val="38FA2FA5"/>
    <w:rsid w:val="38FA7B2A"/>
    <w:rsid w:val="39111020"/>
    <w:rsid w:val="39114310"/>
    <w:rsid w:val="39134542"/>
    <w:rsid w:val="3929719C"/>
    <w:rsid w:val="392971ED"/>
    <w:rsid w:val="39487E02"/>
    <w:rsid w:val="395023B0"/>
    <w:rsid w:val="395D5AE3"/>
    <w:rsid w:val="397573F2"/>
    <w:rsid w:val="397B1645"/>
    <w:rsid w:val="39847513"/>
    <w:rsid w:val="398D3958"/>
    <w:rsid w:val="39923C0B"/>
    <w:rsid w:val="39B361E5"/>
    <w:rsid w:val="39CB30BC"/>
    <w:rsid w:val="39E35098"/>
    <w:rsid w:val="39E958BC"/>
    <w:rsid w:val="3A361617"/>
    <w:rsid w:val="3A3B697D"/>
    <w:rsid w:val="3A4360B2"/>
    <w:rsid w:val="3A4D0FEC"/>
    <w:rsid w:val="3A6A181A"/>
    <w:rsid w:val="3A6C4FEA"/>
    <w:rsid w:val="3A6D1460"/>
    <w:rsid w:val="3A965E4E"/>
    <w:rsid w:val="3A9C5C09"/>
    <w:rsid w:val="3AA93568"/>
    <w:rsid w:val="3AAB3C59"/>
    <w:rsid w:val="3AB30D04"/>
    <w:rsid w:val="3AC67C24"/>
    <w:rsid w:val="3AE21AFA"/>
    <w:rsid w:val="3AFF7A2B"/>
    <w:rsid w:val="3B045001"/>
    <w:rsid w:val="3B1B48C3"/>
    <w:rsid w:val="3B2025DB"/>
    <w:rsid w:val="3B296D1F"/>
    <w:rsid w:val="3B2F5339"/>
    <w:rsid w:val="3B3763D1"/>
    <w:rsid w:val="3B3F07E9"/>
    <w:rsid w:val="3B553ECB"/>
    <w:rsid w:val="3B563581"/>
    <w:rsid w:val="3B5C045F"/>
    <w:rsid w:val="3B686BD0"/>
    <w:rsid w:val="3B690868"/>
    <w:rsid w:val="3B876270"/>
    <w:rsid w:val="3B89701D"/>
    <w:rsid w:val="3B9641C5"/>
    <w:rsid w:val="3BA82817"/>
    <w:rsid w:val="3BA85A7D"/>
    <w:rsid w:val="3BBB65E1"/>
    <w:rsid w:val="3BC42DA2"/>
    <w:rsid w:val="3BCE05C2"/>
    <w:rsid w:val="3BEB24E7"/>
    <w:rsid w:val="3BFB4E07"/>
    <w:rsid w:val="3C085BD9"/>
    <w:rsid w:val="3C127C57"/>
    <w:rsid w:val="3C165AD6"/>
    <w:rsid w:val="3C1C3D9E"/>
    <w:rsid w:val="3C37572C"/>
    <w:rsid w:val="3C382655"/>
    <w:rsid w:val="3C3B3F2B"/>
    <w:rsid w:val="3C4B1FA8"/>
    <w:rsid w:val="3C4C61A9"/>
    <w:rsid w:val="3C524475"/>
    <w:rsid w:val="3C757602"/>
    <w:rsid w:val="3C827CF5"/>
    <w:rsid w:val="3C881051"/>
    <w:rsid w:val="3C8F027B"/>
    <w:rsid w:val="3C953442"/>
    <w:rsid w:val="3CA00051"/>
    <w:rsid w:val="3CB30D14"/>
    <w:rsid w:val="3CDA245A"/>
    <w:rsid w:val="3CEE0A37"/>
    <w:rsid w:val="3CF0459A"/>
    <w:rsid w:val="3CF25C83"/>
    <w:rsid w:val="3D094D14"/>
    <w:rsid w:val="3D135143"/>
    <w:rsid w:val="3D174ED0"/>
    <w:rsid w:val="3D214440"/>
    <w:rsid w:val="3D321042"/>
    <w:rsid w:val="3D3A4C18"/>
    <w:rsid w:val="3D523B76"/>
    <w:rsid w:val="3D6B643C"/>
    <w:rsid w:val="3D7E7F31"/>
    <w:rsid w:val="3D8A03CE"/>
    <w:rsid w:val="3DB6329F"/>
    <w:rsid w:val="3DBB238D"/>
    <w:rsid w:val="3DDF6129"/>
    <w:rsid w:val="3DF54D94"/>
    <w:rsid w:val="3DFA44D5"/>
    <w:rsid w:val="3DFF4094"/>
    <w:rsid w:val="3E165DA9"/>
    <w:rsid w:val="3E17227A"/>
    <w:rsid w:val="3E17715A"/>
    <w:rsid w:val="3E1F4AA1"/>
    <w:rsid w:val="3E2E0DB1"/>
    <w:rsid w:val="3E391C30"/>
    <w:rsid w:val="3E446845"/>
    <w:rsid w:val="3E6243BC"/>
    <w:rsid w:val="3E6E5482"/>
    <w:rsid w:val="3E8161E1"/>
    <w:rsid w:val="3E817133"/>
    <w:rsid w:val="3E842FD2"/>
    <w:rsid w:val="3E9641AF"/>
    <w:rsid w:val="3EB62267"/>
    <w:rsid w:val="3EB66A6B"/>
    <w:rsid w:val="3EBC3E32"/>
    <w:rsid w:val="3EC43B0F"/>
    <w:rsid w:val="3ECD2378"/>
    <w:rsid w:val="3ED6447D"/>
    <w:rsid w:val="3EE736EC"/>
    <w:rsid w:val="3EE9143E"/>
    <w:rsid w:val="3EF305A3"/>
    <w:rsid w:val="3F06588A"/>
    <w:rsid w:val="3F245433"/>
    <w:rsid w:val="3F392772"/>
    <w:rsid w:val="3F4F5FC5"/>
    <w:rsid w:val="3F591E5E"/>
    <w:rsid w:val="3F660E74"/>
    <w:rsid w:val="3F660F93"/>
    <w:rsid w:val="3F726944"/>
    <w:rsid w:val="3F747F88"/>
    <w:rsid w:val="3F980E7B"/>
    <w:rsid w:val="3F9F0AB6"/>
    <w:rsid w:val="3FAE74A1"/>
    <w:rsid w:val="3FDB2310"/>
    <w:rsid w:val="3FF47FA2"/>
    <w:rsid w:val="3FF56D80"/>
    <w:rsid w:val="400F08D6"/>
    <w:rsid w:val="40193C0A"/>
    <w:rsid w:val="40267F92"/>
    <w:rsid w:val="40503CAE"/>
    <w:rsid w:val="405671CB"/>
    <w:rsid w:val="405864C5"/>
    <w:rsid w:val="405D22BF"/>
    <w:rsid w:val="405E1062"/>
    <w:rsid w:val="405F37C5"/>
    <w:rsid w:val="407A6407"/>
    <w:rsid w:val="407D277B"/>
    <w:rsid w:val="4080134C"/>
    <w:rsid w:val="408037C7"/>
    <w:rsid w:val="408847A8"/>
    <w:rsid w:val="40897A8A"/>
    <w:rsid w:val="408F0128"/>
    <w:rsid w:val="409F26DC"/>
    <w:rsid w:val="40B80A56"/>
    <w:rsid w:val="40B97058"/>
    <w:rsid w:val="40D519B8"/>
    <w:rsid w:val="40F7192E"/>
    <w:rsid w:val="40FD087F"/>
    <w:rsid w:val="410537E3"/>
    <w:rsid w:val="4123125C"/>
    <w:rsid w:val="41270BD1"/>
    <w:rsid w:val="41287D66"/>
    <w:rsid w:val="41313AD7"/>
    <w:rsid w:val="413B57D4"/>
    <w:rsid w:val="413D35A4"/>
    <w:rsid w:val="41412BA9"/>
    <w:rsid w:val="41560B72"/>
    <w:rsid w:val="415E19AD"/>
    <w:rsid w:val="41742AF2"/>
    <w:rsid w:val="417957B5"/>
    <w:rsid w:val="417E4F4B"/>
    <w:rsid w:val="41A27AEC"/>
    <w:rsid w:val="41C95F78"/>
    <w:rsid w:val="41D70383"/>
    <w:rsid w:val="41DD077C"/>
    <w:rsid w:val="41E71B89"/>
    <w:rsid w:val="41F52B9E"/>
    <w:rsid w:val="421A7793"/>
    <w:rsid w:val="42344C92"/>
    <w:rsid w:val="423A3BCC"/>
    <w:rsid w:val="423E6A3E"/>
    <w:rsid w:val="42462B6D"/>
    <w:rsid w:val="42530E95"/>
    <w:rsid w:val="42586CA9"/>
    <w:rsid w:val="425D3A13"/>
    <w:rsid w:val="427C4CC0"/>
    <w:rsid w:val="42B52863"/>
    <w:rsid w:val="42B56287"/>
    <w:rsid w:val="42D53D36"/>
    <w:rsid w:val="42D9753D"/>
    <w:rsid w:val="42DE356B"/>
    <w:rsid w:val="42E91FDB"/>
    <w:rsid w:val="42F3082F"/>
    <w:rsid w:val="430517CC"/>
    <w:rsid w:val="43377E6E"/>
    <w:rsid w:val="433A6E2C"/>
    <w:rsid w:val="433A6FE6"/>
    <w:rsid w:val="43430E5B"/>
    <w:rsid w:val="434B40B3"/>
    <w:rsid w:val="4350713C"/>
    <w:rsid w:val="436653E0"/>
    <w:rsid w:val="4374738E"/>
    <w:rsid w:val="437E00E5"/>
    <w:rsid w:val="438069FC"/>
    <w:rsid w:val="43850656"/>
    <w:rsid w:val="438A31EA"/>
    <w:rsid w:val="438C0A54"/>
    <w:rsid w:val="438F3163"/>
    <w:rsid w:val="43B104BA"/>
    <w:rsid w:val="43B958AD"/>
    <w:rsid w:val="43BB05C6"/>
    <w:rsid w:val="43D54509"/>
    <w:rsid w:val="43D628D1"/>
    <w:rsid w:val="43DB5D75"/>
    <w:rsid w:val="43E22422"/>
    <w:rsid w:val="43FC55A0"/>
    <w:rsid w:val="44093E52"/>
    <w:rsid w:val="441C147E"/>
    <w:rsid w:val="442223E8"/>
    <w:rsid w:val="442C2302"/>
    <w:rsid w:val="442D1F39"/>
    <w:rsid w:val="44305883"/>
    <w:rsid w:val="443E429B"/>
    <w:rsid w:val="4448261A"/>
    <w:rsid w:val="444A388B"/>
    <w:rsid w:val="44507CD3"/>
    <w:rsid w:val="4454279D"/>
    <w:rsid w:val="44822798"/>
    <w:rsid w:val="448C0A0C"/>
    <w:rsid w:val="44951F8B"/>
    <w:rsid w:val="44A7704D"/>
    <w:rsid w:val="44B4438A"/>
    <w:rsid w:val="44B55F85"/>
    <w:rsid w:val="44CD14E0"/>
    <w:rsid w:val="44D92B85"/>
    <w:rsid w:val="44DF1057"/>
    <w:rsid w:val="44FC6CA1"/>
    <w:rsid w:val="44FE14DD"/>
    <w:rsid w:val="450569A8"/>
    <w:rsid w:val="451E772C"/>
    <w:rsid w:val="4520514E"/>
    <w:rsid w:val="452260F5"/>
    <w:rsid w:val="45261842"/>
    <w:rsid w:val="452812F2"/>
    <w:rsid w:val="452C4131"/>
    <w:rsid w:val="452F1E33"/>
    <w:rsid w:val="4533183A"/>
    <w:rsid w:val="45442FFC"/>
    <w:rsid w:val="4550352D"/>
    <w:rsid w:val="4557299B"/>
    <w:rsid w:val="456926CF"/>
    <w:rsid w:val="458946E9"/>
    <w:rsid w:val="45B30D63"/>
    <w:rsid w:val="45BB33E7"/>
    <w:rsid w:val="45BE1D97"/>
    <w:rsid w:val="45D359E8"/>
    <w:rsid w:val="45EF644F"/>
    <w:rsid w:val="46162A2F"/>
    <w:rsid w:val="46195EA3"/>
    <w:rsid w:val="461F118C"/>
    <w:rsid w:val="46300D40"/>
    <w:rsid w:val="46394C5E"/>
    <w:rsid w:val="46444D72"/>
    <w:rsid w:val="46491BCC"/>
    <w:rsid w:val="465670F7"/>
    <w:rsid w:val="46624F63"/>
    <w:rsid w:val="466F30FE"/>
    <w:rsid w:val="466F387B"/>
    <w:rsid w:val="468A412A"/>
    <w:rsid w:val="468F4ED1"/>
    <w:rsid w:val="46AF2F56"/>
    <w:rsid w:val="46C6602A"/>
    <w:rsid w:val="46D955A7"/>
    <w:rsid w:val="46E20E40"/>
    <w:rsid w:val="47030A5E"/>
    <w:rsid w:val="470615AC"/>
    <w:rsid w:val="47133957"/>
    <w:rsid w:val="472C6168"/>
    <w:rsid w:val="474913B0"/>
    <w:rsid w:val="47543636"/>
    <w:rsid w:val="47552708"/>
    <w:rsid w:val="475D6979"/>
    <w:rsid w:val="475F7871"/>
    <w:rsid w:val="47601F1C"/>
    <w:rsid w:val="47752DAF"/>
    <w:rsid w:val="4779329E"/>
    <w:rsid w:val="47841B24"/>
    <w:rsid w:val="4785097D"/>
    <w:rsid w:val="479012DA"/>
    <w:rsid w:val="47951367"/>
    <w:rsid w:val="47A07E0C"/>
    <w:rsid w:val="47AB356D"/>
    <w:rsid w:val="47BD2BE1"/>
    <w:rsid w:val="47C05A64"/>
    <w:rsid w:val="47C6365D"/>
    <w:rsid w:val="47CA56A6"/>
    <w:rsid w:val="47CB5735"/>
    <w:rsid w:val="47CD17A9"/>
    <w:rsid w:val="47D537A4"/>
    <w:rsid w:val="47DD7FA5"/>
    <w:rsid w:val="47E40C1D"/>
    <w:rsid w:val="47E62A24"/>
    <w:rsid w:val="47F54FAF"/>
    <w:rsid w:val="47FA6E50"/>
    <w:rsid w:val="48000BB8"/>
    <w:rsid w:val="48063EBB"/>
    <w:rsid w:val="481D611E"/>
    <w:rsid w:val="4830754F"/>
    <w:rsid w:val="484123A2"/>
    <w:rsid w:val="484237C1"/>
    <w:rsid w:val="486F5AC9"/>
    <w:rsid w:val="4870272E"/>
    <w:rsid w:val="487B249C"/>
    <w:rsid w:val="487D6C4D"/>
    <w:rsid w:val="487F39D8"/>
    <w:rsid w:val="488B752C"/>
    <w:rsid w:val="489568EF"/>
    <w:rsid w:val="489E770A"/>
    <w:rsid w:val="48A5423E"/>
    <w:rsid w:val="48AC2D2F"/>
    <w:rsid w:val="48B2136F"/>
    <w:rsid w:val="48EA1107"/>
    <w:rsid w:val="48F56C02"/>
    <w:rsid w:val="48F813AF"/>
    <w:rsid w:val="48FB1588"/>
    <w:rsid w:val="48FE437A"/>
    <w:rsid w:val="490563BE"/>
    <w:rsid w:val="493D129C"/>
    <w:rsid w:val="493D691A"/>
    <w:rsid w:val="49464FEC"/>
    <w:rsid w:val="494D2A33"/>
    <w:rsid w:val="494D58B5"/>
    <w:rsid w:val="49584524"/>
    <w:rsid w:val="496D09DF"/>
    <w:rsid w:val="49734839"/>
    <w:rsid w:val="49736639"/>
    <w:rsid w:val="499D7DFC"/>
    <w:rsid w:val="49CF4995"/>
    <w:rsid w:val="49DC7715"/>
    <w:rsid w:val="49E3344B"/>
    <w:rsid w:val="49E70E46"/>
    <w:rsid w:val="49EB5053"/>
    <w:rsid w:val="49F20BCD"/>
    <w:rsid w:val="49F95658"/>
    <w:rsid w:val="49FC7FB5"/>
    <w:rsid w:val="4A023139"/>
    <w:rsid w:val="4A126B42"/>
    <w:rsid w:val="4A162E25"/>
    <w:rsid w:val="4A1E0B83"/>
    <w:rsid w:val="4A2140AA"/>
    <w:rsid w:val="4A2717C4"/>
    <w:rsid w:val="4A292D1C"/>
    <w:rsid w:val="4A2D22B6"/>
    <w:rsid w:val="4A3B352E"/>
    <w:rsid w:val="4A3C5876"/>
    <w:rsid w:val="4A4832F0"/>
    <w:rsid w:val="4A4D3D1A"/>
    <w:rsid w:val="4A5679C1"/>
    <w:rsid w:val="4A590F64"/>
    <w:rsid w:val="4A5E65AF"/>
    <w:rsid w:val="4A7B576F"/>
    <w:rsid w:val="4A957030"/>
    <w:rsid w:val="4AC705C3"/>
    <w:rsid w:val="4ACC5BD9"/>
    <w:rsid w:val="4ADE66C8"/>
    <w:rsid w:val="4AE633AA"/>
    <w:rsid w:val="4AEB051F"/>
    <w:rsid w:val="4B1150F2"/>
    <w:rsid w:val="4B265D04"/>
    <w:rsid w:val="4B2B29C4"/>
    <w:rsid w:val="4B3043BA"/>
    <w:rsid w:val="4B422F77"/>
    <w:rsid w:val="4B537687"/>
    <w:rsid w:val="4B591FD6"/>
    <w:rsid w:val="4B7D3099"/>
    <w:rsid w:val="4B9C55AC"/>
    <w:rsid w:val="4BB16997"/>
    <w:rsid w:val="4BBC6FF8"/>
    <w:rsid w:val="4BC863A1"/>
    <w:rsid w:val="4BDA51A5"/>
    <w:rsid w:val="4BF66593"/>
    <w:rsid w:val="4BFF129C"/>
    <w:rsid w:val="4C0A24F3"/>
    <w:rsid w:val="4C0D3812"/>
    <w:rsid w:val="4C1415E6"/>
    <w:rsid w:val="4C357DEB"/>
    <w:rsid w:val="4C4A0649"/>
    <w:rsid w:val="4C4E7C55"/>
    <w:rsid w:val="4C6C7B59"/>
    <w:rsid w:val="4C7E7E5C"/>
    <w:rsid w:val="4C8B16D6"/>
    <w:rsid w:val="4C8E75EA"/>
    <w:rsid w:val="4C8F6EBF"/>
    <w:rsid w:val="4C953B71"/>
    <w:rsid w:val="4CA14A30"/>
    <w:rsid w:val="4CB116D1"/>
    <w:rsid w:val="4CB157AD"/>
    <w:rsid w:val="4CBF4276"/>
    <w:rsid w:val="4CCA5C65"/>
    <w:rsid w:val="4CD46907"/>
    <w:rsid w:val="4CE470D3"/>
    <w:rsid w:val="4CE931D5"/>
    <w:rsid w:val="4CEA0599"/>
    <w:rsid w:val="4CF84DD8"/>
    <w:rsid w:val="4D127FD0"/>
    <w:rsid w:val="4D2B212E"/>
    <w:rsid w:val="4D2D08E3"/>
    <w:rsid w:val="4D2E2B94"/>
    <w:rsid w:val="4D32779F"/>
    <w:rsid w:val="4D3320EA"/>
    <w:rsid w:val="4D5349B7"/>
    <w:rsid w:val="4D810EFD"/>
    <w:rsid w:val="4D9C6D2B"/>
    <w:rsid w:val="4DA31AB4"/>
    <w:rsid w:val="4DB07853"/>
    <w:rsid w:val="4DCE7B11"/>
    <w:rsid w:val="4DD31E51"/>
    <w:rsid w:val="4DD5540F"/>
    <w:rsid w:val="4DD57DB2"/>
    <w:rsid w:val="4DE00C31"/>
    <w:rsid w:val="4DEC4FB0"/>
    <w:rsid w:val="4DFF1C65"/>
    <w:rsid w:val="4E075D8A"/>
    <w:rsid w:val="4E1C1944"/>
    <w:rsid w:val="4E247C49"/>
    <w:rsid w:val="4E2C74B7"/>
    <w:rsid w:val="4E3177E5"/>
    <w:rsid w:val="4E4B2165"/>
    <w:rsid w:val="4E4B4B09"/>
    <w:rsid w:val="4E510E32"/>
    <w:rsid w:val="4E5B1529"/>
    <w:rsid w:val="4E613743"/>
    <w:rsid w:val="4E643DCE"/>
    <w:rsid w:val="4E7373B9"/>
    <w:rsid w:val="4E774307"/>
    <w:rsid w:val="4E80325F"/>
    <w:rsid w:val="4E8F10BB"/>
    <w:rsid w:val="4E965A41"/>
    <w:rsid w:val="4E9F7857"/>
    <w:rsid w:val="4EA03D3C"/>
    <w:rsid w:val="4EC03258"/>
    <w:rsid w:val="4ED30640"/>
    <w:rsid w:val="4EE14D9C"/>
    <w:rsid w:val="4EEE68BA"/>
    <w:rsid w:val="4EFB280B"/>
    <w:rsid w:val="4F005A93"/>
    <w:rsid w:val="4F075432"/>
    <w:rsid w:val="4F1640E0"/>
    <w:rsid w:val="4F1A3476"/>
    <w:rsid w:val="4F227018"/>
    <w:rsid w:val="4F260CE1"/>
    <w:rsid w:val="4F302F17"/>
    <w:rsid w:val="4F533228"/>
    <w:rsid w:val="4F7F6C87"/>
    <w:rsid w:val="4F987C70"/>
    <w:rsid w:val="4F9A2D65"/>
    <w:rsid w:val="4FC62A8C"/>
    <w:rsid w:val="4FCF5DF0"/>
    <w:rsid w:val="4FE20F0D"/>
    <w:rsid w:val="4FE614EB"/>
    <w:rsid w:val="4FF26C0A"/>
    <w:rsid w:val="500053B2"/>
    <w:rsid w:val="5014599E"/>
    <w:rsid w:val="5022676F"/>
    <w:rsid w:val="50442534"/>
    <w:rsid w:val="504E0A2E"/>
    <w:rsid w:val="50504C4B"/>
    <w:rsid w:val="50584A48"/>
    <w:rsid w:val="50654544"/>
    <w:rsid w:val="509C6E7C"/>
    <w:rsid w:val="50A07209"/>
    <w:rsid w:val="50A90160"/>
    <w:rsid w:val="50AD0C01"/>
    <w:rsid w:val="50AF75AD"/>
    <w:rsid w:val="50B35A27"/>
    <w:rsid w:val="50B42925"/>
    <w:rsid w:val="50C84B7E"/>
    <w:rsid w:val="50D61560"/>
    <w:rsid w:val="50DC2FF2"/>
    <w:rsid w:val="50DE6601"/>
    <w:rsid w:val="50EA3C4C"/>
    <w:rsid w:val="50EC0D83"/>
    <w:rsid w:val="50F80282"/>
    <w:rsid w:val="510124A7"/>
    <w:rsid w:val="51102E0A"/>
    <w:rsid w:val="51246450"/>
    <w:rsid w:val="514314C8"/>
    <w:rsid w:val="51441964"/>
    <w:rsid w:val="5162104E"/>
    <w:rsid w:val="516F4420"/>
    <w:rsid w:val="517E6240"/>
    <w:rsid w:val="51815DAB"/>
    <w:rsid w:val="51883523"/>
    <w:rsid w:val="5192544B"/>
    <w:rsid w:val="51B1721E"/>
    <w:rsid w:val="51B20FDF"/>
    <w:rsid w:val="51BE0C0E"/>
    <w:rsid w:val="51C15D6C"/>
    <w:rsid w:val="51C419F5"/>
    <w:rsid w:val="51DD6CCD"/>
    <w:rsid w:val="51F20C8F"/>
    <w:rsid w:val="51F43319"/>
    <w:rsid w:val="51F65206"/>
    <w:rsid w:val="51FE2A61"/>
    <w:rsid w:val="520127A4"/>
    <w:rsid w:val="520C2673"/>
    <w:rsid w:val="521042BA"/>
    <w:rsid w:val="5224454D"/>
    <w:rsid w:val="52346EF6"/>
    <w:rsid w:val="524149E7"/>
    <w:rsid w:val="524936DD"/>
    <w:rsid w:val="526F699D"/>
    <w:rsid w:val="52743E00"/>
    <w:rsid w:val="52870489"/>
    <w:rsid w:val="529E00A5"/>
    <w:rsid w:val="529E73CD"/>
    <w:rsid w:val="52A82A88"/>
    <w:rsid w:val="52A86362"/>
    <w:rsid w:val="52AB06B6"/>
    <w:rsid w:val="52BC0CD0"/>
    <w:rsid w:val="52BE1F9E"/>
    <w:rsid w:val="52CA0D0C"/>
    <w:rsid w:val="52D508A4"/>
    <w:rsid w:val="52DF7CB3"/>
    <w:rsid w:val="52EF2347"/>
    <w:rsid w:val="531427C1"/>
    <w:rsid w:val="53173917"/>
    <w:rsid w:val="53180F96"/>
    <w:rsid w:val="531A4DC4"/>
    <w:rsid w:val="53211154"/>
    <w:rsid w:val="53242390"/>
    <w:rsid w:val="532540D9"/>
    <w:rsid w:val="53460A90"/>
    <w:rsid w:val="53476745"/>
    <w:rsid w:val="539B71D8"/>
    <w:rsid w:val="53A039CC"/>
    <w:rsid w:val="53A1505A"/>
    <w:rsid w:val="53B866F7"/>
    <w:rsid w:val="53C95448"/>
    <w:rsid w:val="53CD4784"/>
    <w:rsid w:val="54063E08"/>
    <w:rsid w:val="542811E8"/>
    <w:rsid w:val="543213BA"/>
    <w:rsid w:val="543437E8"/>
    <w:rsid w:val="5437378E"/>
    <w:rsid w:val="54632A3E"/>
    <w:rsid w:val="54671548"/>
    <w:rsid w:val="54791792"/>
    <w:rsid w:val="547F7336"/>
    <w:rsid w:val="549261D9"/>
    <w:rsid w:val="54A35CBB"/>
    <w:rsid w:val="54C4308D"/>
    <w:rsid w:val="54C94083"/>
    <w:rsid w:val="54CA0898"/>
    <w:rsid w:val="54EB1AA2"/>
    <w:rsid w:val="54ED50CA"/>
    <w:rsid w:val="552B174F"/>
    <w:rsid w:val="553724BC"/>
    <w:rsid w:val="554374D1"/>
    <w:rsid w:val="554967A4"/>
    <w:rsid w:val="55496FD8"/>
    <w:rsid w:val="557439A5"/>
    <w:rsid w:val="557653B9"/>
    <w:rsid w:val="55894DF3"/>
    <w:rsid w:val="55940546"/>
    <w:rsid w:val="55995F78"/>
    <w:rsid w:val="559B174B"/>
    <w:rsid w:val="55A6138A"/>
    <w:rsid w:val="55CB47AB"/>
    <w:rsid w:val="55CE0CF4"/>
    <w:rsid w:val="55D63DB0"/>
    <w:rsid w:val="55E76AFF"/>
    <w:rsid w:val="55F54D13"/>
    <w:rsid w:val="561E6A81"/>
    <w:rsid w:val="565E012B"/>
    <w:rsid w:val="566118CC"/>
    <w:rsid w:val="56711FDA"/>
    <w:rsid w:val="5678193F"/>
    <w:rsid w:val="568510EE"/>
    <w:rsid w:val="568576F1"/>
    <w:rsid w:val="56900B83"/>
    <w:rsid w:val="56942611"/>
    <w:rsid w:val="5697353F"/>
    <w:rsid w:val="56A47A0A"/>
    <w:rsid w:val="56AD2D63"/>
    <w:rsid w:val="56B22A9C"/>
    <w:rsid w:val="56B60932"/>
    <w:rsid w:val="56C15B02"/>
    <w:rsid w:val="56C337B2"/>
    <w:rsid w:val="56D33656"/>
    <w:rsid w:val="56DC07D2"/>
    <w:rsid w:val="56FA2196"/>
    <w:rsid w:val="57012211"/>
    <w:rsid w:val="571706B5"/>
    <w:rsid w:val="57246A05"/>
    <w:rsid w:val="57281676"/>
    <w:rsid w:val="57292CD9"/>
    <w:rsid w:val="5732181F"/>
    <w:rsid w:val="57356294"/>
    <w:rsid w:val="573757DF"/>
    <w:rsid w:val="573B568B"/>
    <w:rsid w:val="57527466"/>
    <w:rsid w:val="579E5E6D"/>
    <w:rsid w:val="57A1606C"/>
    <w:rsid w:val="57A7269B"/>
    <w:rsid w:val="57B343A9"/>
    <w:rsid w:val="57B43C7D"/>
    <w:rsid w:val="57B72A76"/>
    <w:rsid w:val="57B837C4"/>
    <w:rsid w:val="57B8528C"/>
    <w:rsid w:val="57BC16F2"/>
    <w:rsid w:val="57BF5B9D"/>
    <w:rsid w:val="57D86CB1"/>
    <w:rsid w:val="57DB397E"/>
    <w:rsid w:val="57EA1107"/>
    <w:rsid w:val="57EE3633"/>
    <w:rsid w:val="57FB28B2"/>
    <w:rsid w:val="580A2D32"/>
    <w:rsid w:val="580B5F93"/>
    <w:rsid w:val="580D252C"/>
    <w:rsid w:val="581369AD"/>
    <w:rsid w:val="585328F9"/>
    <w:rsid w:val="58587385"/>
    <w:rsid w:val="58717235"/>
    <w:rsid w:val="58A56910"/>
    <w:rsid w:val="58CB38C0"/>
    <w:rsid w:val="58CB5722"/>
    <w:rsid w:val="58D34BF3"/>
    <w:rsid w:val="58FE588D"/>
    <w:rsid w:val="59292A99"/>
    <w:rsid w:val="592B747B"/>
    <w:rsid w:val="59366E73"/>
    <w:rsid w:val="593C7CA3"/>
    <w:rsid w:val="593D05F6"/>
    <w:rsid w:val="596A2A6D"/>
    <w:rsid w:val="598867F3"/>
    <w:rsid w:val="59AC7478"/>
    <w:rsid w:val="59BE0A86"/>
    <w:rsid w:val="59C030BE"/>
    <w:rsid w:val="59CB0A78"/>
    <w:rsid w:val="59E55D0C"/>
    <w:rsid w:val="59E708BB"/>
    <w:rsid w:val="59E8254F"/>
    <w:rsid w:val="59E91F7D"/>
    <w:rsid w:val="59EE5877"/>
    <w:rsid w:val="59F121F8"/>
    <w:rsid w:val="59F247A4"/>
    <w:rsid w:val="5A06031F"/>
    <w:rsid w:val="5A154236"/>
    <w:rsid w:val="5A2C21F1"/>
    <w:rsid w:val="5A366690"/>
    <w:rsid w:val="5A3C747D"/>
    <w:rsid w:val="5A4915D7"/>
    <w:rsid w:val="5A560E29"/>
    <w:rsid w:val="5A5D23AA"/>
    <w:rsid w:val="5A6A1FFB"/>
    <w:rsid w:val="5A6A4B79"/>
    <w:rsid w:val="5A715387"/>
    <w:rsid w:val="5A8D014F"/>
    <w:rsid w:val="5A8D0EF3"/>
    <w:rsid w:val="5AA202B8"/>
    <w:rsid w:val="5AAA0003"/>
    <w:rsid w:val="5ABE2233"/>
    <w:rsid w:val="5ADA1E4A"/>
    <w:rsid w:val="5ADC1DAE"/>
    <w:rsid w:val="5ADF0E31"/>
    <w:rsid w:val="5B1213E7"/>
    <w:rsid w:val="5B1F534A"/>
    <w:rsid w:val="5B276D18"/>
    <w:rsid w:val="5B324D41"/>
    <w:rsid w:val="5B3D2A05"/>
    <w:rsid w:val="5B4761F6"/>
    <w:rsid w:val="5B6245B1"/>
    <w:rsid w:val="5B6A3035"/>
    <w:rsid w:val="5B84627B"/>
    <w:rsid w:val="5B885B4D"/>
    <w:rsid w:val="5B9C0ABD"/>
    <w:rsid w:val="5BB62543"/>
    <w:rsid w:val="5BD3789A"/>
    <w:rsid w:val="5BDF5D95"/>
    <w:rsid w:val="5BE67E28"/>
    <w:rsid w:val="5BF34A1A"/>
    <w:rsid w:val="5C0101B9"/>
    <w:rsid w:val="5C124676"/>
    <w:rsid w:val="5C172F20"/>
    <w:rsid w:val="5C190123"/>
    <w:rsid w:val="5C196F37"/>
    <w:rsid w:val="5C2262FF"/>
    <w:rsid w:val="5C347D83"/>
    <w:rsid w:val="5C386BA0"/>
    <w:rsid w:val="5C5628C9"/>
    <w:rsid w:val="5C5D7079"/>
    <w:rsid w:val="5C71038F"/>
    <w:rsid w:val="5C9A5DC6"/>
    <w:rsid w:val="5CBF10FA"/>
    <w:rsid w:val="5CBF7FA1"/>
    <w:rsid w:val="5CCD5488"/>
    <w:rsid w:val="5CE87814"/>
    <w:rsid w:val="5CEA65A2"/>
    <w:rsid w:val="5CFD7E74"/>
    <w:rsid w:val="5D1268DC"/>
    <w:rsid w:val="5D1D4164"/>
    <w:rsid w:val="5D1F14F3"/>
    <w:rsid w:val="5D283143"/>
    <w:rsid w:val="5D2D2A68"/>
    <w:rsid w:val="5D2E60F1"/>
    <w:rsid w:val="5D5C3E07"/>
    <w:rsid w:val="5D5E1275"/>
    <w:rsid w:val="5D631320"/>
    <w:rsid w:val="5D6C582C"/>
    <w:rsid w:val="5D6C6A2D"/>
    <w:rsid w:val="5D755E6B"/>
    <w:rsid w:val="5D7851F7"/>
    <w:rsid w:val="5DA74AAB"/>
    <w:rsid w:val="5DB04EE7"/>
    <w:rsid w:val="5DBC388C"/>
    <w:rsid w:val="5DBE6BF1"/>
    <w:rsid w:val="5DC310DD"/>
    <w:rsid w:val="5DC84C5C"/>
    <w:rsid w:val="5DD554A6"/>
    <w:rsid w:val="5DF34188"/>
    <w:rsid w:val="5DF41277"/>
    <w:rsid w:val="5DF87A0F"/>
    <w:rsid w:val="5DFB317E"/>
    <w:rsid w:val="5DFE5B3E"/>
    <w:rsid w:val="5E063C18"/>
    <w:rsid w:val="5E1C257C"/>
    <w:rsid w:val="5E321FE3"/>
    <w:rsid w:val="5E3947AD"/>
    <w:rsid w:val="5E4852F6"/>
    <w:rsid w:val="5E55537D"/>
    <w:rsid w:val="5E665247"/>
    <w:rsid w:val="5E770657"/>
    <w:rsid w:val="5E7B3747"/>
    <w:rsid w:val="5E8B6B8D"/>
    <w:rsid w:val="5E9B617F"/>
    <w:rsid w:val="5EDD5205"/>
    <w:rsid w:val="5EE07FA9"/>
    <w:rsid w:val="5EE74938"/>
    <w:rsid w:val="5EE92DB8"/>
    <w:rsid w:val="5EE95CCE"/>
    <w:rsid w:val="5F072E96"/>
    <w:rsid w:val="5F0C2129"/>
    <w:rsid w:val="5F0D1CD2"/>
    <w:rsid w:val="5F1A2B43"/>
    <w:rsid w:val="5F2E6B5E"/>
    <w:rsid w:val="5F373350"/>
    <w:rsid w:val="5F434930"/>
    <w:rsid w:val="5F4B1EDE"/>
    <w:rsid w:val="5F4D425C"/>
    <w:rsid w:val="5F4D7B5C"/>
    <w:rsid w:val="5F6244B3"/>
    <w:rsid w:val="5F6366B5"/>
    <w:rsid w:val="5F642187"/>
    <w:rsid w:val="5F6656DC"/>
    <w:rsid w:val="5F6E6ED8"/>
    <w:rsid w:val="5F704D82"/>
    <w:rsid w:val="5F7206A6"/>
    <w:rsid w:val="5F757CBA"/>
    <w:rsid w:val="5F8E35CF"/>
    <w:rsid w:val="5F8F7CA0"/>
    <w:rsid w:val="5F9848C6"/>
    <w:rsid w:val="5FB40CBE"/>
    <w:rsid w:val="5FB4552C"/>
    <w:rsid w:val="5FB837BB"/>
    <w:rsid w:val="5FC953C8"/>
    <w:rsid w:val="60223C1C"/>
    <w:rsid w:val="60281053"/>
    <w:rsid w:val="60323AD2"/>
    <w:rsid w:val="603A077D"/>
    <w:rsid w:val="603E2DA6"/>
    <w:rsid w:val="60455758"/>
    <w:rsid w:val="605E5984"/>
    <w:rsid w:val="6069502D"/>
    <w:rsid w:val="60744F1B"/>
    <w:rsid w:val="6082551D"/>
    <w:rsid w:val="60975CFD"/>
    <w:rsid w:val="609871CF"/>
    <w:rsid w:val="609B2754"/>
    <w:rsid w:val="609F01D2"/>
    <w:rsid w:val="60B85539"/>
    <w:rsid w:val="60D46C40"/>
    <w:rsid w:val="60DE1AAA"/>
    <w:rsid w:val="610545E4"/>
    <w:rsid w:val="61086B8D"/>
    <w:rsid w:val="613D2A21"/>
    <w:rsid w:val="61475EDC"/>
    <w:rsid w:val="614A4CA7"/>
    <w:rsid w:val="61532759"/>
    <w:rsid w:val="617C1CB0"/>
    <w:rsid w:val="617E44FC"/>
    <w:rsid w:val="618B1F5D"/>
    <w:rsid w:val="618C749E"/>
    <w:rsid w:val="618F442A"/>
    <w:rsid w:val="61923281"/>
    <w:rsid w:val="619C34EB"/>
    <w:rsid w:val="619E48B2"/>
    <w:rsid w:val="61A46529"/>
    <w:rsid w:val="61BC5B63"/>
    <w:rsid w:val="61C635D0"/>
    <w:rsid w:val="61E37637"/>
    <w:rsid w:val="61FD2C90"/>
    <w:rsid w:val="620A1F41"/>
    <w:rsid w:val="620E3CBD"/>
    <w:rsid w:val="62195745"/>
    <w:rsid w:val="621B2F88"/>
    <w:rsid w:val="62364782"/>
    <w:rsid w:val="623A5C78"/>
    <w:rsid w:val="624E19B3"/>
    <w:rsid w:val="625B223F"/>
    <w:rsid w:val="625C73EB"/>
    <w:rsid w:val="626D2AC1"/>
    <w:rsid w:val="627516AE"/>
    <w:rsid w:val="627E06C9"/>
    <w:rsid w:val="628B5ED1"/>
    <w:rsid w:val="62B13D7D"/>
    <w:rsid w:val="62B43366"/>
    <w:rsid w:val="62D95CE0"/>
    <w:rsid w:val="62EF71EA"/>
    <w:rsid w:val="62F454C1"/>
    <w:rsid w:val="631340E4"/>
    <w:rsid w:val="63222920"/>
    <w:rsid w:val="63251018"/>
    <w:rsid w:val="633C237A"/>
    <w:rsid w:val="63550013"/>
    <w:rsid w:val="635D1B3D"/>
    <w:rsid w:val="635D341B"/>
    <w:rsid w:val="63653BCF"/>
    <w:rsid w:val="63713BEA"/>
    <w:rsid w:val="63783890"/>
    <w:rsid w:val="639457F8"/>
    <w:rsid w:val="639A641D"/>
    <w:rsid w:val="63A32C32"/>
    <w:rsid w:val="63A670D1"/>
    <w:rsid w:val="63AF4369"/>
    <w:rsid w:val="63B24DCC"/>
    <w:rsid w:val="63B55836"/>
    <w:rsid w:val="63D22FC3"/>
    <w:rsid w:val="63D40BE9"/>
    <w:rsid w:val="63E0211F"/>
    <w:rsid w:val="63E307DF"/>
    <w:rsid w:val="63EB0A0B"/>
    <w:rsid w:val="63F7561D"/>
    <w:rsid w:val="641146B0"/>
    <w:rsid w:val="6414113A"/>
    <w:rsid w:val="64243F39"/>
    <w:rsid w:val="642D031A"/>
    <w:rsid w:val="642D50EE"/>
    <w:rsid w:val="64614F01"/>
    <w:rsid w:val="6477516F"/>
    <w:rsid w:val="647A13F9"/>
    <w:rsid w:val="64885603"/>
    <w:rsid w:val="648D5998"/>
    <w:rsid w:val="649966D5"/>
    <w:rsid w:val="64B21544"/>
    <w:rsid w:val="64BC23C3"/>
    <w:rsid w:val="64C24A83"/>
    <w:rsid w:val="64D54B2D"/>
    <w:rsid w:val="64D6486B"/>
    <w:rsid w:val="64E3656D"/>
    <w:rsid w:val="64E9518B"/>
    <w:rsid w:val="64EE3897"/>
    <w:rsid w:val="64EE6C25"/>
    <w:rsid w:val="65086257"/>
    <w:rsid w:val="65183748"/>
    <w:rsid w:val="651A47B2"/>
    <w:rsid w:val="65302BC6"/>
    <w:rsid w:val="6530528B"/>
    <w:rsid w:val="65373578"/>
    <w:rsid w:val="65442AE4"/>
    <w:rsid w:val="65625FE5"/>
    <w:rsid w:val="65652593"/>
    <w:rsid w:val="65717652"/>
    <w:rsid w:val="658166E4"/>
    <w:rsid w:val="659D3FA3"/>
    <w:rsid w:val="659F7D1B"/>
    <w:rsid w:val="65BD5DA5"/>
    <w:rsid w:val="65C50FD2"/>
    <w:rsid w:val="65C75762"/>
    <w:rsid w:val="65CD0D2C"/>
    <w:rsid w:val="65D46D60"/>
    <w:rsid w:val="65D71E7A"/>
    <w:rsid w:val="65E57F73"/>
    <w:rsid w:val="65F70901"/>
    <w:rsid w:val="65F73F6A"/>
    <w:rsid w:val="660758C0"/>
    <w:rsid w:val="662066E4"/>
    <w:rsid w:val="66283099"/>
    <w:rsid w:val="66416B09"/>
    <w:rsid w:val="66722012"/>
    <w:rsid w:val="66853511"/>
    <w:rsid w:val="668A2779"/>
    <w:rsid w:val="669453A6"/>
    <w:rsid w:val="66A15D14"/>
    <w:rsid w:val="66A45B97"/>
    <w:rsid w:val="66A650D9"/>
    <w:rsid w:val="66A767CD"/>
    <w:rsid w:val="66AF27BE"/>
    <w:rsid w:val="66D07A5D"/>
    <w:rsid w:val="66E647D2"/>
    <w:rsid w:val="67206E0A"/>
    <w:rsid w:val="672122DC"/>
    <w:rsid w:val="672607B9"/>
    <w:rsid w:val="673F2C7A"/>
    <w:rsid w:val="67553574"/>
    <w:rsid w:val="67827569"/>
    <w:rsid w:val="67855C28"/>
    <w:rsid w:val="6787468B"/>
    <w:rsid w:val="678D6B1C"/>
    <w:rsid w:val="678E6713"/>
    <w:rsid w:val="67977FD6"/>
    <w:rsid w:val="67DA2A23"/>
    <w:rsid w:val="67E7125E"/>
    <w:rsid w:val="680254F4"/>
    <w:rsid w:val="6809591F"/>
    <w:rsid w:val="680A7560"/>
    <w:rsid w:val="68104DB9"/>
    <w:rsid w:val="681F6961"/>
    <w:rsid w:val="682318D4"/>
    <w:rsid w:val="6832693C"/>
    <w:rsid w:val="683A55DA"/>
    <w:rsid w:val="68490412"/>
    <w:rsid w:val="68610A2F"/>
    <w:rsid w:val="6869742B"/>
    <w:rsid w:val="687150F2"/>
    <w:rsid w:val="68805514"/>
    <w:rsid w:val="688205FD"/>
    <w:rsid w:val="688B4586"/>
    <w:rsid w:val="68BD3BAB"/>
    <w:rsid w:val="68DA7FAC"/>
    <w:rsid w:val="68DD6DDD"/>
    <w:rsid w:val="68DE1705"/>
    <w:rsid w:val="690C43BB"/>
    <w:rsid w:val="690E58E3"/>
    <w:rsid w:val="69130DEB"/>
    <w:rsid w:val="69131EB0"/>
    <w:rsid w:val="691357B2"/>
    <w:rsid w:val="691722BE"/>
    <w:rsid w:val="69182133"/>
    <w:rsid w:val="6935622B"/>
    <w:rsid w:val="69391014"/>
    <w:rsid w:val="693D2B73"/>
    <w:rsid w:val="69467528"/>
    <w:rsid w:val="694E2071"/>
    <w:rsid w:val="695138EE"/>
    <w:rsid w:val="69547A1A"/>
    <w:rsid w:val="69743CFE"/>
    <w:rsid w:val="697A3B33"/>
    <w:rsid w:val="697B17DF"/>
    <w:rsid w:val="698342EB"/>
    <w:rsid w:val="699E2456"/>
    <w:rsid w:val="699F1E9D"/>
    <w:rsid w:val="69A51A47"/>
    <w:rsid w:val="69CE6E20"/>
    <w:rsid w:val="69DB1359"/>
    <w:rsid w:val="69E80843"/>
    <w:rsid w:val="6A4A6791"/>
    <w:rsid w:val="6A4D7800"/>
    <w:rsid w:val="6A5361B1"/>
    <w:rsid w:val="6A785A27"/>
    <w:rsid w:val="6A863DF1"/>
    <w:rsid w:val="6A9D5E40"/>
    <w:rsid w:val="6AA237E5"/>
    <w:rsid w:val="6AAD450A"/>
    <w:rsid w:val="6AC263EC"/>
    <w:rsid w:val="6ACB2352"/>
    <w:rsid w:val="6AFC3322"/>
    <w:rsid w:val="6AFD6216"/>
    <w:rsid w:val="6AFF2A94"/>
    <w:rsid w:val="6B213AD5"/>
    <w:rsid w:val="6B257268"/>
    <w:rsid w:val="6B264A3A"/>
    <w:rsid w:val="6B322639"/>
    <w:rsid w:val="6B3501CF"/>
    <w:rsid w:val="6B3A373F"/>
    <w:rsid w:val="6B3C7DBA"/>
    <w:rsid w:val="6B4205B1"/>
    <w:rsid w:val="6B500FAF"/>
    <w:rsid w:val="6B51264C"/>
    <w:rsid w:val="6B51456E"/>
    <w:rsid w:val="6B8C790F"/>
    <w:rsid w:val="6BBC20BE"/>
    <w:rsid w:val="6BCD004E"/>
    <w:rsid w:val="6BDE3015"/>
    <w:rsid w:val="6BE40FC6"/>
    <w:rsid w:val="6BFE04C2"/>
    <w:rsid w:val="6C00185B"/>
    <w:rsid w:val="6C017388"/>
    <w:rsid w:val="6C082F8A"/>
    <w:rsid w:val="6C1F123A"/>
    <w:rsid w:val="6C263CA1"/>
    <w:rsid w:val="6C292A34"/>
    <w:rsid w:val="6C2E1DF8"/>
    <w:rsid w:val="6C3D6BE2"/>
    <w:rsid w:val="6C423AF6"/>
    <w:rsid w:val="6C552706"/>
    <w:rsid w:val="6C636C38"/>
    <w:rsid w:val="6C8A62FD"/>
    <w:rsid w:val="6C920515"/>
    <w:rsid w:val="6C951F56"/>
    <w:rsid w:val="6CA142C4"/>
    <w:rsid w:val="6CA92135"/>
    <w:rsid w:val="6CB71DEE"/>
    <w:rsid w:val="6CC00209"/>
    <w:rsid w:val="6CC608BD"/>
    <w:rsid w:val="6CD77ACB"/>
    <w:rsid w:val="6CE001CB"/>
    <w:rsid w:val="6CEE5C99"/>
    <w:rsid w:val="6D12171A"/>
    <w:rsid w:val="6D3939E9"/>
    <w:rsid w:val="6D396CA7"/>
    <w:rsid w:val="6D3F3B91"/>
    <w:rsid w:val="6D557A0E"/>
    <w:rsid w:val="6D5B4F84"/>
    <w:rsid w:val="6D6C287F"/>
    <w:rsid w:val="6D6E3322"/>
    <w:rsid w:val="6D731B14"/>
    <w:rsid w:val="6D8747CE"/>
    <w:rsid w:val="6DA21D96"/>
    <w:rsid w:val="6DAD4F9F"/>
    <w:rsid w:val="6DB20A89"/>
    <w:rsid w:val="6DB34098"/>
    <w:rsid w:val="6DB545B6"/>
    <w:rsid w:val="6DCF05AE"/>
    <w:rsid w:val="6DD712B3"/>
    <w:rsid w:val="6DFF0D7E"/>
    <w:rsid w:val="6E057F1E"/>
    <w:rsid w:val="6E0F7A08"/>
    <w:rsid w:val="6E162B44"/>
    <w:rsid w:val="6E24489D"/>
    <w:rsid w:val="6E2D2781"/>
    <w:rsid w:val="6E2E74DD"/>
    <w:rsid w:val="6E2E7624"/>
    <w:rsid w:val="6E300DE3"/>
    <w:rsid w:val="6E432276"/>
    <w:rsid w:val="6E4375A0"/>
    <w:rsid w:val="6E514CED"/>
    <w:rsid w:val="6E79491A"/>
    <w:rsid w:val="6E801F76"/>
    <w:rsid w:val="6E8E6C78"/>
    <w:rsid w:val="6E9347F2"/>
    <w:rsid w:val="6E9D5013"/>
    <w:rsid w:val="6EAA461E"/>
    <w:rsid w:val="6EAD7098"/>
    <w:rsid w:val="6EAF1DE2"/>
    <w:rsid w:val="6EB563D5"/>
    <w:rsid w:val="6ED47A93"/>
    <w:rsid w:val="6EE13397"/>
    <w:rsid w:val="6EEF0C4A"/>
    <w:rsid w:val="6EF80849"/>
    <w:rsid w:val="6EFB1763"/>
    <w:rsid w:val="6F04276C"/>
    <w:rsid w:val="6F1C418A"/>
    <w:rsid w:val="6F225983"/>
    <w:rsid w:val="6F2334C6"/>
    <w:rsid w:val="6F535B62"/>
    <w:rsid w:val="6F5A612C"/>
    <w:rsid w:val="6F5E5A64"/>
    <w:rsid w:val="6F641AF1"/>
    <w:rsid w:val="6F675297"/>
    <w:rsid w:val="6F827778"/>
    <w:rsid w:val="6F8312A8"/>
    <w:rsid w:val="6F97780B"/>
    <w:rsid w:val="6F9C77B2"/>
    <w:rsid w:val="6FA27377"/>
    <w:rsid w:val="6FC1619E"/>
    <w:rsid w:val="6FCA3006"/>
    <w:rsid w:val="6FD97D43"/>
    <w:rsid w:val="6FEF1382"/>
    <w:rsid w:val="6FF9096F"/>
    <w:rsid w:val="6FFC5590"/>
    <w:rsid w:val="700927BF"/>
    <w:rsid w:val="702A2365"/>
    <w:rsid w:val="70301DA3"/>
    <w:rsid w:val="70314942"/>
    <w:rsid w:val="70381498"/>
    <w:rsid w:val="70386EEC"/>
    <w:rsid w:val="70453800"/>
    <w:rsid w:val="705F6D76"/>
    <w:rsid w:val="706D1DD0"/>
    <w:rsid w:val="70856B87"/>
    <w:rsid w:val="708B72F1"/>
    <w:rsid w:val="708C50EF"/>
    <w:rsid w:val="70903B84"/>
    <w:rsid w:val="7095582F"/>
    <w:rsid w:val="70AC1F48"/>
    <w:rsid w:val="70C40F72"/>
    <w:rsid w:val="70D527EE"/>
    <w:rsid w:val="70EC2B6D"/>
    <w:rsid w:val="70F5336E"/>
    <w:rsid w:val="70F72220"/>
    <w:rsid w:val="71085F08"/>
    <w:rsid w:val="710E21F8"/>
    <w:rsid w:val="71132BE3"/>
    <w:rsid w:val="713044EC"/>
    <w:rsid w:val="71362A37"/>
    <w:rsid w:val="713A5DE5"/>
    <w:rsid w:val="71465FE5"/>
    <w:rsid w:val="714E510A"/>
    <w:rsid w:val="715B5300"/>
    <w:rsid w:val="715F4BD7"/>
    <w:rsid w:val="71770D86"/>
    <w:rsid w:val="717812BE"/>
    <w:rsid w:val="71840621"/>
    <w:rsid w:val="71901217"/>
    <w:rsid w:val="71AB3158"/>
    <w:rsid w:val="71B608C6"/>
    <w:rsid w:val="71CC7F1B"/>
    <w:rsid w:val="71D27F8A"/>
    <w:rsid w:val="71DC4D14"/>
    <w:rsid w:val="71EA632C"/>
    <w:rsid w:val="71F35BDC"/>
    <w:rsid w:val="71F637CB"/>
    <w:rsid w:val="71F744C6"/>
    <w:rsid w:val="71F960CF"/>
    <w:rsid w:val="7210619A"/>
    <w:rsid w:val="721B314F"/>
    <w:rsid w:val="721E0721"/>
    <w:rsid w:val="72210B60"/>
    <w:rsid w:val="72312642"/>
    <w:rsid w:val="723C415D"/>
    <w:rsid w:val="723E7D53"/>
    <w:rsid w:val="724D0AFE"/>
    <w:rsid w:val="724D3F31"/>
    <w:rsid w:val="724E4B1F"/>
    <w:rsid w:val="7252160B"/>
    <w:rsid w:val="7252295C"/>
    <w:rsid w:val="725376EF"/>
    <w:rsid w:val="72601471"/>
    <w:rsid w:val="72702605"/>
    <w:rsid w:val="727E4B7E"/>
    <w:rsid w:val="728842C3"/>
    <w:rsid w:val="72950803"/>
    <w:rsid w:val="72BE42A1"/>
    <w:rsid w:val="72BE4798"/>
    <w:rsid w:val="72D6285B"/>
    <w:rsid w:val="72E64306"/>
    <w:rsid w:val="72F43C3B"/>
    <w:rsid w:val="73180126"/>
    <w:rsid w:val="731F5D5E"/>
    <w:rsid w:val="732D2BC9"/>
    <w:rsid w:val="73524898"/>
    <w:rsid w:val="735A2A8D"/>
    <w:rsid w:val="735A657F"/>
    <w:rsid w:val="73694245"/>
    <w:rsid w:val="73711161"/>
    <w:rsid w:val="738F181B"/>
    <w:rsid w:val="73905DAB"/>
    <w:rsid w:val="73954FC5"/>
    <w:rsid w:val="739B7488"/>
    <w:rsid w:val="73A1041B"/>
    <w:rsid w:val="73A31125"/>
    <w:rsid w:val="73BE57AB"/>
    <w:rsid w:val="73CB4D8A"/>
    <w:rsid w:val="73CD5635"/>
    <w:rsid w:val="73D91E46"/>
    <w:rsid w:val="73DB09F5"/>
    <w:rsid w:val="73FE1558"/>
    <w:rsid w:val="7410694F"/>
    <w:rsid w:val="741E793C"/>
    <w:rsid w:val="742A5FE8"/>
    <w:rsid w:val="742A6E77"/>
    <w:rsid w:val="743C3DF4"/>
    <w:rsid w:val="744A709B"/>
    <w:rsid w:val="744F4A89"/>
    <w:rsid w:val="74927286"/>
    <w:rsid w:val="7493689B"/>
    <w:rsid w:val="74A0522F"/>
    <w:rsid w:val="74C4556D"/>
    <w:rsid w:val="74D66C6C"/>
    <w:rsid w:val="74DC22F9"/>
    <w:rsid w:val="74F160B9"/>
    <w:rsid w:val="74F51FB0"/>
    <w:rsid w:val="750E0C46"/>
    <w:rsid w:val="75147A75"/>
    <w:rsid w:val="75220020"/>
    <w:rsid w:val="75462739"/>
    <w:rsid w:val="755D558D"/>
    <w:rsid w:val="7561093F"/>
    <w:rsid w:val="756E6528"/>
    <w:rsid w:val="75826D11"/>
    <w:rsid w:val="758807CB"/>
    <w:rsid w:val="758D75E2"/>
    <w:rsid w:val="758E1FC4"/>
    <w:rsid w:val="759C6CDE"/>
    <w:rsid w:val="75AE167A"/>
    <w:rsid w:val="75B65620"/>
    <w:rsid w:val="75B70833"/>
    <w:rsid w:val="75BB6B30"/>
    <w:rsid w:val="75D457BF"/>
    <w:rsid w:val="75E527D1"/>
    <w:rsid w:val="75E808F3"/>
    <w:rsid w:val="75EC1477"/>
    <w:rsid w:val="75ED79A0"/>
    <w:rsid w:val="75F727BC"/>
    <w:rsid w:val="75FC6D83"/>
    <w:rsid w:val="76031347"/>
    <w:rsid w:val="760A5684"/>
    <w:rsid w:val="760F12DE"/>
    <w:rsid w:val="7613403C"/>
    <w:rsid w:val="761E5F4F"/>
    <w:rsid w:val="76356119"/>
    <w:rsid w:val="764010A6"/>
    <w:rsid w:val="7640154B"/>
    <w:rsid w:val="76432944"/>
    <w:rsid w:val="765449C0"/>
    <w:rsid w:val="768E1E11"/>
    <w:rsid w:val="769404FB"/>
    <w:rsid w:val="76C923A0"/>
    <w:rsid w:val="76EA63F7"/>
    <w:rsid w:val="76F300AB"/>
    <w:rsid w:val="77062109"/>
    <w:rsid w:val="770D3438"/>
    <w:rsid w:val="771C3925"/>
    <w:rsid w:val="77486FB5"/>
    <w:rsid w:val="77537D5B"/>
    <w:rsid w:val="77732B4A"/>
    <w:rsid w:val="77762421"/>
    <w:rsid w:val="77964366"/>
    <w:rsid w:val="779645DA"/>
    <w:rsid w:val="77B034B8"/>
    <w:rsid w:val="77C66250"/>
    <w:rsid w:val="77D32CFD"/>
    <w:rsid w:val="77D676F6"/>
    <w:rsid w:val="780B662F"/>
    <w:rsid w:val="780D320A"/>
    <w:rsid w:val="780F09F4"/>
    <w:rsid w:val="780F58EC"/>
    <w:rsid w:val="7857711E"/>
    <w:rsid w:val="78591FAB"/>
    <w:rsid w:val="78673ACC"/>
    <w:rsid w:val="786B7F9B"/>
    <w:rsid w:val="78731457"/>
    <w:rsid w:val="78907255"/>
    <w:rsid w:val="789C4F47"/>
    <w:rsid w:val="78A90480"/>
    <w:rsid w:val="78D42092"/>
    <w:rsid w:val="78E0611E"/>
    <w:rsid w:val="78E70D26"/>
    <w:rsid w:val="78EC0E25"/>
    <w:rsid w:val="78EC51B2"/>
    <w:rsid w:val="78EF183C"/>
    <w:rsid w:val="790A5788"/>
    <w:rsid w:val="790F6B0E"/>
    <w:rsid w:val="79113559"/>
    <w:rsid w:val="79115FEB"/>
    <w:rsid w:val="79125505"/>
    <w:rsid w:val="791660EE"/>
    <w:rsid w:val="791A3E30"/>
    <w:rsid w:val="791D6011"/>
    <w:rsid w:val="7927711E"/>
    <w:rsid w:val="79305402"/>
    <w:rsid w:val="794B5C15"/>
    <w:rsid w:val="794F33AE"/>
    <w:rsid w:val="795B4D1A"/>
    <w:rsid w:val="796F239B"/>
    <w:rsid w:val="79811327"/>
    <w:rsid w:val="798345DF"/>
    <w:rsid w:val="79834F42"/>
    <w:rsid w:val="798F5501"/>
    <w:rsid w:val="79A17016"/>
    <w:rsid w:val="79B00007"/>
    <w:rsid w:val="79CC6300"/>
    <w:rsid w:val="79CE7910"/>
    <w:rsid w:val="79CF2171"/>
    <w:rsid w:val="79DE25D2"/>
    <w:rsid w:val="79E54C12"/>
    <w:rsid w:val="79EA4F40"/>
    <w:rsid w:val="79F81735"/>
    <w:rsid w:val="79F92A6D"/>
    <w:rsid w:val="7A06790A"/>
    <w:rsid w:val="7A1D42C3"/>
    <w:rsid w:val="7A27618C"/>
    <w:rsid w:val="7A364017"/>
    <w:rsid w:val="7A39091C"/>
    <w:rsid w:val="7A540F64"/>
    <w:rsid w:val="7A5849BE"/>
    <w:rsid w:val="7A595D76"/>
    <w:rsid w:val="7A765423"/>
    <w:rsid w:val="7A824182"/>
    <w:rsid w:val="7A8265E1"/>
    <w:rsid w:val="7AAC089C"/>
    <w:rsid w:val="7ABA6102"/>
    <w:rsid w:val="7AC06311"/>
    <w:rsid w:val="7AD63D87"/>
    <w:rsid w:val="7AD678F8"/>
    <w:rsid w:val="7AF406B1"/>
    <w:rsid w:val="7AF77B66"/>
    <w:rsid w:val="7B0213AB"/>
    <w:rsid w:val="7B065B9E"/>
    <w:rsid w:val="7B171634"/>
    <w:rsid w:val="7B17540D"/>
    <w:rsid w:val="7B4C1A8A"/>
    <w:rsid w:val="7B590328"/>
    <w:rsid w:val="7B686D42"/>
    <w:rsid w:val="7B742A80"/>
    <w:rsid w:val="7B7C5E53"/>
    <w:rsid w:val="7B7D3F5B"/>
    <w:rsid w:val="7B841746"/>
    <w:rsid w:val="7B8C46C1"/>
    <w:rsid w:val="7B8E1987"/>
    <w:rsid w:val="7BA63214"/>
    <w:rsid w:val="7BC57DF6"/>
    <w:rsid w:val="7BDA15A3"/>
    <w:rsid w:val="7BDD2EF3"/>
    <w:rsid w:val="7BDF2027"/>
    <w:rsid w:val="7C016DB9"/>
    <w:rsid w:val="7C0361CB"/>
    <w:rsid w:val="7C0F6E34"/>
    <w:rsid w:val="7C2F2698"/>
    <w:rsid w:val="7C4576A0"/>
    <w:rsid w:val="7C562A78"/>
    <w:rsid w:val="7C5B0C23"/>
    <w:rsid w:val="7C605DDF"/>
    <w:rsid w:val="7C6F1D34"/>
    <w:rsid w:val="7C70422A"/>
    <w:rsid w:val="7C7F73AC"/>
    <w:rsid w:val="7C8C5EB9"/>
    <w:rsid w:val="7C9A2D33"/>
    <w:rsid w:val="7CBB49DC"/>
    <w:rsid w:val="7CC52305"/>
    <w:rsid w:val="7CCF49B2"/>
    <w:rsid w:val="7CDA4D4B"/>
    <w:rsid w:val="7CE33567"/>
    <w:rsid w:val="7CE409A7"/>
    <w:rsid w:val="7CE74F64"/>
    <w:rsid w:val="7CFB4D65"/>
    <w:rsid w:val="7D0211AE"/>
    <w:rsid w:val="7D0213FF"/>
    <w:rsid w:val="7D0239FF"/>
    <w:rsid w:val="7D056BA5"/>
    <w:rsid w:val="7D1076C2"/>
    <w:rsid w:val="7D140B29"/>
    <w:rsid w:val="7D171C49"/>
    <w:rsid w:val="7D1B20E6"/>
    <w:rsid w:val="7D422A36"/>
    <w:rsid w:val="7D44147C"/>
    <w:rsid w:val="7D4B26BA"/>
    <w:rsid w:val="7D5B623B"/>
    <w:rsid w:val="7D5E40CD"/>
    <w:rsid w:val="7D693BED"/>
    <w:rsid w:val="7D7539AD"/>
    <w:rsid w:val="7D77091A"/>
    <w:rsid w:val="7D781AF6"/>
    <w:rsid w:val="7D82361F"/>
    <w:rsid w:val="7D9B16B6"/>
    <w:rsid w:val="7D9C328F"/>
    <w:rsid w:val="7DB633C9"/>
    <w:rsid w:val="7DC61D5E"/>
    <w:rsid w:val="7DD90E26"/>
    <w:rsid w:val="7DDE315D"/>
    <w:rsid w:val="7DF700CD"/>
    <w:rsid w:val="7E190053"/>
    <w:rsid w:val="7E4315DE"/>
    <w:rsid w:val="7E4F59FA"/>
    <w:rsid w:val="7E5E46A7"/>
    <w:rsid w:val="7E680DEA"/>
    <w:rsid w:val="7E8F2243"/>
    <w:rsid w:val="7EA1535A"/>
    <w:rsid w:val="7EA629C9"/>
    <w:rsid w:val="7EA853FB"/>
    <w:rsid w:val="7EBC51B6"/>
    <w:rsid w:val="7EC07C5D"/>
    <w:rsid w:val="7EC24528"/>
    <w:rsid w:val="7EE66563"/>
    <w:rsid w:val="7EF836D6"/>
    <w:rsid w:val="7F013ABF"/>
    <w:rsid w:val="7F096F8E"/>
    <w:rsid w:val="7F0B5FDD"/>
    <w:rsid w:val="7F356E6A"/>
    <w:rsid w:val="7F464563"/>
    <w:rsid w:val="7F6A4390"/>
    <w:rsid w:val="7F7B4EFD"/>
    <w:rsid w:val="7F7C1D85"/>
    <w:rsid w:val="7F8F6E1D"/>
    <w:rsid w:val="7F952E2E"/>
    <w:rsid w:val="7F9537E0"/>
    <w:rsid w:val="7F9C6008"/>
    <w:rsid w:val="7FB77A38"/>
    <w:rsid w:val="7FB97A0E"/>
    <w:rsid w:val="7FC87F53"/>
    <w:rsid w:val="7FD00948"/>
    <w:rsid w:val="7FD912C7"/>
    <w:rsid w:val="7FE47E50"/>
    <w:rsid w:val="7FEF624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ocked="1"/>
    <w:lsdException w:qFormat="1" w:unhideWhenUsed="0" w:uiPriority="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locked/>
    <w:uiPriority w:val="0"/>
    <w:pPr>
      <w:keepNext/>
      <w:keepLines/>
      <w:spacing w:before="260" w:after="260" w:line="416" w:lineRule="auto"/>
      <w:outlineLvl w:val="2"/>
    </w:pPr>
    <w:rPr>
      <w:b/>
      <w:bCs/>
      <w:sz w:val="32"/>
      <w:szCs w:val="32"/>
    </w:rPr>
  </w:style>
  <w:style w:type="paragraph" w:styleId="5">
    <w:name w:val="heading 4"/>
    <w:basedOn w:val="1"/>
    <w:next w:val="1"/>
    <w:qFormat/>
    <w:locked/>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8">
    <w:name w:val="Default Paragraph Font"/>
    <w:semiHidden/>
    <w:qFormat/>
    <w:uiPriority w:val="0"/>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rFonts w:ascii="仿宋_GB2312" w:eastAsia="仿宋_GB2312"/>
      <w:snapToGrid w:val="0"/>
      <w:kern w:val="0"/>
      <w:sz w:val="28"/>
      <w:szCs w:val="20"/>
    </w:rPr>
  </w:style>
  <w:style w:type="paragraph" w:styleId="7">
    <w:name w:val="caption"/>
    <w:basedOn w:val="1"/>
    <w:next w:val="1"/>
    <w:qFormat/>
    <w:locked/>
    <w:uiPriority w:val="0"/>
    <w:rPr>
      <w:rFonts w:ascii="Arial" w:hAnsi="Arial" w:eastAsia="黑体" w:cs="Times New Roman"/>
      <w:sz w:val="20"/>
    </w:rPr>
  </w:style>
  <w:style w:type="paragraph" w:styleId="8">
    <w:name w:val="annotation text"/>
    <w:basedOn w:val="1"/>
    <w:link w:val="36"/>
    <w:semiHidden/>
    <w:qFormat/>
    <w:uiPriority w:val="0"/>
    <w:pPr>
      <w:jc w:val="left"/>
    </w:pPr>
    <w:rPr>
      <w:kern w:val="0"/>
      <w:sz w:val="20"/>
    </w:rPr>
  </w:style>
  <w:style w:type="paragraph" w:styleId="9">
    <w:name w:val="Salutation"/>
    <w:basedOn w:val="1"/>
    <w:next w:val="1"/>
    <w:qFormat/>
    <w:uiPriority w:val="0"/>
  </w:style>
  <w:style w:type="paragraph" w:styleId="10">
    <w:name w:val="Body Text"/>
    <w:basedOn w:val="1"/>
    <w:link w:val="37"/>
    <w:qFormat/>
    <w:uiPriority w:val="0"/>
    <w:pPr>
      <w:widowControl/>
      <w:snapToGrid w:val="0"/>
      <w:spacing w:before="60" w:after="160" w:line="259" w:lineRule="auto"/>
      <w:ind w:right="113"/>
    </w:pPr>
    <w:rPr>
      <w:kern w:val="0"/>
      <w:sz w:val="18"/>
      <w:szCs w:val="18"/>
    </w:rPr>
  </w:style>
  <w:style w:type="paragraph" w:styleId="11">
    <w:name w:val="Body Text Indent"/>
    <w:basedOn w:val="1"/>
    <w:next w:val="12"/>
    <w:link w:val="38"/>
    <w:semiHidden/>
    <w:qFormat/>
    <w:uiPriority w:val="0"/>
    <w:pPr>
      <w:spacing w:after="120"/>
      <w:ind w:left="420" w:leftChars="200"/>
    </w:pPr>
  </w:style>
  <w:style w:type="paragraph" w:styleId="12">
    <w:name w:val="Body Text First Indent 2"/>
    <w:basedOn w:val="11"/>
    <w:next w:val="1"/>
    <w:qFormat/>
    <w:uiPriority w:val="0"/>
    <w:pPr>
      <w:keepNext w:val="0"/>
      <w:keepLines w:val="0"/>
      <w:widowControl w:val="0"/>
      <w:suppressLineNumbers w:val="0"/>
      <w:spacing w:before="0" w:beforeAutospacing="0" w:after="120" w:afterAutospacing="0" w:line="240" w:lineRule="auto"/>
      <w:ind w:left="420" w:leftChars="200" w:right="0" w:firstLine="420" w:firstLineChars="200"/>
      <w:jc w:val="both"/>
    </w:pPr>
    <w:rPr>
      <w:rFonts w:hint="default" w:ascii="Times New Roman" w:hAnsi="Times New Roman" w:eastAsia="宋体" w:cs="Times New Roman"/>
      <w:kern w:val="2"/>
      <w:sz w:val="21"/>
      <w:szCs w:val="24"/>
      <w:lang w:val="en-US" w:eastAsia="zh-CN" w:bidi="ar"/>
    </w:rPr>
  </w:style>
  <w:style w:type="paragraph" w:styleId="13">
    <w:name w:val="Plain Text"/>
    <w:basedOn w:val="1"/>
    <w:next w:val="9"/>
    <w:qFormat/>
    <w:uiPriority w:val="0"/>
    <w:pPr>
      <w:autoSpaceDE w:val="0"/>
      <w:autoSpaceDN w:val="0"/>
      <w:adjustRightInd w:val="0"/>
      <w:spacing w:line="440" w:lineRule="atLeast"/>
      <w:ind w:firstLine="425"/>
    </w:pPr>
    <w:rPr>
      <w:rFonts w:hAnsi="Tms Rmn" w:cs="Times New Roman"/>
      <w:sz w:val="28"/>
      <w:szCs w:val="20"/>
    </w:rPr>
  </w:style>
  <w:style w:type="paragraph" w:styleId="14">
    <w:name w:val="Date"/>
    <w:basedOn w:val="1"/>
    <w:next w:val="1"/>
    <w:link w:val="39"/>
    <w:qFormat/>
    <w:uiPriority w:val="0"/>
    <w:pPr>
      <w:ind w:left="100" w:leftChars="2500"/>
    </w:pPr>
    <w:rPr>
      <w:kern w:val="0"/>
      <w:sz w:val="20"/>
    </w:rPr>
  </w:style>
  <w:style w:type="paragraph" w:styleId="15">
    <w:name w:val="Body Text Indent 2"/>
    <w:basedOn w:val="1"/>
    <w:qFormat/>
    <w:uiPriority w:val="0"/>
    <w:pPr>
      <w:spacing w:line="360" w:lineRule="auto"/>
      <w:ind w:firstLine="480" w:firstLineChars="200"/>
    </w:pPr>
    <w:rPr>
      <w:sz w:val="24"/>
    </w:rPr>
  </w:style>
  <w:style w:type="paragraph" w:styleId="16">
    <w:name w:val="Balloon Text"/>
    <w:basedOn w:val="1"/>
    <w:link w:val="40"/>
    <w:semiHidden/>
    <w:qFormat/>
    <w:uiPriority w:val="0"/>
    <w:rPr>
      <w:sz w:val="18"/>
      <w:szCs w:val="18"/>
    </w:rPr>
  </w:style>
  <w:style w:type="paragraph" w:styleId="17">
    <w:name w:val="footer"/>
    <w:basedOn w:val="1"/>
    <w:link w:val="41"/>
    <w:qFormat/>
    <w:uiPriority w:val="0"/>
    <w:pPr>
      <w:tabs>
        <w:tab w:val="center" w:pos="4153"/>
        <w:tab w:val="right" w:pos="8306"/>
      </w:tabs>
      <w:snapToGrid w:val="0"/>
      <w:jc w:val="left"/>
    </w:pPr>
    <w:rPr>
      <w:sz w:val="18"/>
      <w:szCs w:val="18"/>
    </w:rPr>
  </w:style>
  <w:style w:type="paragraph" w:styleId="18">
    <w:name w:val="header"/>
    <w:basedOn w:val="1"/>
    <w:next w:val="1"/>
    <w:link w:val="42"/>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locked/>
    <w:uiPriority w:val="0"/>
  </w:style>
  <w:style w:type="paragraph" w:styleId="20">
    <w:name w:val="List"/>
    <w:basedOn w:val="1"/>
    <w:qFormat/>
    <w:uiPriority w:val="0"/>
    <w:pPr>
      <w:ind w:left="200" w:hanging="200" w:hangingChars="200"/>
    </w:pPr>
    <w:rPr>
      <w:rFonts w:ascii="Times New Roman" w:hAnsi="Times New Roman" w:eastAsia="宋体" w:cs="Times New Roman"/>
    </w:rPr>
  </w:style>
  <w:style w:type="paragraph" w:styleId="21">
    <w:name w:val="toc 2"/>
    <w:basedOn w:val="1"/>
    <w:next w:val="1"/>
    <w:qFormat/>
    <w:locked/>
    <w:uiPriority w:val="39"/>
    <w:pPr>
      <w:ind w:left="420" w:leftChars="200"/>
    </w:pPr>
  </w:style>
  <w:style w:type="paragraph" w:styleId="22">
    <w:name w:val="Body Text 2"/>
    <w:basedOn w:val="1"/>
    <w:qFormat/>
    <w:uiPriority w:val="0"/>
    <w:pPr>
      <w:spacing w:line="500" w:lineRule="atLeast"/>
      <w:jc w:val="center"/>
    </w:pPr>
    <w:rPr>
      <w:rFonts w:ascii="Calibri" w:hAnsi="Calibri"/>
      <w:sz w:val="30"/>
      <w:szCs w:val="20"/>
    </w:rPr>
  </w:style>
  <w:style w:type="paragraph" w:styleId="23">
    <w:name w:val="Normal (Web)"/>
    <w:basedOn w:val="1"/>
    <w:link w:val="43"/>
    <w:qFormat/>
    <w:uiPriority w:val="0"/>
    <w:pPr>
      <w:widowControl/>
      <w:spacing w:before="100" w:beforeAutospacing="1" w:after="100" w:afterAutospacing="1"/>
      <w:jc w:val="left"/>
    </w:pPr>
    <w:rPr>
      <w:rFonts w:ascii="宋体" w:hAnsi="宋体"/>
      <w:kern w:val="0"/>
      <w:sz w:val="24"/>
    </w:rPr>
  </w:style>
  <w:style w:type="paragraph" w:styleId="24">
    <w:name w:val="annotation subject"/>
    <w:basedOn w:val="8"/>
    <w:next w:val="8"/>
    <w:link w:val="44"/>
    <w:semiHidden/>
    <w:qFormat/>
    <w:uiPriority w:val="0"/>
    <w:rPr>
      <w:b/>
      <w:bCs/>
    </w:rPr>
  </w:style>
  <w:style w:type="paragraph" w:styleId="25">
    <w:name w:val="Body Text First Indent"/>
    <w:basedOn w:val="10"/>
    <w:qFormat/>
    <w:uiPriority w:val="0"/>
    <w:pPr>
      <w:ind w:firstLine="420" w:firstLineChars="100"/>
    </w:pPr>
    <w:rPr>
      <w:kern w:val="0"/>
      <w:sz w:val="24"/>
      <w:szCs w:val="24"/>
    </w:rPr>
  </w:style>
  <w:style w:type="table" w:styleId="27">
    <w:name w:val="Table Grid"/>
    <w:basedOn w:val="26"/>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locked/>
    <w:uiPriority w:val="22"/>
    <w:rPr>
      <w:b/>
    </w:rPr>
  </w:style>
  <w:style w:type="character" w:styleId="30">
    <w:name w:val="page number"/>
    <w:qFormat/>
    <w:uiPriority w:val="0"/>
  </w:style>
  <w:style w:type="character" w:styleId="31">
    <w:name w:val="Emphasis"/>
    <w:qFormat/>
    <w:locked/>
    <w:uiPriority w:val="0"/>
    <w:rPr>
      <w:i/>
    </w:rPr>
  </w:style>
  <w:style w:type="character" w:styleId="32">
    <w:name w:val="Hyperlink"/>
    <w:qFormat/>
    <w:uiPriority w:val="99"/>
    <w:rPr>
      <w:color w:val="0000FF"/>
      <w:u w:val="single"/>
    </w:rPr>
  </w:style>
  <w:style w:type="character" w:styleId="33">
    <w:name w:val="annotation reference"/>
    <w:semiHidden/>
    <w:qFormat/>
    <w:uiPriority w:val="0"/>
    <w:rPr>
      <w:sz w:val="21"/>
    </w:rPr>
  </w:style>
  <w:style w:type="paragraph" w:customStyle="1" w:styleId="34">
    <w:name w:val="Char Char Char Char Char Char Char Char Char1 Char"/>
    <w:basedOn w:val="1"/>
    <w:next w:val="35"/>
    <w:qFormat/>
    <w:uiPriority w:val="0"/>
    <w:pPr>
      <w:spacing w:line="360" w:lineRule="auto"/>
      <w:ind w:firstLine="200" w:firstLineChars="200"/>
    </w:pPr>
    <w:rPr>
      <w:rFonts w:hAnsi="宋体" w:cs="宋体"/>
      <w:spacing w:val="0"/>
      <w:sz w:val="24"/>
      <w:szCs w:val="24"/>
    </w:rPr>
  </w:style>
  <w:style w:type="paragraph" w:customStyle="1" w:styleId="35">
    <w:name w:val="Body Text First Indent1"/>
    <w:basedOn w:val="10"/>
    <w:qFormat/>
    <w:uiPriority w:val="0"/>
    <w:pPr>
      <w:spacing w:line="360" w:lineRule="auto"/>
      <w:ind w:firstLine="420"/>
    </w:pPr>
    <w:rPr>
      <w:b/>
      <w:sz w:val="20"/>
      <w:szCs w:val="20"/>
    </w:rPr>
  </w:style>
  <w:style w:type="character" w:customStyle="1" w:styleId="36">
    <w:name w:val="批注文字 字符"/>
    <w:link w:val="8"/>
    <w:qFormat/>
    <w:locked/>
    <w:uiPriority w:val="0"/>
    <w:rPr>
      <w:rFonts w:ascii="Times New Roman" w:hAnsi="Times New Roman" w:eastAsia="宋体"/>
      <w:sz w:val="24"/>
    </w:rPr>
  </w:style>
  <w:style w:type="character" w:customStyle="1" w:styleId="37">
    <w:name w:val="正文文本 字符"/>
    <w:link w:val="10"/>
    <w:qFormat/>
    <w:locked/>
    <w:uiPriority w:val="0"/>
    <w:rPr>
      <w:sz w:val="18"/>
    </w:rPr>
  </w:style>
  <w:style w:type="character" w:customStyle="1" w:styleId="38">
    <w:name w:val="正文文本缩进 字符"/>
    <w:link w:val="11"/>
    <w:semiHidden/>
    <w:qFormat/>
    <w:locked/>
    <w:uiPriority w:val="0"/>
    <w:rPr>
      <w:rFonts w:ascii="Times New Roman" w:hAnsi="Times New Roman" w:eastAsia="宋体" w:cs="Times New Roman"/>
      <w:sz w:val="24"/>
      <w:szCs w:val="24"/>
    </w:rPr>
  </w:style>
  <w:style w:type="character" w:customStyle="1" w:styleId="39">
    <w:name w:val="日期 字符1"/>
    <w:link w:val="14"/>
    <w:qFormat/>
    <w:locked/>
    <w:uiPriority w:val="0"/>
    <w:rPr>
      <w:rFonts w:ascii="Times New Roman" w:hAnsi="Times New Roman" w:eastAsia="宋体"/>
      <w:sz w:val="24"/>
    </w:rPr>
  </w:style>
  <w:style w:type="character" w:customStyle="1" w:styleId="40">
    <w:name w:val="批注框文本 字符"/>
    <w:link w:val="16"/>
    <w:semiHidden/>
    <w:qFormat/>
    <w:locked/>
    <w:uiPriority w:val="0"/>
    <w:rPr>
      <w:rFonts w:ascii="Times New Roman" w:hAnsi="Times New Roman" w:eastAsia="宋体" w:cs="Times New Roman"/>
      <w:sz w:val="18"/>
      <w:szCs w:val="18"/>
    </w:rPr>
  </w:style>
  <w:style w:type="character" w:customStyle="1" w:styleId="41">
    <w:name w:val="页脚 字符"/>
    <w:link w:val="17"/>
    <w:qFormat/>
    <w:locked/>
    <w:uiPriority w:val="0"/>
    <w:rPr>
      <w:rFonts w:cs="Times New Roman"/>
      <w:sz w:val="18"/>
      <w:szCs w:val="18"/>
    </w:rPr>
  </w:style>
  <w:style w:type="character" w:customStyle="1" w:styleId="42">
    <w:name w:val="页眉 字符"/>
    <w:link w:val="18"/>
    <w:qFormat/>
    <w:locked/>
    <w:uiPriority w:val="0"/>
    <w:rPr>
      <w:rFonts w:cs="Times New Roman"/>
      <w:sz w:val="18"/>
      <w:szCs w:val="18"/>
    </w:rPr>
  </w:style>
  <w:style w:type="character" w:customStyle="1" w:styleId="43">
    <w:name w:val="普通(网站) 字符"/>
    <w:link w:val="23"/>
    <w:qFormat/>
    <w:locked/>
    <w:uiPriority w:val="0"/>
    <w:rPr>
      <w:rFonts w:ascii="宋体" w:hAnsi="宋体" w:eastAsia="宋体"/>
      <w:sz w:val="24"/>
    </w:rPr>
  </w:style>
  <w:style w:type="character" w:customStyle="1" w:styleId="44">
    <w:name w:val="批注主题 字符"/>
    <w:link w:val="24"/>
    <w:semiHidden/>
    <w:qFormat/>
    <w:locked/>
    <w:uiPriority w:val="0"/>
    <w:rPr>
      <w:rFonts w:cs="Times New Roman"/>
      <w:b/>
      <w:bCs/>
      <w:kern w:val="2"/>
      <w:szCs w:val="24"/>
    </w:rPr>
  </w:style>
  <w:style w:type="paragraph" w:customStyle="1" w:styleId="45">
    <w:name w:val="表头"/>
    <w:basedOn w:val="46"/>
    <w:next w:val="1"/>
    <w:qFormat/>
    <w:uiPriority w:val="0"/>
    <w:pPr>
      <w:keepNext w:val="0"/>
      <w:keepLines w:val="0"/>
      <w:widowControl w:val="0"/>
      <w:suppressLineNumbers w:val="0"/>
      <w:spacing w:before="0" w:beforeAutospacing="0" w:after="0" w:afterAutospacing="0" w:line="360" w:lineRule="auto"/>
      <w:ind w:left="0" w:right="0" w:firstLine="0" w:firstLineChars="0"/>
      <w:jc w:val="center"/>
    </w:pPr>
    <w:rPr>
      <w:rFonts w:hint="default" w:ascii="Times New Roman" w:hAnsi="Times New Roman" w:eastAsia="宋体" w:cs="Times New Roman"/>
      <w:b/>
      <w:kern w:val="2"/>
      <w:sz w:val="21"/>
      <w:szCs w:val="24"/>
      <w:lang w:val="en-US" w:eastAsia="zh-CN" w:bidi="ar"/>
    </w:rPr>
  </w:style>
  <w:style w:type="paragraph" w:customStyle="1" w:styleId="46">
    <w:name w:val="表格"/>
    <w:basedOn w:val="23"/>
    <w:next w:val="1"/>
    <w:link w:val="51"/>
    <w:qFormat/>
    <w:uiPriority w:val="0"/>
    <w:pPr>
      <w:adjustRightInd w:val="0"/>
      <w:snapToGrid w:val="0"/>
      <w:spacing w:beforeLines="10" w:afterLines="10" w:line="259" w:lineRule="auto"/>
      <w:jc w:val="center"/>
    </w:pPr>
    <w:rPr>
      <w:rFonts w:ascii="宋体"/>
      <w:kern w:val="0"/>
      <w:sz w:val="20"/>
      <w:szCs w:val="21"/>
    </w:rPr>
  </w:style>
  <w:style w:type="paragraph" w:customStyle="1" w:styleId="47">
    <w:name w:val="样式 首行缩进:  2 字符1"/>
    <w:basedOn w:val="1"/>
    <w:qFormat/>
    <w:uiPriority w:val="0"/>
    <w:pPr>
      <w:spacing w:line="360" w:lineRule="auto"/>
      <w:ind w:firstLine="200" w:firstLineChars="200"/>
    </w:pPr>
    <w:rPr>
      <w:rFonts w:cs="宋体"/>
      <w:sz w:val="24"/>
      <w:szCs w:val="20"/>
    </w:rPr>
  </w:style>
  <w:style w:type="character" w:customStyle="1" w:styleId="48">
    <w:name w:val="日期 字符"/>
    <w:semiHidden/>
    <w:qFormat/>
    <w:uiPriority w:val="0"/>
    <w:rPr>
      <w:rFonts w:ascii="Times New Roman" w:hAnsi="Times New Roman" w:eastAsia="宋体" w:cs="Times New Roman"/>
      <w:sz w:val="24"/>
      <w:szCs w:val="24"/>
    </w:rPr>
  </w:style>
  <w:style w:type="character" w:customStyle="1" w:styleId="49">
    <w:name w:val="正文文本 字符1"/>
    <w:semiHidden/>
    <w:qFormat/>
    <w:uiPriority w:val="0"/>
    <w:rPr>
      <w:rFonts w:ascii="Times New Roman" w:hAnsi="Times New Roman" w:eastAsia="宋体" w:cs="Times New Roman"/>
      <w:sz w:val="24"/>
      <w:szCs w:val="24"/>
    </w:rPr>
  </w:style>
  <w:style w:type="paragraph" w:customStyle="1" w:styleId="50">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1">
    <w:name w:val="表格 Char"/>
    <w:link w:val="46"/>
    <w:qFormat/>
    <w:locked/>
    <w:uiPriority w:val="0"/>
    <w:rPr>
      <w:rFonts w:ascii="宋体"/>
      <w:sz w:val="21"/>
    </w:rPr>
  </w:style>
  <w:style w:type="character" w:customStyle="1" w:styleId="52">
    <w:name w:val="批注文字 字符1"/>
    <w:semiHidden/>
    <w:qFormat/>
    <w:uiPriority w:val="0"/>
    <w:rPr>
      <w:rFonts w:ascii="Times New Roman" w:hAnsi="Times New Roman" w:eastAsia="宋体" w:cs="Times New Roman"/>
      <w:sz w:val="24"/>
      <w:szCs w:val="24"/>
    </w:rPr>
  </w:style>
  <w:style w:type="character" w:customStyle="1" w:styleId="53">
    <w:name w:val="普通(网站) Char"/>
    <w:qFormat/>
    <w:locked/>
    <w:uiPriority w:val="0"/>
    <w:rPr>
      <w:rFonts w:ascii="宋体" w:hAnsi="宋体" w:eastAsia="宋体"/>
      <w:sz w:val="24"/>
    </w:rPr>
  </w:style>
  <w:style w:type="paragraph" w:customStyle="1" w:styleId="54">
    <w:name w:val="正文 首行缩进:  2 字符"/>
    <w:basedOn w:val="1"/>
    <w:qFormat/>
    <w:uiPriority w:val="0"/>
    <w:pPr>
      <w:adjustRightInd w:val="0"/>
      <w:snapToGrid w:val="0"/>
      <w:spacing w:line="500" w:lineRule="exact"/>
      <w:ind w:firstLine="480"/>
    </w:pPr>
    <w:rPr>
      <w:rFonts w:eastAsia="楷体_GB2312"/>
      <w:lang w:val="zh-CN"/>
    </w:rPr>
  </w:style>
  <w:style w:type="paragraph" w:customStyle="1" w:styleId="55">
    <w:name w:val="表格内"/>
    <w:basedOn w:val="1"/>
    <w:qFormat/>
    <w:uiPriority w:val="0"/>
    <w:pPr>
      <w:adjustRightInd w:val="0"/>
      <w:spacing w:line="240" w:lineRule="atLeast"/>
      <w:jc w:val="center"/>
      <w:textAlignment w:val="baseline"/>
    </w:pPr>
    <w:rPr>
      <w:rFonts w:ascii="宋体" w:hAnsi="Times New Roman"/>
      <w:kern w:val="0"/>
      <w:sz w:val="28"/>
      <w:szCs w:val="20"/>
    </w:rPr>
  </w:style>
  <w:style w:type="paragraph" w:customStyle="1" w:styleId="56">
    <w:name w:val="报告"/>
    <w:basedOn w:val="1"/>
    <w:qFormat/>
    <w:uiPriority w:val="0"/>
    <w:pPr>
      <w:adjustRightInd w:val="0"/>
      <w:spacing w:line="360" w:lineRule="auto"/>
      <w:ind w:firstLine="505"/>
      <w:textAlignment w:val="center"/>
    </w:pPr>
    <w:rPr>
      <w:rFonts w:ascii="TimesNewRoman" w:hAnsi="TimesNewRoman"/>
      <w:kern w:val="0"/>
      <w:sz w:val="24"/>
      <w:szCs w:val="20"/>
    </w:rPr>
  </w:style>
  <w:style w:type="paragraph" w:customStyle="1" w:styleId="57">
    <w:name w:val="表格内容"/>
    <w:basedOn w:val="6"/>
    <w:next w:val="1"/>
    <w:qFormat/>
    <w:uiPriority w:val="0"/>
    <w:pPr>
      <w:adjustRightInd w:val="0"/>
      <w:snapToGrid w:val="0"/>
      <w:jc w:val="center"/>
    </w:pPr>
    <w:rPr>
      <w:rFonts w:ascii="宋体" w:hAnsi="Courier New"/>
      <w:kern w:val="10"/>
      <w:szCs w:val="20"/>
    </w:rPr>
  </w:style>
  <w:style w:type="paragraph" w:customStyle="1" w:styleId="58">
    <w:name w:val="Default"/>
    <w:basedOn w:val="59"/>
    <w:qFormat/>
    <w:uiPriority w:val="0"/>
    <w:pPr>
      <w:widowControl w:val="0"/>
      <w:tabs>
        <w:tab w:val="left" w:pos="1845"/>
      </w:tabs>
      <w:autoSpaceDE w:val="0"/>
      <w:autoSpaceDN w:val="0"/>
      <w:adjustRightInd w:val="0"/>
    </w:pPr>
    <w:rPr>
      <w:rFonts w:ascii="Wingdings" w:hAnsi="Verdana" w:eastAsia="宋体" w:cs="Wingdings"/>
      <w:color w:val="000000"/>
      <w:sz w:val="24"/>
      <w:szCs w:val="24"/>
      <w:lang w:val="en-US" w:eastAsia="zh-CN" w:bidi="ar-SA"/>
    </w:rPr>
  </w:style>
  <w:style w:type="paragraph" w:customStyle="1" w:styleId="59">
    <w:name w:val="纯文本1"/>
    <w:basedOn w:val="1"/>
    <w:qFormat/>
    <w:uiPriority w:val="0"/>
    <w:pPr>
      <w:tabs>
        <w:tab w:val="left" w:pos="1845"/>
      </w:tabs>
      <w:spacing w:line="240" w:lineRule="exact"/>
      <w:jc w:val="center"/>
    </w:pPr>
    <w:rPr>
      <w:sz w:val="18"/>
    </w:rPr>
  </w:style>
  <w:style w:type="paragraph" w:customStyle="1" w:styleId="60">
    <w:name w:val="表内字"/>
    <w:basedOn w:val="1"/>
    <w:qFormat/>
    <w:uiPriority w:val="0"/>
    <w:pPr>
      <w:spacing w:line="320" w:lineRule="exact"/>
      <w:jc w:val="center"/>
    </w:pPr>
    <w:rPr>
      <w:kern w:val="0"/>
    </w:rPr>
  </w:style>
  <w:style w:type="table" w:customStyle="1" w:styleId="61">
    <w:name w:val="Table Normal"/>
    <w:basedOn w:val="26"/>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paragraph" w:customStyle="1" w:styleId="62">
    <w:name w:val="标题三！！！！！！！"/>
    <w:basedOn w:val="4"/>
    <w:qFormat/>
    <w:uiPriority w:val="0"/>
    <w:pPr>
      <w:keepNext w:val="0"/>
      <w:keepLines w:val="0"/>
      <w:spacing w:before="0" w:after="0" w:line="500" w:lineRule="exact"/>
    </w:pPr>
    <w:rPr>
      <w:rFonts w:ascii="楷体_GB2312" w:hAnsi="楷体_GB2312" w:eastAsia="楷体_GB2312" w:cs="楷体_GB2312"/>
      <w:bCs w:val="0"/>
      <w:kern w:val="0"/>
      <w:sz w:val="28"/>
      <w:szCs w:val="28"/>
    </w:rPr>
  </w:style>
  <w:style w:type="paragraph" w:customStyle="1" w:styleId="63">
    <w:name w:val="正文 楷体"/>
    <w:basedOn w:val="1"/>
    <w:qFormat/>
    <w:uiPriority w:val="0"/>
    <w:pPr>
      <w:spacing w:line="500" w:lineRule="exact"/>
      <w:ind w:firstLine="200" w:firstLineChars="200"/>
    </w:pPr>
    <w:rPr>
      <w:rFonts w:ascii="楷体_GB2312" w:hAnsi="楷体_GB2312" w:eastAsia="楷体_GB2312"/>
      <w:sz w:val="24"/>
      <w:szCs w:val="20"/>
    </w:rPr>
  </w:style>
  <w:style w:type="paragraph" w:customStyle="1" w:styleId="64">
    <w:name w:val="表头！！！！！！！！！！"/>
    <w:basedOn w:val="6"/>
    <w:qFormat/>
    <w:uiPriority w:val="0"/>
    <w:pPr>
      <w:autoSpaceDE w:val="0"/>
      <w:autoSpaceDN w:val="0"/>
      <w:adjustRightInd w:val="0"/>
      <w:spacing w:line="500" w:lineRule="exact"/>
      <w:jc w:val="center"/>
      <w:textAlignment w:val="baseline"/>
    </w:pPr>
    <w:rPr>
      <w:rFonts w:ascii="楷体_GB2312" w:eastAsia="楷体_GB2312"/>
      <w:b/>
      <w:sz w:val="24"/>
    </w:rPr>
  </w:style>
  <w:style w:type="paragraph" w:customStyle="1" w:styleId="65">
    <w:name w:val="表后空格"/>
    <w:basedOn w:val="63"/>
    <w:qFormat/>
    <w:uiPriority w:val="0"/>
    <w:pPr>
      <w:spacing w:line="240" w:lineRule="exact"/>
      <w:ind w:firstLine="480"/>
    </w:pPr>
  </w:style>
  <w:style w:type="paragraph" w:customStyle="1" w:styleId="66">
    <w:name w:val="报告表正文"/>
    <w:basedOn w:val="1"/>
    <w:qFormat/>
    <w:uiPriority w:val="0"/>
    <w:pPr>
      <w:adjustRightInd w:val="0"/>
      <w:spacing w:line="300" w:lineRule="auto"/>
      <w:ind w:left="113" w:right="113"/>
      <w:textAlignment w:val="baseline"/>
    </w:pPr>
    <w:rPr>
      <w:kern w:val="0"/>
      <w:sz w:val="24"/>
      <w:szCs w:val="20"/>
    </w:rPr>
  </w:style>
  <w:style w:type="paragraph" w:customStyle="1" w:styleId="67">
    <w:name w:val="蒲标题2"/>
    <w:basedOn w:val="3"/>
    <w:qFormat/>
    <w:uiPriority w:val="0"/>
    <w:pPr>
      <w:autoSpaceDE w:val="0"/>
      <w:autoSpaceDN w:val="0"/>
      <w:spacing w:before="0" w:after="0" w:line="360" w:lineRule="auto"/>
      <w:outlineLvl w:val="3"/>
    </w:pPr>
    <w:rPr>
      <w:rFonts w:ascii="Times New Roman" w:hAnsi="Times New Roman" w:eastAsia="宋体"/>
      <w:kern w:val="0"/>
      <w:sz w:val="24"/>
      <w:szCs w:val="24"/>
    </w:rPr>
  </w:style>
  <w:style w:type="paragraph" w:customStyle="1" w:styleId="68">
    <w:name w:val="Table Paragraph"/>
    <w:basedOn w:val="1"/>
    <w:qFormat/>
    <w:uiPriority w:val="1"/>
    <w:pPr>
      <w:jc w:val="center"/>
    </w:pPr>
    <w:rPr>
      <w:rFonts w:eastAsia="Times New Roman"/>
      <w:szCs w:val="20"/>
    </w:rPr>
  </w:style>
  <w:style w:type="paragraph" w:customStyle="1" w:styleId="69">
    <w:name w:val="表中文字"/>
    <w:basedOn w:val="1"/>
    <w:qFormat/>
    <w:uiPriority w:val="0"/>
    <w:pPr>
      <w:jc w:val="center"/>
      <w:textAlignment w:val="center"/>
    </w:pPr>
    <w:rPr>
      <w:sz w:val="21"/>
      <w:szCs w:val="21"/>
    </w:rPr>
  </w:style>
  <w:style w:type="table" w:customStyle="1" w:styleId="70">
    <w:name w:val="环评报告书"/>
    <w:basedOn w:val="26"/>
    <w:qFormat/>
    <w:uiPriority w:val="99"/>
    <w:pPr>
      <w:jc w:val="center"/>
    </w:pPr>
    <w:rPr>
      <w:rFonts w:ascii="Times New Roman" w:hAnsi="Times New Roman"/>
      <w:sz w:val="21"/>
    </w:rPr>
    <w:tblPr>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
    <w:trPr>
      <w:tblHeader/>
      <w:jc w:val="center"/>
    </w:trPr>
    <w:tcPr>
      <w:vAlign w:val="center"/>
    </w:tcPr>
  </w:style>
  <w:style w:type="paragraph" w:styleId="71">
    <w:name w:val="List Paragraph"/>
    <w:basedOn w:val="1"/>
    <w:qFormat/>
    <w:uiPriority w:val="34"/>
    <w:pPr>
      <w:spacing w:after="200" w:line="276" w:lineRule="auto"/>
      <w:ind w:firstLine="420" w:firstLineChars="200"/>
      <w:jc w:val="left"/>
    </w:pPr>
    <w:rPr>
      <w:rFonts w:ascii="Calibri" w:hAnsi="Calibri" w:eastAsia="宋体" w:cs="Times New Roman"/>
      <w:kern w:val="0"/>
      <w:sz w:val="22"/>
      <w:szCs w:val="22"/>
      <w:lang w:eastAsia="en-US"/>
    </w:rPr>
  </w:style>
  <w:style w:type="paragraph" w:customStyle="1" w:styleId="72">
    <w:name w:val="正文111"/>
    <w:basedOn w:val="1"/>
    <w:qFormat/>
    <w:uiPriority w:val="0"/>
    <w:pPr>
      <w:spacing w:line="500" w:lineRule="exact"/>
      <w:ind w:firstLine="200" w:firstLineChars="200"/>
      <w:jc w:val="left"/>
    </w:pPr>
    <w:rPr>
      <w:rFonts w:eastAsia="华文中宋"/>
      <w:color w:val="FF00FF"/>
      <w:sz w:val="24"/>
    </w:rPr>
  </w:style>
  <w:style w:type="paragraph" w:customStyle="1" w:styleId="73">
    <w:name w:val="表格1"/>
    <w:basedOn w:val="1"/>
    <w:qFormat/>
    <w:uiPriority w:val="0"/>
    <w:pPr>
      <w:widowControl w:val="0"/>
      <w:spacing w:line="240" w:lineRule="auto"/>
      <w:ind w:firstLine="0" w:firstLineChars="0"/>
      <w:jc w:val="center"/>
    </w:pPr>
    <w:rPr>
      <w:rFonts w:eastAsia="方正仿宋_GBK"/>
      <w:color w:val="000000"/>
      <w:kern w:val="0"/>
      <w:sz w:val="21"/>
      <w:szCs w:val="24"/>
      <w:lang w:bidi="ar-SA"/>
    </w:rPr>
  </w:style>
  <w:style w:type="paragraph" w:customStyle="1" w:styleId="74">
    <w:name w:val="环小四表内容"/>
    <w:basedOn w:val="1"/>
    <w:qFormat/>
    <w:uiPriority w:val="0"/>
    <w:pPr>
      <w:wordWrap w:val="0"/>
      <w:spacing w:line="240" w:lineRule="exact"/>
      <w:jc w:val="center"/>
    </w:pPr>
    <w:rPr>
      <w:rFonts w:ascii="Calibri" w:hAnsi="宋体"/>
      <w:kern w:val="0"/>
      <w:sz w:val="18"/>
      <w:szCs w:val="20"/>
    </w:rPr>
  </w:style>
  <w:style w:type="character" w:customStyle="1" w:styleId="75">
    <w:name w:val="_Style 7"/>
    <w:qFormat/>
    <w:uiPriority w:val="0"/>
    <w:rPr>
      <w:b/>
      <w:smallCaps/>
      <w:spacing w:val="5"/>
    </w:rPr>
  </w:style>
  <w:style w:type="paragraph" w:customStyle="1" w:styleId="76">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7">
    <w:name w:val="正文格式"/>
    <w:basedOn w:val="25"/>
    <w:next w:val="17"/>
    <w:qFormat/>
    <w:uiPriority w:val="0"/>
    <w:pPr>
      <w:spacing w:after="0" w:afterLines="0" w:line="360" w:lineRule="auto"/>
      <w:ind w:firstLine="200" w:firstLineChars="200"/>
    </w:pPr>
    <w:rPr>
      <w:rFonts w:ascii="宋体" w:hAnsi="宋体" w:cs="宋体"/>
      <w:kern w:val="2"/>
      <w:sz w:val="24"/>
      <w:szCs w:val="24"/>
      <w:lang w:bidi="ar-SA"/>
    </w:rPr>
  </w:style>
  <w:style w:type="character" w:customStyle="1" w:styleId="78">
    <w:name w:val="_Style 5"/>
    <w:qFormat/>
    <w:uiPriority w:val="0"/>
    <w:rPr>
      <w:b/>
      <w:smallCaps/>
      <w:spacing w:val="5"/>
    </w:rPr>
  </w:style>
  <w:style w:type="paragraph" w:customStyle="1" w:styleId="79">
    <w:name w:val="表体"/>
    <w:basedOn w:val="1"/>
    <w:semiHidden/>
    <w:qFormat/>
    <w:uiPriority w:val="0"/>
    <w:pPr>
      <w:adjustRightInd w:val="0"/>
      <w:snapToGrid w:val="0"/>
      <w:spacing w:before="62" w:beforeLines="20" w:after="62" w:afterLines="20"/>
      <w:jc w:val="center"/>
    </w:pPr>
  </w:style>
  <w:style w:type="paragraph" w:customStyle="1" w:styleId="80">
    <w:name w:val="序号标题"/>
    <w:next w:val="81"/>
    <w:qFormat/>
    <w:uiPriority w:val="0"/>
    <w:pPr>
      <w:spacing w:line="360" w:lineRule="auto"/>
      <w:ind w:firstLine="723" w:firstLineChars="200"/>
    </w:pPr>
    <w:rPr>
      <w:rFonts w:ascii="Times New Roman" w:hAnsi="Times New Roman" w:eastAsia="宋体" w:cs="宋体"/>
      <w:b/>
      <w:sz w:val="24"/>
      <w:szCs w:val="24"/>
      <w:lang w:val="en-US" w:eastAsia="zh-CN" w:bidi="ar-SA"/>
    </w:rPr>
  </w:style>
  <w:style w:type="paragraph" w:customStyle="1" w:styleId="81">
    <w:name w:val="报告正文"/>
    <w:qFormat/>
    <w:uiPriority w:val="0"/>
    <w:pPr>
      <w:spacing w:line="360" w:lineRule="auto"/>
      <w:ind w:firstLine="723" w:firstLineChars="200"/>
    </w:pPr>
    <w:rPr>
      <w:rFonts w:ascii="Times New Roman" w:hAnsi="Times New Roman" w:eastAsia="宋体" w:cs="宋体"/>
      <w:sz w:val="24"/>
      <w:szCs w:val="24"/>
      <w:lang w:val="en-US" w:eastAsia="zh-CN" w:bidi="ar-SA"/>
    </w:rPr>
  </w:style>
  <w:style w:type="paragraph" w:customStyle="1" w:styleId="82">
    <w:name w:val="小序标题"/>
    <w:next w:val="81"/>
    <w:qFormat/>
    <w:uiPriority w:val="0"/>
    <w:pPr>
      <w:spacing w:line="360" w:lineRule="auto"/>
      <w:ind w:firstLine="723" w:firstLineChars="200"/>
    </w:pPr>
    <w:rPr>
      <w:rFonts w:ascii="Times New Roman" w:hAnsi="Times New Roman" w:eastAsia="宋体" w:cs="宋体"/>
      <w:sz w:val="24"/>
      <w:szCs w:val="24"/>
      <w:lang w:val="en-US" w:eastAsia="zh-CN" w:bidi="ar-SA"/>
    </w:rPr>
  </w:style>
  <w:style w:type="paragraph" w:customStyle="1" w:styleId="83">
    <w:name w:val="toc 21"/>
    <w:next w:val="1"/>
    <w:qFormat/>
    <w:uiPriority w:val="0"/>
    <w:pPr>
      <w:wordWrap w:val="0"/>
      <w:ind w:left="425"/>
      <w:jc w:val="both"/>
    </w:pPr>
    <w:rPr>
      <w:rFonts w:ascii="Times New Roman" w:hAnsi="Times New Roman" w:eastAsia="宋体" w:cs="Times New Roman"/>
      <w:sz w:val="21"/>
      <w:szCs w:val="22"/>
      <w:lang w:val="en-US" w:eastAsia="zh-CN" w:bidi="ar-SA"/>
    </w:rPr>
  </w:style>
  <w:style w:type="paragraph" w:customStyle="1" w:styleId="84">
    <w:name w:val="图表文字"/>
    <w:basedOn w:val="1"/>
    <w:qFormat/>
    <w:uiPriority w:val="0"/>
    <w:pPr>
      <w:jc w:val="center"/>
    </w:pPr>
    <w:rPr>
      <w:rFonts w:eastAsia="仿宋_GB2312"/>
      <w:spacing w:val="-16"/>
      <w:kern w:val="0"/>
      <w:sz w:val="20"/>
      <w:szCs w:val="20"/>
    </w:rPr>
  </w:style>
  <w:style w:type="paragraph" w:customStyle="1" w:styleId="85">
    <w:name w:val="样式1"/>
    <w:basedOn w:val="6"/>
    <w:next w:val="1"/>
    <w:qFormat/>
    <w:uiPriority w:val="0"/>
    <w:pPr>
      <w:spacing w:line="240" w:lineRule="auto"/>
      <w:ind w:firstLine="420"/>
    </w:pPr>
    <w:rPr>
      <w:rFonts w:ascii="宋体" w:hAnsi="宋体"/>
      <w:color w:val="auto"/>
      <w:sz w:val="28"/>
    </w:rPr>
  </w:style>
  <w:style w:type="paragraph" w:customStyle="1" w:styleId="86">
    <w:name w:val="表格及图纸使用的样式"/>
    <w:basedOn w:val="1"/>
    <w:qFormat/>
    <w:uiPriority w:val="0"/>
    <w:pPr>
      <w:adjustRightInd w:val="0"/>
      <w:ind w:firstLineChars="200"/>
    </w:pPr>
    <w:rPr>
      <w:rFonts w:ascii="宋体"/>
      <w:snapToGrid w:val="0"/>
      <w:sz w:val="24"/>
    </w:rPr>
  </w:style>
  <w:style w:type="paragraph" w:customStyle="1" w:styleId="87">
    <w:name w:val="样式 正文段落宋体"/>
    <w:basedOn w:val="1"/>
    <w:qFormat/>
    <w:uiPriority w:val="0"/>
    <w:pPr>
      <w:widowControl/>
      <w:ind w:firstLine="560" w:firstLineChars="200"/>
      <w:jc w:val="left"/>
    </w:pPr>
    <w:rPr>
      <w:rFonts w:ascii="宋体" w:hAnsi="宋体" w:eastAsia="宋体" w:cs="宋体"/>
      <w:sz w:val="28"/>
    </w:rPr>
  </w:style>
  <w:style w:type="paragraph" w:customStyle="1" w:styleId="88">
    <w:name w:val="报告书正文"/>
    <w:basedOn w:val="1"/>
    <w:qFormat/>
    <w:uiPriority w:val="0"/>
    <w:pPr>
      <w:tabs>
        <w:tab w:val="right" w:leader="middleDot" w:pos="9660"/>
      </w:tabs>
      <w:adjustRightInd w:val="0"/>
      <w:snapToGrid w:val="0"/>
      <w:spacing w:line="360" w:lineRule="auto"/>
      <w:ind w:firstLine="482"/>
      <w:jc w:val="left"/>
    </w:pPr>
    <w:rPr>
      <w:rFonts w:ascii="宋体" w:hAnsi="宋体" w:eastAsia="宋体" w:cs="Times New Roman"/>
      <w:color w:val="000000"/>
      <w:sz w:val="24"/>
    </w:rPr>
  </w:style>
  <w:style w:type="paragraph" w:customStyle="1" w:styleId="89">
    <w:name w:val="报告表格内容"/>
    <w:basedOn w:val="1"/>
    <w:qFormat/>
    <w:uiPriority w:val="0"/>
    <w:pPr>
      <w:adjustRightInd w:val="0"/>
      <w:snapToGrid w:val="0"/>
      <w:spacing w:line="0" w:lineRule="atLeast"/>
      <w:jc w:val="center"/>
    </w:pPr>
    <w:rPr>
      <w:rFonts w:ascii="宋体"/>
    </w:rPr>
  </w:style>
  <w:style w:type="paragraph" w:customStyle="1" w:styleId="90">
    <w:name w:val="设计表格标题"/>
    <w:basedOn w:val="91"/>
    <w:qFormat/>
    <w:uiPriority w:val="0"/>
    <w:rPr>
      <w:rFonts w:ascii="仿宋_GB2312" w:eastAsia="仿宋_GB2312"/>
      <w:sz w:val="28"/>
    </w:rPr>
  </w:style>
  <w:style w:type="paragraph" w:customStyle="1" w:styleId="91">
    <w:name w:val="报告表格标题"/>
    <w:basedOn w:val="1"/>
    <w:qFormat/>
    <w:uiPriority w:val="0"/>
    <w:pPr>
      <w:adjustRightInd w:val="0"/>
      <w:snapToGrid w:val="0"/>
      <w:spacing w:before="50" w:beforeLines="50" w:after="50" w:afterLines="50" w:line="420" w:lineRule="atLeast"/>
      <w:jc w:val="center"/>
    </w:pPr>
    <w:rPr>
      <w:rFonts w:ascii="宋体"/>
      <w:sz w:val="24"/>
    </w:rPr>
  </w:style>
  <w:style w:type="paragraph" w:customStyle="1" w:styleId="92">
    <w:name w:val="设计正文"/>
    <w:basedOn w:val="1"/>
    <w:qFormat/>
    <w:uiPriority w:val="0"/>
    <w:pPr>
      <w:adjustRightInd w:val="0"/>
      <w:snapToGrid w:val="0"/>
      <w:spacing w:before="156" w:beforeLines="50" w:line="500" w:lineRule="atLeast"/>
      <w:ind w:firstLine="560" w:firstLineChars="200"/>
    </w:pPr>
    <w:rPr>
      <w:rFonts w:ascii="仿宋_GB2312" w:eastAsia="仿宋_GB2312"/>
      <w:sz w:val="28"/>
    </w:rPr>
  </w:style>
  <w:style w:type="character" w:customStyle="1" w:styleId="93">
    <w:name w:val="标题 #4_"/>
    <w:basedOn w:val="28"/>
    <w:link w:val="94"/>
    <w:unhideWhenUsed/>
    <w:qFormat/>
    <w:uiPriority w:val="99"/>
    <w:rPr>
      <w:rFonts w:hint="eastAsia" w:ascii="宋体" w:hAnsi="宋体" w:eastAsia="宋体" w:cs="Times New Roman"/>
      <w:sz w:val="26"/>
      <w:szCs w:val="26"/>
      <w:lang w:val="en-US" w:eastAsia="zh-CN" w:bidi="ar-SA"/>
    </w:rPr>
  </w:style>
  <w:style w:type="paragraph" w:customStyle="1" w:styleId="94">
    <w:name w:val="标题 #4"/>
    <w:link w:val="93"/>
    <w:unhideWhenUsed/>
    <w:qFormat/>
    <w:uiPriority w:val="99"/>
    <w:pPr>
      <w:shd w:val="clear" w:color="auto" w:fill="FFFFFF"/>
      <w:spacing w:line="562" w:lineRule="exact"/>
      <w:outlineLvl w:val="3"/>
    </w:pPr>
    <w:rPr>
      <w:rFonts w:hint="eastAsia" w:ascii="宋体" w:hAnsi="宋体" w:eastAsia="宋体" w:cs="Times New Roman"/>
      <w:sz w:val="26"/>
      <w:szCs w:val="26"/>
      <w:lang w:val="en-US" w:eastAsia="zh-CN" w:bidi="ar-SA"/>
    </w:rPr>
  </w:style>
  <w:style w:type="character" w:customStyle="1" w:styleId="95">
    <w:name w:val="font11"/>
    <w:basedOn w:val="28"/>
    <w:qFormat/>
    <w:uiPriority w:val="0"/>
    <w:rPr>
      <w:rFonts w:hint="eastAsia" w:ascii="宋体" w:hAnsi="宋体" w:eastAsia="宋体" w:cs="宋体"/>
      <w:color w:val="0000FF"/>
      <w:sz w:val="21"/>
      <w:szCs w:val="21"/>
      <w:u w:val="none"/>
    </w:rPr>
  </w:style>
  <w:style w:type="paragraph" w:customStyle="1" w:styleId="96">
    <w:name w:val="表格文字2"/>
    <w:basedOn w:val="1"/>
    <w:qFormat/>
    <w:uiPriority w:val="0"/>
    <w:pPr>
      <w:keepNext w:val="0"/>
      <w:keepLines w:val="0"/>
      <w:adjustRightInd w:val="0"/>
      <w:spacing w:line="240" w:lineRule="auto"/>
      <w:ind w:firstLine="0" w:firstLineChars="0"/>
      <w:jc w:val="center"/>
      <w:textAlignment w:val="baseline"/>
    </w:pPr>
    <w:rPr>
      <w:rFonts w:ascii="Times New Roman" w:hAnsi="Times New Roman" w:eastAsia="宋体"/>
      <w:kern w:val="0"/>
      <w:sz w:val="21"/>
    </w:rPr>
  </w:style>
  <w:style w:type="character" w:customStyle="1" w:styleId="97">
    <w:name w:val="font31"/>
    <w:basedOn w:val="28"/>
    <w:qFormat/>
    <w:uiPriority w:val="0"/>
    <w:rPr>
      <w:rFonts w:hint="default" w:ascii="Times New Roman" w:hAnsi="Times New Roman" w:cs="Times New Roman"/>
      <w:color w:val="000000"/>
      <w:sz w:val="21"/>
      <w:szCs w:val="21"/>
      <w:u w:val="none"/>
    </w:rPr>
  </w:style>
  <w:style w:type="character" w:customStyle="1" w:styleId="98">
    <w:name w:val="font21"/>
    <w:basedOn w:val="28"/>
    <w:qFormat/>
    <w:uiPriority w:val="0"/>
    <w:rPr>
      <w:rFonts w:hint="eastAsia" w:ascii="宋体" w:hAnsi="宋体" w:eastAsia="宋体" w:cs="宋体"/>
      <w:color w:val="000000"/>
      <w:sz w:val="21"/>
      <w:szCs w:val="21"/>
      <w:u w:val="none"/>
    </w:rPr>
  </w:style>
  <w:style w:type="paragraph" w:customStyle="1" w:styleId="99">
    <w:name w:val="表格题目新"/>
    <w:basedOn w:val="1"/>
    <w:qFormat/>
    <w:uiPriority w:val="0"/>
    <w:pPr>
      <w:autoSpaceDE w:val="0"/>
      <w:autoSpaceDN w:val="0"/>
      <w:spacing w:before="50" w:beforeLines="50" w:line="312" w:lineRule="auto"/>
      <w:ind w:firstLine="200"/>
      <w:jc w:val="center"/>
    </w:pPr>
    <w:rPr>
      <w:rFonts w:eastAsia="黑体" w:cs="宋体"/>
      <w:sz w:val="21"/>
    </w:rPr>
  </w:style>
  <w:style w:type="paragraph" w:customStyle="1" w:styleId="100">
    <w:name w:val="0"/>
    <w:basedOn w:val="1"/>
    <w:qFormat/>
    <w:uiPriority w:val="99"/>
    <w:pPr>
      <w:widowControl/>
      <w:snapToGrid w:val="0"/>
      <w:jc w:val="left"/>
    </w:pPr>
    <w:rPr>
      <w:rFonts w:ascii="宋体"/>
      <w:kern w:val="0"/>
      <w:sz w:val="20"/>
      <w:szCs w:val="20"/>
    </w:rPr>
  </w:style>
  <w:style w:type="paragraph" w:customStyle="1" w:styleId="101">
    <w:name w:val="正文(首行缩进)"/>
    <w:basedOn w:val="1"/>
    <w:next w:val="1"/>
    <w:qFormat/>
    <w:uiPriority w:val="0"/>
    <w:pPr>
      <w:adjustRightInd w:val="0"/>
      <w:spacing w:line="360" w:lineRule="auto"/>
      <w:ind w:firstLine="540" w:firstLineChars="225"/>
      <w:textAlignment w:val="baseline"/>
    </w:pPr>
    <w:rPr>
      <w:color w:val="000000"/>
      <w:kern w:val="0"/>
      <w:sz w:val="24"/>
    </w:rPr>
  </w:style>
  <w:style w:type="paragraph" w:customStyle="1" w:styleId="102">
    <w:name w:val="正文我"/>
    <w:qFormat/>
    <w:uiPriority w:val="0"/>
    <w:pPr>
      <w:widowControl w:val="0"/>
      <w:adjustRightInd w:val="0"/>
      <w:snapToGrid w:val="0"/>
      <w:spacing w:line="360" w:lineRule="auto"/>
      <w:ind w:firstLine="480" w:firstLineChars="200"/>
    </w:pPr>
    <w:rPr>
      <w:rFonts w:ascii="宋体" w:hAnsi="Times New Roman" w:eastAsia="仿宋_GB2312" w:cs="Times New Roman"/>
      <w:snapToGrid w:val="0"/>
      <w:color w:val="000000"/>
      <w:kern w:val="2"/>
      <w:sz w:val="24"/>
      <w:szCs w:val="24"/>
      <w:lang w:val="en-US" w:eastAsia="zh-CN" w:bidi="ar-SA"/>
    </w:rPr>
  </w:style>
  <w:style w:type="paragraph" w:customStyle="1" w:styleId="103">
    <w:name w:val="表头、图号"/>
    <w:basedOn w:val="1"/>
    <w:autoRedefine/>
    <w:qFormat/>
    <w:uiPriority w:val="0"/>
    <w:pPr>
      <w:jc w:val="center"/>
    </w:pPr>
    <w:rPr>
      <w:rFonts w:ascii="黑体" w:hAnsi="黑体" w:eastAsia="黑体"/>
      <w:b/>
      <w:szCs w:val="22"/>
    </w:rPr>
  </w:style>
  <w:style w:type="paragraph" w:customStyle="1" w:styleId="104">
    <w:name w:val="表"/>
    <w:basedOn w:val="1"/>
    <w:qFormat/>
    <w:uiPriority w:val="0"/>
    <w:pPr>
      <w:spacing w:line="240" w:lineRule="auto"/>
      <w:ind w:firstLine="0" w:firstLineChars="0"/>
      <w:jc w:val="center"/>
      <w:outlineLvl w:val="9"/>
    </w:pPr>
    <w:rPr>
      <w:kern w:val="0"/>
      <w:sz w:val="21"/>
      <w:szCs w:val="21"/>
    </w:rPr>
  </w:style>
  <w:style w:type="paragraph" w:customStyle="1" w:styleId="105">
    <w:name w:val="珍珍环评正文"/>
    <w:basedOn w:val="1"/>
    <w:qFormat/>
    <w:uiPriority w:val="0"/>
    <w:pPr>
      <w:adjustRightInd w:val="0"/>
      <w:snapToGrid w:val="0"/>
      <w:spacing w:line="360" w:lineRule="auto"/>
      <w:ind w:firstLine="200" w:firstLineChars="200"/>
    </w:pPr>
    <w:rPr>
      <w:rFonts w:ascii="华文仿宋" w:hAnsi="华文仿宋" w:eastAsia="宋体" w:cs="Times New Roman"/>
      <w:kern w:val="2"/>
      <w:sz w:val="24"/>
      <w:szCs w:val="24"/>
    </w:rPr>
  </w:style>
  <w:style w:type="paragraph" w:customStyle="1" w:styleId="106">
    <w:name w:val="Table Text"/>
    <w:basedOn w:val="1"/>
    <w:semiHidden/>
    <w:qFormat/>
    <w:uiPriority w:val="0"/>
    <w:rPr>
      <w:rFonts w:ascii="宋体" w:hAnsi="宋体" w:eastAsia="宋体" w:cs="宋体"/>
      <w:sz w:val="24"/>
      <w:szCs w:val="24"/>
      <w:lang w:val="en-US" w:eastAsia="en-US" w:bidi="ar-SA"/>
    </w:rPr>
  </w:style>
  <w:style w:type="paragraph" w:styleId="107">
    <w:name w:val="No Spacing"/>
    <w:basedOn w:val="1"/>
    <w:qFormat/>
    <w:uiPriority w:val="0"/>
    <w:rPr>
      <w:szCs w:val="21"/>
    </w:rPr>
  </w:style>
  <w:style w:type="paragraph" w:customStyle="1" w:styleId="108">
    <w:name w:val="0正文"/>
    <w:basedOn w:val="1"/>
    <w:qFormat/>
    <w:uiPriority w:val="0"/>
    <w:pPr>
      <w:adjustRightInd w:val="0"/>
      <w:snapToGrid w:val="0"/>
      <w:spacing w:line="360" w:lineRule="auto"/>
      <w:ind w:firstLine="200" w:firstLineChars="200"/>
    </w:pPr>
    <w:rPr>
      <w:color w:val="000000"/>
      <w:kern w:val="0"/>
      <w:sz w:val="24"/>
      <w:szCs w:val="20"/>
    </w:rPr>
  </w:style>
  <w:style w:type="paragraph" w:customStyle="1" w:styleId="109">
    <w:name w:val="表格标题"/>
    <w:basedOn w:val="1"/>
    <w:qFormat/>
    <w:uiPriority w:val="0"/>
    <w:pPr>
      <w:spacing w:before="120"/>
      <w:jc w:val="center"/>
    </w:pPr>
    <w:rPr>
      <w:rFonts w:ascii="Calibri" w:hAnsi="Calibri" w:eastAsia="仿宋_GB2312"/>
      <w:sz w:val="24"/>
      <w:szCs w:val="20"/>
    </w:rPr>
  </w:style>
  <w:style w:type="paragraph" w:customStyle="1" w:styleId="110">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character" w:customStyle="1" w:styleId="111">
    <w:name w:val="font41"/>
    <w:basedOn w:val="28"/>
    <w:qFormat/>
    <w:uiPriority w:val="0"/>
    <w:rPr>
      <w:rFonts w:ascii="Calibri" w:hAnsi="Calibri" w:cs="Calibri"/>
      <w:color w:val="000000"/>
      <w:sz w:val="24"/>
      <w:szCs w:val="24"/>
      <w:u w:val="none"/>
    </w:rPr>
  </w:style>
  <w:style w:type="character" w:customStyle="1" w:styleId="112">
    <w:name w:val="font51"/>
    <w:basedOn w:val="28"/>
    <w:qFormat/>
    <w:uiPriority w:val="0"/>
    <w:rPr>
      <w:rFonts w:ascii="宋体" w:hAnsi="宋体" w:eastAsia="宋体" w:cs="宋体"/>
      <w:color w:val="605040"/>
      <w:sz w:val="24"/>
      <w:szCs w:val="24"/>
      <w:u w:val="none"/>
    </w:rPr>
  </w:style>
  <w:style w:type="character" w:customStyle="1" w:styleId="113">
    <w:name w:val="font61"/>
    <w:basedOn w:val="28"/>
    <w:qFormat/>
    <w:uiPriority w:val="0"/>
    <w:rPr>
      <w:rFonts w:ascii="宋体" w:hAnsi="宋体" w:eastAsia="宋体" w:cs="宋体"/>
      <w:color w:val="505060"/>
      <w:sz w:val="24"/>
      <w:szCs w:val="24"/>
      <w:u w:val="none"/>
    </w:rPr>
  </w:style>
  <w:style w:type="character" w:customStyle="1" w:styleId="114">
    <w:name w:val="font71"/>
    <w:basedOn w:val="28"/>
    <w:qFormat/>
    <w:uiPriority w:val="0"/>
    <w:rPr>
      <w:rFonts w:ascii="宋体" w:hAnsi="宋体" w:eastAsia="宋体" w:cs="宋体"/>
      <w:color w:val="303040"/>
      <w:sz w:val="24"/>
      <w:szCs w:val="24"/>
      <w:u w:val="none"/>
    </w:rPr>
  </w:style>
  <w:style w:type="character" w:customStyle="1" w:styleId="115">
    <w:name w:val="font81"/>
    <w:basedOn w:val="28"/>
    <w:qFormat/>
    <w:uiPriority w:val="0"/>
    <w:rPr>
      <w:rFonts w:ascii="宋体" w:hAnsi="宋体" w:eastAsia="宋体" w:cs="宋体"/>
      <w:color w:val="000000"/>
      <w:sz w:val="24"/>
      <w:szCs w:val="24"/>
      <w:u w:val="none"/>
    </w:rPr>
  </w:style>
  <w:style w:type="character" w:customStyle="1" w:styleId="116">
    <w:name w:val="font91"/>
    <w:basedOn w:val="28"/>
    <w:qFormat/>
    <w:uiPriority w:val="0"/>
    <w:rPr>
      <w:rFonts w:ascii="宋体" w:hAnsi="宋体" w:eastAsia="宋体" w:cs="宋体"/>
      <w:color w:val="20505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fbdea09b-2a96-46db-8822-7e72e62fdcc2</errorID>
      <errorWord>&lt;</errorWord>
      <group>L1_Format</group>
      <groupName>格式问题</groupName>
      <ability>L2_HalfPunc_CN</ability>
      <abilityName>全半角问题</abilityName>
      <candidateList>
        <item>〈</item>
      </candidateList>
      <explain>文本全半角错误。</explain>
      <paraID>4D0E8224</paraID>
      <start>9</start>
      <end>10</end>
      <status>unmodified</status>
      <modifiedWord/>
      <trackRevisions>false</trackRevisions>
    </reviewItem>
    <reviewItem>
      <errorID>7714b3bf-7830-4499-9f1a-c248cf22a52e</errorID>
      <errorWord>&gt;</errorWord>
      <group>L1_Format</group>
      <groupName>格式问题</groupName>
      <ability>L2_HalfPunc_CN</ability>
      <abilityName>全半角问题</abilityName>
      <candidateList>
        <item>〉</item>
      </candidateList>
      <explain>文本全半角错误。</explain>
      <paraID>4D0E8224</paraID>
      <start>25</start>
      <end>26</end>
      <status>unmodified</status>
      <modifiedWord/>
      <trackRevisions>false</trackRevisions>
    </reviewItem>
    <reviewItem>
      <errorID>2d350cc6-9f8d-42f3-831b-be9bc9c0c488</errorID>
      <errorWord>&lt;</errorWord>
      <group>L1_Format</group>
      <groupName>格式问题</groupName>
      <ability>L2_HalfPunc_CN</ability>
      <abilityName>全半角问题</abilityName>
      <candidateList>
        <item>〈</item>
      </candidateList>
      <explain>文本全半角错误。</explain>
      <paraID>24185543</paraID>
      <start>23</start>
      <end>24</end>
      <status>unmodified</status>
      <modifiedWord/>
      <trackRevisions>false</trackRevisions>
    </reviewItem>
    <reviewItem>
      <errorID>73a50c04-cab0-4aba-9c0a-f890143f06c7</errorID>
      <errorWord>&gt;</errorWord>
      <group>L1_Format</group>
      <groupName>格式问题</groupName>
      <ability>L2_HalfPunc_CN</ability>
      <abilityName>全半角问题</abilityName>
      <candidateList>
        <item>〉</item>
      </candidateList>
      <explain>文本全半角错误。</explain>
      <paraID>24185543</paraID>
      <start>42</start>
      <end>43</end>
      <status>unmodified</status>
      <modifiedWord/>
      <trackRevisions>false</trackRevisions>
    </reviewItem>
    <reviewItem>
      <errorID>9efcd76f-cf6c-4b98-be67-6a611b9cb0ef</errorID>
      <errorWord>&lt;</errorWord>
      <group>L1_Format</group>
      <groupName>格式问题</groupName>
      <ability>L2_HalfPunc_CN</ability>
      <abilityName>全半角问题</abilityName>
      <candidateList>
        <item>〈</item>
      </candidateList>
      <explain>文本全半角错误。</explain>
      <paraID> 8ACC48E</paraID>
      <start>24</start>
      <end>25</end>
      <status>unmodified</status>
      <modifiedWord/>
      <trackRevisions>false</trackRevisions>
    </reviewItem>
    <reviewItem>
      <errorID>83c16c7f-0ae5-47cf-ae94-a96a572cb42f</errorID>
      <errorWord>&gt;的通知》</errorWord>
      <group>L1_Punc</group>
      <groupName>标点问题</groupName>
      <ability>L2_Punc_CN</ability>
      <abilityName>标点符号问题</abilityName>
      <candidateList>
        <item>〉的通知》</item>
      </candidateList>
      <explain/>
      <paraID> 8ACC48E</paraID>
      <start>38</start>
      <end>43</end>
      <status>unmodified</status>
      <modifiedWord/>
      <trackRevisions>false</trackRevisions>
    </reviewItem>
    <reviewItem>
      <errorID>2ef89784-8c8c-468c-8041-1ef93b64f255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7B9D8DB0</paraID>
      <start>0</start>
      <end>2</end>
      <status>unmodified</status>
      <modifiedWord/>
      <trackRevisions>false</trackRevisions>
    </reviewItem>
    <reviewItem>
      <errorID>b60e7273-0aa9-42b4-aec9-b5f915da27fb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2A4AA363</paraID>
      <start>0</start>
      <end>2</end>
      <status>unmodified</status>
      <modifiedWord/>
      <trackRevisions>false</trackRevisions>
    </reviewItem>
    <reviewItem>
      <errorID>946bdbba-5a7d-4d74-84c5-d764636048f7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550B4587</paraID>
      <start>0</start>
      <end>2</end>
      <status>unmodified</status>
      <modifiedWord/>
      <trackRevisions>false</trackRevisions>
    </reviewItem>
    <reviewItem>
      <errorID>a862f2ce-36f3-4c14-b4a7-8563076acc88</errorID>
      <errorWord>地子</errorWord>
      <group>L1_Word</group>
      <groupName>字词问题</groupName>
      <ability>L2_Typo</ability>
      <abilityName>字词错误</abilityName>
      <candidateList>
        <item>号子</item>
      </candidateList>
      <explain/>
      <paraID> D219B69</paraID>
      <start>73</start>
      <end>75</end>
      <status>unmodified</status>
      <modifiedWord/>
      <trackRevisions>false</trackRevisions>
    </reviewItem>
    <reviewItem>
      <errorID>75d09a46-5515-447a-99db-71e21756cc5f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1EDC1256</paraID>
      <start>0</start>
      <end>2</end>
      <status>unmodified</status>
      <modifiedWord/>
      <trackRevisions>false</trackRevisions>
    </reviewItem>
    <reviewItem>
      <errorID>97334178-844e-46fd-a36d-a5214e440886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B48D104</paraID>
      <start>0</start>
      <end>2</end>
      <status>unmodified</status>
      <modifiedWord/>
      <trackRevisions>false</trackRevisions>
    </reviewItem>
    <reviewItem>
      <errorID>11b85779-085f-4faf-a2bc-783ea61e6304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43CB6A20</paraID>
      <start>0</start>
      <end>2</end>
      <status>unmodified</status>
      <modifiedWord/>
      <trackRevisions>false</trackRevisions>
    </reviewItem>
    <reviewItem>
      <errorID>6711676d-4f6e-4ab5-96c4-501242bb3b18</errorID>
      <errorWord>》</errorWord>
      <group>L1_Word</group>
      <groupName>字词问题</groupName>
      <ability>L2_Typo</ability>
      <abilityName>字词错误</abilityName>
      <candidateList>
        <item>》和</item>
      </candidateList>
      <explain/>
      <paraID>43CB6A20</paraID>
      <start>45</start>
      <end>46</end>
      <status>unmodified</status>
      <modifiedWord/>
      <trackRevisions>false</trackRevisions>
    </reviewItem>
    <reviewItem>
      <errorID>5411d3f8-f6cf-4f3a-9707-0c9db3c67926</errorID>
      <errorWord>》</errorWord>
      <group>L1_Word</group>
      <groupName>字词问题</groupName>
      <ability>L2_Typo</ability>
      <abilityName>字词错误</abilityName>
      <candidateList>
        <item>》等</item>
      </candidateList>
      <explain/>
      <paraID>43CB6A20</paraID>
      <start>83</start>
      <end>84</end>
      <status>unmodified</status>
      <modifiedWord/>
      <trackRevisions>false</trackRevisions>
    </reviewItem>
    <reviewItem>
      <errorID>244cd167-b278-479c-85e0-bab3107fd4b5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3E49116A</paraID>
      <start>0</start>
      <end>2</end>
      <status>unmodified</status>
      <modifiedWord/>
      <trackRevisions>false</trackRevisions>
    </reviewItem>
    <reviewItem>
      <errorID>f28339e1-b5fb-4f28-9a6b-2f07fcc5189e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79677861</paraID>
      <start>0</start>
      <end>2</end>
      <status>unmodified</status>
      <modifiedWord/>
      <trackRevisions>false</trackRevisions>
    </reviewItem>
    <reviewItem>
      <errorID>60b52073-66d4-46e2-bf80-395b99024fd5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3EBCD24F</paraID>
      <start>0</start>
      <end>2</end>
      <status>unmodified</status>
      <modifiedWord/>
      <trackRevisions>false</trackRevisions>
    </reviewItem>
    <reviewItem>
      <errorID>88b44253-58a6-4888-a7e1-59bb0b93a087</errorID>
      <errorWord>（</errorWord>
      <group>L1_Format</group>
      <groupName>格式问题</groupName>
      <ability>L2_HalfPunc_CN</ability>
      <abilityName>全半角问题</abilityName>
      <candidateList>
        <item>(</item>
      </candidateList>
      <explain>文本全半角错误。</explain>
      <paraID>1E6D6089</paraID>
      <start>0</start>
      <end>1</end>
      <status>unmodified</status>
      <modifiedWord/>
      <trackRevisions>false</trackRevisions>
    </reviewItem>
    <reviewItem>
      <errorID>84c6630d-b580-480e-9b13-33f0d36f1eae</errorID>
      <errorWord>）。</errorWord>
      <group>L1_Format</group>
      <groupName>格式问题</groupName>
      <ability>L2_HalfPunc_CN</ability>
      <abilityName>全半角问题</abilityName>
      <candidateList>
        <item>).</item>
      </candidateList>
      <explain>文本全半角错误。</explain>
      <paraID>1E6D6089</paraID>
      <start>13</start>
      <end>15</end>
      <status>unmodified</status>
      <modifiedWord/>
      <trackRevisions>false</trackRevisions>
    </reviewItem>
    <reviewItem>
      <errorID>3a941704-193b-4314-ba8d-5ecf73a87bf6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342625FD</paraID>
      <start>0</start>
      <end>2</end>
      <status>unmodified</status>
      <modifiedWord/>
      <trackRevisions>false</trackRevisions>
    </reviewItem>
    <reviewItem>
      <errorID>c69f87ce-3c79-42d4-8207-3d55f591f68f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56F52CEE</paraID>
      <start>0</start>
      <end>2</end>
      <status>unmodified</status>
      <modifiedWord/>
      <trackRevisions>false</trackRevisions>
    </reviewItem>
    <reviewItem>
      <errorID>6c81d7a8-7427-421b-9fc6-daec60e5c061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6F8BC2A4</paraID>
      <start>0</start>
      <end>2</end>
      <status>unmodified</status>
      <modifiedWord/>
      <trackRevisions>false</trackRevisions>
    </reviewItem>
    <reviewItem>
      <errorID>6c5cec29-ba0b-47c0-8f1a-a3b89fb47d68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65D35255</paraID>
      <start>0</start>
      <end>2</end>
      <status>unmodified</status>
      <modifiedWord/>
      <trackRevisions>false</trackRevisions>
    </reviewItem>
    <reviewItem>
      <errorID>8489534f-99e9-4f22-a5c8-a398a658a454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383D5F08</paraID>
      <start>0</start>
      <end>2</end>
      <status>unmodified</status>
      <modifiedWord/>
      <trackRevisions>false</trackRevisions>
    </reviewItem>
    <reviewItem>
      <errorID>acfcbe37-294c-4546-88ea-d5d1e9fc9176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28B6E298</paraID>
      <start>0</start>
      <end>2</end>
      <status>unmodified</status>
      <modifiedWord/>
      <trackRevisions>false</trackRevisions>
    </reviewItem>
    <reviewItem>
      <errorID>d8c3c516-d4d6-474b-b4a2-5f2a8aa4a1e8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25AE4E5</paraID>
      <start>0</start>
      <end>2</end>
      <status>unmodified</status>
      <modifiedWord/>
      <trackRevisions>false</trackRevisions>
    </reviewItem>
    <reviewItem>
      <errorID>2dbf828e-e029-42be-b7ac-96127d4537c6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1CC8639B</paraID>
      <start>0</start>
      <end>2</end>
      <status>unmodified</status>
      <modifiedWord/>
      <trackRevisions>false</trackRevisions>
    </reviewItem>
    <reviewItem>
      <errorID>e31afe62-fd14-4614-b7ff-aae147616634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48666AD2</paraID>
      <start>0</start>
      <end>2</end>
      <status>unmodified</status>
      <modifiedWord/>
      <trackRevisions>false</trackRevisions>
    </reviewItem>
    <reviewItem>
      <errorID>c5911914-9728-4184-86c0-0f6e08ea40e1</errorID>
      <errorWord>充分自用</errorWord>
      <group>L1_Word</group>
      <groupName>字词问题</groupName>
      <ability>L2_Typo</ability>
      <abilityName>字词错误</abilityName>
      <candidateList>
        <item>充分利用</item>
      </candidateList>
      <explain/>
      <paraID>48666AD2</paraID>
      <start>12</start>
      <end>16</end>
      <status>unmodified</status>
      <modifiedWord/>
      <trackRevisions>false</trackRevisions>
    </reviewItem>
    <reviewItem>
      <errorID>b1eef996-81bd-458a-9bdf-f0a8e47be482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AE8FA70</paraID>
      <start>0</start>
      <end>2</end>
      <status>unmodified</status>
      <modifiedWord/>
      <trackRevisions>false</trackRevisions>
    </reviewItem>
    <reviewItem>
      <errorID>722a4c23-30ce-4ea0-a5d7-ab1044420442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7F56068B</paraID>
      <start>0</start>
      <end>2</end>
      <status>unmodified</status>
      <modifiedWord/>
      <trackRevisions>false</trackRevisions>
    </reviewItem>
    <reviewItem>
      <errorID>ca972f31-0354-4e93-bf34-0a1744dde48f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4BDD875E</paraID>
      <start>0</start>
      <end>2</end>
      <status>unmodified</status>
      <modifiedWord/>
      <trackRevisions>false</trackRevisions>
    </reviewItem>
    <reviewItem>
      <errorID>71f22cf8-06e4-4c7f-8340-2ad98c618a28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588597BA</paraID>
      <start>0</start>
      <end>2</end>
      <status>unmodified</status>
      <modifiedWord/>
      <trackRevisions>false</trackRevisions>
    </reviewItem>
    <reviewItem>
      <errorID>51a5bd0c-3e7d-42bd-8459-749452b77039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79884024</paraID>
      <start>0</start>
      <end>2</end>
      <status>unmodified</status>
      <modifiedWord/>
      <trackRevisions>false</trackRevisions>
    </reviewItem>
    <reviewItem>
      <errorID>06afdd76-71ae-4c39-9f79-707c4c2492f6</errorID>
      <errorWord>&lt;</errorWord>
      <group>L1_Format</group>
      <groupName>格式问题</groupName>
      <ability>L2_HalfPunc_CN</ability>
      <abilityName>全半角问题</abilityName>
      <candidateList>
        <item>〈</item>
      </candidateList>
      <explain>文本全半角错误。</explain>
      <paraID>417E43E7</paraID>
      <start>9</start>
      <end>10</end>
      <status>unmodified</status>
      <modifiedWord/>
      <trackRevisions>false</trackRevisions>
    </reviewItem>
    <reviewItem>
      <errorID>97583390-9950-4b4b-9ec0-d98812720252</errorID>
      <errorWord>&gt;的通知》</errorWord>
      <group>L1_Punc</group>
      <groupName>标点问题</groupName>
      <ability>L2_Punc_CN</ability>
      <abilityName>标点符号问题</abilityName>
      <candidateList>
        <item>〉的通知》</item>
      </candidateList>
      <explain/>
      <paraID>417E43E7</paraID>
      <start>28</start>
      <end>33</end>
      <status>unmodified</status>
      <modifiedWord/>
      <trackRevisions>false</trackRevisions>
    </reviewItem>
    <reviewItem>
      <errorID>c5231cc1-4133-4c0d-9de5-10eefaec12a1</errorID>
      <errorWord>&lt;</errorWord>
      <group>L1_Format</group>
      <groupName>格式问题</groupName>
      <ability>L2_HalfPunc_CN</ability>
      <abilityName>全半角问题</abilityName>
      <candidateList>
        <item>〈</item>
      </candidateList>
      <explain>文本全半角错误。</explain>
      <paraID>417E43E7</paraID>
      <start>69</start>
      <end>70</end>
      <status>unmodified</status>
      <modifiedWord/>
      <trackRevisions>false</trackRevisions>
    </reviewItem>
    <reviewItem>
      <errorID>7d40fddf-d790-49e5-b61f-8eae6bbbafa7</errorID>
      <errorWord>&gt;</errorWord>
      <group>L1_Format</group>
      <groupName>格式问题</groupName>
      <ability>L2_HalfPunc_CN</ability>
      <abilityName>全半角问题</abilityName>
      <candidateList>
        <item>〉</item>
      </candidateList>
      <explain>文本全半角错误。</explain>
      <paraID>417E43E7</paraID>
      <start>88</start>
      <end>89</end>
      <status>unmodified</status>
      <modifiedWord/>
      <trackRevisions>false</trackRevisions>
    </reviewItem>
    <reviewItem>
      <errorID>7ed0ffbd-73df-4ffa-aa9e-93efaa6bd11a</errorID>
      <errorWord>地子</errorWord>
      <group>L1_Word</group>
      <groupName>字词问题</groupName>
      <ability>L2_Typo</ability>
      <abilityName>字词错误</abilityName>
      <candidateList>
        <item>号子</item>
      </candidateList>
      <explain/>
      <paraID>286290CE</paraID>
      <start>11</start>
      <end>13</end>
      <status>unmodified</status>
      <modifiedWord/>
      <trackRevisions>false</trackRevisions>
    </reviewItem>
    <reviewItem>
      <errorID>df3489db-ba83-4cd3-93d4-87a514731e76</errorID>
      <errorWord>地子</errorWord>
      <group>L1_Word</group>
      <groupName>字词问题</groupName>
      <ability>L2_Typo</ability>
      <abilityName>字词错误</abilityName>
      <candidateList>
        <item>号子</item>
      </candidateList>
      <explain/>
      <paraID>4947D370</paraID>
      <start>11</start>
      <end>13</end>
      <status>unmodified</status>
      <modifiedWord/>
      <trackRevisions>false</trackRevisions>
    </reviewItem>
    <reviewItem>
      <errorID>54460b75-2bed-4617-9771-f448e010b349</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25B9F340</paraID>
      <start>109</start>
      <end>111</end>
      <status>unmodified</status>
      <modifiedWord/>
      <trackRevisions>false</trackRevisions>
    </reviewItem>
    <reviewItem>
      <errorID>4d02b4d0-2513-4c11-ad45-d1f2945c2347</errorID>
      <errorWord>&lt;</errorWord>
      <group>L1_Format</group>
      <groupName>格式问题</groupName>
      <ability>L2_HalfPunc_CN</ability>
      <abilityName>全半角问题</abilityName>
      <candidateList>
        <item>〈</item>
      </candidateList>
      <explain>文本全半角错误。</explain>
      <paraID>768013A2</paraID>
      <start>33</start>
      <end>34</end>
      <status>unmodified</status>
      <modifiedWord/>
      <trackRevisions>false</trackRevisions>
    </reviewItem>
    <reviewItem>
      <errorID>1c832663-1e88-4cf1-8f34-1e9f753d3d6c</errorID>
      <errorWord>&gt;</errorWord>
      <group>L1_Format</group>
      <groupName>格式问题</groupName>
      <ability>L2_HalfPunc_CN</ability>
      <abilityName>全半角问题</abilityName>
      <candidateList>
        <item>〉</item>
      </candidateList>
      <explain>文本全半角错误。</explain>
      <paraID>768013A2</paraID>
      <start>50</start>
      <end>51</end>
      <status>unmodified</status>
      <modifiedWord/>
      <trackRevisions>false</trackRevisions>
    </reviewItem>
    <reviewItem>
      <errorID>6068869b-8f56-4f7d-9130-7f4690835d02</errorID>
      <errorWord>开挖灭火</errorWord>
      <group>L1_Word</group>
      <groupName>字词问题</groupName>
      <ability>L2_Typo</ability>
      <abilityName>字词错误</abilityName>
      <candidateList>
        <item>开挖防火</item>
      </candidateList>
      <explain/>
      <paraID>6C6E6901</paraID>
      <start>197</start>
      <end>201</end>
      <status>unmodified</status>
      <modifiedWord/>
      <trackRevisions>false</trackRevisions>
    </reviewItem>
    <reviewItem>
      <errorID>b0bfc509-c5ce-47f5-864c-e77b20bca9a8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52738DAE</paraID>
      <start>30</start>
      <end>31</end>
      <status>unmodified</status>
      <modifiedWord/>
      <trackRevisions>false</trackRevisions>
    </reviewItem>
    <reviewItem>
      <errorID>1881ea16-2f5d-4874-bd18-97e224951934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52738DAE</paraID>
      <start>69</start>
      <end>70</end>
      <status>unmodified</status>
      <modifiedWord/>
      <trackRevisions>false</trackRevisions>
    </reviewItem>
    <reviewItem>
      <errorID>e0fb369a-6bee-48b0-b05e-718164d4a02c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7FC3136C</paraID>
      <start>0</start>
      <end>2</end>
      <status>unmodified</status>
      <modifiedWord/>
      <trackRevisions>false</trackRevisions>
    </reviewItem>
    <reviewItem>
      <errorID>418ba6f7-75d5-487b-92f7-f5dfd83d8b6f</errorID>
      <errorWord>&lt;</errorWord>
      <group>L1_Format</group>
      <groupName>格式问题</groupName>
      <ability>L2_HalfPunc_CN</ability>
      <abilityName>全半角问题</abilityName>
      <candidateList>
        <item>〈</item>
      </candidateList>
      <explain>文本全半角错误。</explain>
      <paraID>36639A78</paraID>
      <start>24</start>
      <end>25</end>
      <status>unmodified</status>
      <modifiedWord/>
      <trackRevisions>false</trackRevisions>
    </reviewItem>
    <reviewItem>
      <errorID>ffb38c51-b694-49be-8183-bac0a2fcd456</errorID>
      <errorWord>&gt;的通知》</errorWord>
      <group>L1_Punc</group>
      <groupName>标点问题</groupName>
      <ability>L2_Punc_CN</ability>
      <abilityName>标点符号问题</abilityName>
      <candidateList>
        <item>〉的通知》</item>
      </candidateList>
      <explain/>
      <paraID>36639A78</paraID>
      <start>38</start>
      <end>43</end>
      <status>unmodified</status>
      <modifiedWord/>
      <trackRevisions>false</trackRevisions>
    </reviewItem>
    <reviewItem>
      <errorID>12a13e13-bd8a-4d8b-bc82-af27350e1169</errorID>
      <errorWord>地子</errorWord>
      <group>L1_Word</group>
      <groupName>字词问题</groupName>
      <ability>L2_Typo</ability>
      <abilityName>字词错误</abilityName>
      <candidateList>
        <item>号子</item>
      </candidateList>
      <explain/>
      <paraID>4D013DB7</paraID>
      <start>11</start>
      <end>13</end>
      <status>unmodified</status>
      <modifiedWord/>
      <trackRevisions>false</trackRevisions>
    </reviewItem>
    <reviewItem>
      <errorID>bb8c2ae5-8f8b-456d-81d6-2532e1c55b88</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6A2BF7A5</paraID>
      <start>151</start>
      <end>153</end>
      <status>unmodified</status>
      <modifiedWord/>
      <trackRevisions>false</trackRevisions>
    </reviewItem>
    <reviewItem>
      <errorID>eb425c2e-f968-4444-9e82-e6d049a0d500</errorID>
      <errorWord>&lt;</errorWord>
      <group>L1_Format</group>
      <groupName>格式问题</groupName>
      <ability>L2_HalfPunc_CN</ability>
      <abilityName>全半角问题</abilityName>
      <candidateList>
        <item>〈</item>
      </candidateList>
      <explain>文本全半角错误。</explain>
      <paraID>536C1C83</paraID>
      <start>33</start>
      <end>34</end>
      <status>unmodified</status>
      <modifiedWord/>
      <trackRevisions>false</trackRevisions>
    </reviewItem>
    <reviewItem>
      <errorID>f0c4fadb-708a-4495-8f4b-38695bd254d0</errorID>
      <errorWord>&gt;</errorWord>
      <group>L1_Format</group>
      <groupName>格式问题</groupName>
      <ability>L2_HalfPunc_CN</ability>
      <abilityName>全半角问题</abilityName>
      <candidateList>
        <item>〉</item>
      </candidateList>
      <explain>文本全半角错误。</explain>
      <paraID>536C1C83</paraID>
      <start>50</start>
      <end>51</end>
      <status>unmodified</status>
      <modifiedWord/>
      <trackRevisions>false</trackRevisions>
    </reviewItem>
    <reviewItem>
      <errorID>eb06843f-28c6-4146-9112-8c50d29ab3a2</errorID>
      <errorWord>开挖灭火</errorWord>
      <group>L1_Word</group>
      <groupName>字词问题</groupName>
      <ability>L2_Typo</ability>
      <abilityName>字词错误</abilityName>
      <candidateList>
        <item>开挖防火</item>
      </candidateList>
      <explain/>
      <paraID>5108685C</paraID>
      <start>78</start>
      <end>82</end>
      <status>unmodified</status>
      <modifiedWord/>
      <trackRevisions>false</trackRevisions>
    </reviewItem>
    <reviewItem>
      <errorID>b748ad2d-3c1f-49f3-8008-1219a54c7e39</errorID>
      <errorWord>开挖灭火</errorWord>
      <group>L1_Word</group>
      <groupName>字词问题</groupName>
      <ability>L2_Typo</ability>
      <abilityName>字词错误</abilityName>
      <candidateList>
        <item>开挖防火</item>
      </candidateList>
      <explain/>
      <paraID>5108685C</paraID>
      <start>266</start>
      <end>270</end>
      <status>unmodified</status>
      <modifiedWord/>
      <trackRevisions>false</trackRevisions>
    </reviewItem>
    <reviewItem>
      <errorID>47130feb-9673-4d15-912c-5aff916e7fd9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CCFDAD1</paraID>
      <start>30</start>
      <end>31</end>
      <status>unmodified</status>
      <modifiedWord/>
      <trackRevisions>false</trackRevisions>
    </reviewItem>
    <reviewItem>
      <errorID>6d333eab-0f0b-456a-b1b4-e105115f83c2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CCFDAD1</paraID>
      <start>69</start>
      <end>70</end>
      <status>unmodified</status>
      <modifiedWord/>
      <trackRevisions>false</trackRevisions>
    </reviewItem>
    <reviewItem>
      <errorID>2e3911b9-e77d-49e3-aa01-d74822b2e9f8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1CB9288C</paraID>
      <start>0</start>
      <end>2</end>
      <status>unmodified</status>
      <modifiedWord/>
      <trackRevisions>false</trackRevisions>
    </reviewItem>
    <reviewItem>
      <errorID>2822f968-96ea-4936-b140-711691557a10</errorID>
      <errorWord>&lt;</errorWord>
      <group>L1_Format</group>
      <groupName>格式问题</groupName>
      <ability>L2_HalfPunc_CN</ability>
      <abilityName>全半角问题</abilityName>
      <candidateList>
        <item>〈</item>
      </candidateList>
      <explain>文本全半角错误。</explain>
      <paraID>4EA053E3</paraID>
      <start>25</start>
      <end>26</end>
      <status>unmodified</status>
      <modifiedWord/>
      <trackRevisions>false</trackRevisions>
    </reviewItem>
    <reviewItem>
      <errorID>9c133388-5ccd-40fd-9f00-ead856104ce8</errorID>
      <errorWord>&gt;的通知》</errorWord>
      <group>L1_Punc</group>
      <groupName>标点问题</groupName>
      <ability>L2_Punc_CN</ability>
      <abilityName>标点符号问题</abilityName>
      <candidateList>
        <item>〉的通知》</item>
      </candidateList>
      <explain/>
      <paraID>4EA053E3</paraID>
      <start>42</start>
      <end>47</end>
      <status>unmodified</status>
      <modifiedWord/>
      <trackRevisions>false</trackRevisions>
    </reviewItem>
    <reviewItem>
      <errorID>b4c71072-0c4f-43ec-b170-893fb040c360</errorID>
      <errorWord>&lt;</errorWord>
      <group>L1_Format</group>
      <groupName>格式问题</groupName>
      <ability>L2_HalfPunc_CN</ability>
      <abilityName>全半角问题</abilityName>
      <candidateList>
        <item>〈</item>
      </candidateList>
      <explain>文本全半角错误。</explain>
      <paraID>4A53187C</paraID>
      <start>33</start>
      <end>34</end>
      <status>unmodified</status>
      <modifiedWord/>
      <trackRevisions>false</trackRevisions>
    </reviewItem>
    <reviewItem>
      <errorID>0a359f14-583e-407e-bd51-8ab1913af31c</errorID>
      <errorWord>&gt;</errorWord>
      <group>L1_Format</group>
      <groupName>格式问题</groupName>
      <ability>L2_HalfPunc_CN</ability>
      <abilityName>全半角问题</abilityName>
      <candidateList>
        <item>〉</item>
      </candidateList>
      <explain>文本全半角错误。</explain>
      <paraID>4A53187C</paraID>
      <start>50</start>
      <end>51</end>
      <status>unmodified</status>
      <modifiedWord/>
      <trackRevisions>false</trackRevisions>
    </reviewItem>
    <reviewItem>
      <errorID>724b344e-ef63-4ffb-89ab-54c87cb94710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5F675CD6</paraID>
      <start>0</start>
      <end>2</end>
      <status>unmodified</status>
      <modifiedWord/>
      <trackRevisions>false</trackRevisions>
    </reviewItem>
    <reviewItem>
      <errorID>636a2551-67e1-4958-83ea-2f7e0e65d968</errorID>
      <errorWord>&lt;</errorWord>
      <group>L1_Format</group>
      <groupName>格式问题</groupName>
      <ability>L2_HalfPunc_CN</ability>
      <abilityName>全半角问题</abilityName>
      <candidateList>
        <item>〈</item>
      </candidateList>
      <explain>文本全半角错误。</explain>
      <paraID>6A5194AD</paraID>
      <start>27</start>
      <end>28</end>
      <status>unmodified</status>
      <modifiedWord/>
      <trackRevisions>false</trackRevisions>
    </reviewItem>
    <reviewItem>
      <errorID>6b1ddd82-a094-400f-bd4e-4a9316a80f19</errorID>
      <errorWord>&gt;的通知》</errorWord>
      <group>L1_Punc</group>
      <groupName>标点问题</groupName>
      <ability>L2_Punc_CN</ability>
      <abilityName>标点符号问题</abilityName>
      <candidateList>
        <item>〉的通知》</item>
      </candidateList>
      <explain/>
      <paraID>6A5194AD</paraID>
      <start>41</start>
      <end>46</end>
      <status>unmodified</status>
      <modifiedWord/>
      <trackRevisions>false</trackRevisions>
    </reviewItem>
    <reviewItem>
      <errorID>cc0167f4-583b-450e-9eda-e787ddd105b5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118E4AC9</paraID>
      <start>0</start>
      <end>2</end>
      <status>unmodified</status>
      <modifiedWord/>
      <trackRevisions>false</trackRevisions>
    </reviewItem>
    <reviewItem>
      <errorID>0b93c9fd-d039-44b0-ae4b-b73b13b7e032</errorID>
      <errorWord>地子</errorWord>
      <group>L1_Word</group>
      <groupName>字词问题</groupName>
      <ability>L2_Typo</ability>
      <abilityName>字词错误</abilityName>
      <candidateList>
        <item>号子</item>
      </candidateList>
      <explain/>
      <paraID>3F1CB2D9</paraID>
      <start>11</start>
      <end>13</end>
      <status>unmodified</status>
      <modifiedWord/>
      <trackRevisions>false</trackRevisions>
    </reviewItem>
    <reviewItem>
      <errorID>1d75dc0e-1dde-4c47-a56d-6ae3aadf1502</errorID>
      <errorWord>地子</errorWord>
      <group>L1_Word</group>
      <groupName>字词问题</groupName>
      <ability>L2_Typo</ability>
      <abilityName>字词错误</abilityName>
      <candidateList>
        <item>号子</item>
      </candidateList>
      <explain/>
      <paraID>3F1CB2D9</paraID>
      <start>127</start>
      <end>129</end>
      <status>unmodified</status>
      <modifiedWord/>
      <trackRevisions>false</trackRevisions>
    </reviewItem>
    <reviewItem>
      <errorID>f63da834-41ff-43c4-a478-6bcc2c02786c</errorID>
      <errorWord>地子</errorWord>
      <group>L1_Word</group>
      <groupName>字词问题</groupName>
      <ability>L2_Typo</ability>
      <abilityName>字词错误</abilityName>
      <candidateList>
        <item>号子</item>
      </candidateList>
      <explain/>
      <paraID>501C60F1</paraID>
      <start>96</start>
      <end>98</end>
      <status>unmodified</status>
      <modifiedWord/>
      <trackRevisions>false</trackRevisions>
    </reviewItem>
    <reviewItem>
      <errorID>3ce34859-6f84-4184-af70-087cce905ae4</errorID>
      <errorWord>地子</errorWord>
      <group>L1_Word</group>
      <groupName>字词问题</groupName>
      <ability>L2_Typo</ability>
      <abilityName>字词错误</abilityName>
      <candidateList>
        <item>号子</item>
      </candidateList>
      <explain/>
      <paraID>52BEAB87</paraID>
      <start>48</start>
      <end>50</end>
      <status>unmodified</status>
      <modifiedWord/>
      <trackRevisions>false</trackRevisions>
    </reviewItem>
    <reviewItem>
      <errorID>c492304d-f683-4a24-b8c6-4ebe1daa39f5</errorID>
      <errorWord>地子</errorWord>
      <group>L1_Word</group>
      <groupName>字词问题</groupName>
      <ability>L2_Typo</ability>
      <abilityName>字词错误</abilityName>
      <candidateList>
        <item>号子</item>
      </candidateList>
      <explain/>
      <paraID>29D9294A</paraID>
      <start>32</start>
      <end>34</end>
      <status>unmodified</status>
      <modifiedWord/>
      <trackRevisions>false</trackRevisions>
    </reviewItem>
    <reviewItem>
      <errorID>bd146df7-5d6f-414b-b30c-1516de74b969</errorID>
      <errorWord>地子</errorWord>
      <group>L1_Word</group>
      <groupName>字词问题</groupName>
      <ability>L2_Typo</ability>
      <abilityName>字词错误</abilityName>
      <candidateList>
        <item>号子</item>
      </candidateList>
      <explain/>
      <paraID>3DF8592C</paraID>
      <start>117</start>
      <end>119</end>
      <status>unmodified</status>
      <modifiedWord/>
      <trackRevisions>false</trackRevisions>
    </reviewItem>
    <reviewItem>
      <errorID>e46ecc20-8cb8-4140-b745-75be6b71e375</errorID>
      <errorWord>地子</errorWord>
      <group>L1_Word</group>
      <groupName>字词问题</groupName>
      <ability>L2_Typo</ability>
      <abilityName>字词错误</abilityName>
      <candidateList>
        <item>号子</item>
      </candidateList>
      <explain/>
      <paraID>3D129E16</paraID>
      <start>50</start>
      <end>52</end>
      <status>unmodified</status>
      <modifiedWord/>
      <trackRevisions>false</trackRevisions>
    </reviewItem>
    <reviewItem>
      <errorID>8d9fe0d7-dd09-40bd-a7c5-9b8b322543e6</errorID>
      <errorWord>地子</errorWord>
      <group>L1_Word</group>
      <groupName>字词问题</groupName>
      <ability>L2_Typo</ability>
      <abilityName>字词错误</abilityName>
      <candidateList>
        <item>号子</item>
      </candidateList>
      <explain/>
      <paraID>73DA79D2</paraID>
      <start>30</start>
      <end>32</end>
      <status>unmodified</status>
      <modifiedWord/>
      <trackRevisions>false</trackRevisions>
    </reviewItem>
    <reviewItem>
      <errorID>026a9a0c-01a9-4949-b311-e821a108593f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376D316D</paraID>
      <start>0</start>
      <end>2</end>
      <status>unmodified</status>
      <modifiedWord/>
      <trackRevisions>false</trackRevisions>
    </reviewItem>
    <reviewItem>
      <errorID>2ccc88bf-548e-45c6-8c86-5875a9d81b20</errorID>
      <errorWord>（</errorWord>
      <group>L1_Format</group>
      <groupName>格式问题</groupName>
      <ability>L2_HalfPunc_CN</ability>
      <abilityName>全半角问题</abilityName>
      <candidateList>
        <item>(</item>
      </candidateList>
      <explain>文本全半角错误。</explain>
      <paraID>4F8D7535</paraID>
      <start>0</start>
      <end>1</end>
      <status>unmodified</status>
      <modifiedWord/>
      <trackRevisions>false</trackRevisions>
    </reviewItem>
    <reviewItem>
      <errorID>50a10e71-a00d-424f-ab8a-a067cc768786</errorID>
      <errorWord>）</errorWord>
      <group>L1_Format</group>
      <groupName>格式问题</groupName>
      <ability>L2_HalfPunc_CN</ability>
      <abilityName>全半角问题</abilityName>
      <candidateList>
        <item>)</item>
      </candidateList>
      <explain>文本全半角错误。</explain>
      <paraID>4F8D7535</paraID>
      <start>2</start>
      <end>3</end>
      <status>unmodified</status>
      <modifiedWord/>
      <trackRevisions>false</trackRevisions>
    </reviewItem>
    <reviewItem>
      <errorID>97476117-3356-49b3-b9a1-5cbe0b127441</errorID>
      <errorWord>（</errorWord>
      <group>L1_Format</group>
      <groupName>格式问题</groupName>
      <ability>L2_HalfPunc_CN</ability>
      <abilityName>全半角问题</abilityName>
      <candidateList>
        <item>(</item>
      </candidateList>
      <explain>文本全半角错误。</explain>
      <paraID>2A7CAA73</paraID>
      <start>0</start>
      <end>1</end>
      <status>unmodified</status>
      <modifiedWord/>
      <trackRevisions>false</trackRevisions>
    </reviewItem>
    <reviewItem>
      <errorID>f7c7012d-f47e-4dca-b63d-6eb796eaa530</errorID>
      <errorWord>）</errorWord>
      <group>L1_Format</group>
      <groupName>格式问题</groupName>
      <ability>L2_HalfPunc_CN</ability>
      <abilityName>全半角问题</abilityName>
      <candidateList>
        <item>)</item>
      </candidateList>
      <explain>文本全半角错误。</explain>
      <paraID>2A7CAA73</paraID>
      <start>2</start>
      <end>3</end>
      <status>unmodified</status>
      <modifiedWord/>
      <trackRevisions>false</trackRevisions>
    </reviewItem>
    <reviewItem>
      <errorID>869a2d30-826d-4721-8d22-44f1b7526440</errorID>
      <errorWord>～</errorWord>
      <group>L1_Format</group>
      <groupName>格式问题</groupName>
      <ability>L2_HalfPunc_CN</ability>
      <abilityName>全半角问题</abilityName>
      <candidateList>
        <item>~</item>
      </candidateList>
      <explain>文本全半角错误。</explain>
      <paraID>10AB9E64</paraID>
      <start>6</start>
      <end>7</end>
      <status>unmodified</status>
      <modifiedWord/>
      <trackRevisions>false</trackRevisions>
    </reviewItem>
    <reviewItem>
      <errorID>a3379ced-aa88-4b33-8802-235e097dd949</errorID>
      <errorWord>～</errorWord>
      <group>L1_Format</group>
      <groupName>格式问题</groupName>
      <ability>L2_HalfPunc_CN</ability>
      <abilityName>全半角问题</abilityName>
      <candidateList>
        <item>~</item>
      </candidateList>
      <explain>文本全半角错误。</explain>
      <paraID>3A59632D</paraID>
      <start>6</start>
      <end>7</end>
      <status>unmodified</status>
      <modifiedWord/>
      <trackRevisions>false</trackRevisions>
    </reviewItem>
    <reviewItem>
      <errorID>4f6abe7e-b45e-4d44-b566-9f6d4ddfb6d1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475DD70B</paraID>
      <start>0</start>
      <end>2</end>
      <status>unmodified</status>
      <modifiedWord/>
      <trackRevisions>false</trackRevisions>
    </reviewItem>
    <reviewItem>
      <errorID>e4186519-f28e-4762-90cb-1f20f5f6abf8</errorID>
      <errorWord>&lt;</errorWord>
      <group>L1_Format</group>
      <groupName>格式问题</groupName>
      <ability>L2_HalfPunc_CN</ability>
      <abilityName>全半角问题</abilityName>
      <candidateList>
        <item>〈</item>
      </candidateList>
      <explain>文本全半角错误。</explain>
      <paraID>25AD998E</paraID>
      <start>7</start>
      <end>8</end>
      <status>unmodified</status>
      <modifiedWord/>
      <trackRevisions>false</trackRevisions>
    </reviewItem>
    <reviewItem>
      <errorID>330a403f-add9-4c1d-929a-cd5de534da59</errorID>
      <errorWord>&gt;</errorWord>
      <group>L1_Format</group>
      <groupName>格式问题</groupName>
      <ability>L2_HalfPunc_CN</ability>
      <abilityName>全半角问题</abilityName>
      <candidateList>
        <item>〉</item>
      </candidateList>
      <explain>文本全半角错误。</explain>
      <paraID>25AD998E</paraID>
      <start>24</start>
      <end>25</end>
      <status>unmodified</status>
      <modifiedWord/>
      <trackRevisions>false</trackRevisions>
    </reviewItem>
    <reviewItem>
      <errorID>ca6e7fb9-6258-48fe-9c6c-02ac8261d9a1</errorID>
      <errorWord>（</errorWord>
      <group>L1_Format</group>
      <groupName>格式问题</groupName>
      <ability>L2_HalfPunc_CN</ability>
      <abilityName>全半角问题</abilityName>
      <candidateList>
        <item>(</item>
      </candidateList>
      <explain>文本全半角错误。</explain>
      <paraID>1BFD6F79</paraID>
      <start>0</start>
      <end>1</end>
      <status>unmodified</status>
      <modifiedWord/>
      <trackRevisions>false</trackRevisions>
    </reviewItem>
    <reviewItem>
      <errorID>34d32d78-939b-4446-a5c4-887bcb2103f0</errorID>
      <errorWord>）</errorWord>
      <group>L1_Format</group>
      <groupName>格式问题</groupName>
      <ability>L2_HalfPunc_CN</ability>
      <abilityName>全半角问题</abilityName>
      <candidateList>
        <item>)</item>
      </candidateList>
      <explain>文本全半角错误。</explain>
      <paraID>1BFD6F79</paraID>
      <start>2</start>
      <end>3</end>
      <status>unmodified</status>
      <modifiedWord/>
      <trackRevisions>false</trackRevisions>
    </reviewItem>
    <reviewItem>
      <errorID>2ac81e1b-71c2-4cfb-8a92-285cff11424e</errorID>
      <errorWord>（</errorWord>
      <group>L1_Format</group>
      <groupName>格式问题</groupName>
      <ability>L2_HalfPunc_CN</ability>
      <abilityName>全半角问题</abilityName>
      <candidateList>
        <item>(</item>
      </candidateList>
      <explain>文本全半角错误。</explain>
      <paraID>266A7A70</paraID>
      <start>0</start>
      <end>1</end>
      <status>unmodified</status>
      <modifiedWord/>
      <trackRevisions>false</trackRevisions>
    </reviewItem>
    <reviewItem>
      <errorID>731d02fa-e3d7-4166-bffc-582a72e7c103</errorID>
      <errorWord>）</errorWord>
      <group>L1_Format</group>
      <groupName>格式问题</groupName>
      <ability>L2_HalfPunc_CN</ability>
      <abilityName>全半角问题</abilityName>
      <candidateList>
        <item>)</item>
      </candidateList>
      <explain>文本全半角错误。</explain>
      <paraID>266A7A70</paraID>
      <start>2</start>
      <end>3</end>
      <status>unmodified</status>
      <modifiedWord/>
      <trackRevisions>false</trackRevisions>
    </reviewItem>
    <reviewItem>
      <errorID>b16c403c-57ef-4233-976d-5b214517ab95</errorID>
      <errorWord>～</errorWord>
      <group>L1_Format</group>
      <groupName>格式问题</groupName>
      <ability>L2_HalfPunc_CN</ability>
      <abilityName>全半角问题</abilityName>
      <candidateList>
        <item>~</item>
      </candidateList>
      <explain>文本全半角错误。</explain>
      <paraID>3F0BA1A7</paraID>
      <start>6</start>
      <end>7</end>
      <status>unmodified</status>
      <modifiedWord/>
      <trackRevisions>false</trackRevisions>
    </reviewItem>
    <reviewItem>
      <errorID>3c70a98f-68e2-4940-b03f-c5677fa37140</errorID>
      <errorWord>（</errorWord>
      <group>L1_Format</group>
      <groupName>格式问题</groupName>
      <ability>L2_HalfPunc_CN</ability>
      <abilityName>全半角问题</abilityName>
      <candidateList>
        <item>(</item>
      </candidateList>
      <explain>文本全半角错误。</explain>
      <paraID>383CFF43</paraID>
      <start>1</start>
      <end>2</end>
      <status>unmodified</status>
      <modifiedWord/>
      <trackRevisions>false</trackRevisions>
    </reviewItem>
    <reviewItem>
      <errorID>30c4f0c7-dc67-43f2-83f8-ca0a00f8c95e</errorID>
      <errorWord>）</errorWord>
      <group>L1_Format</group>
      <groupName>格式问题</groupName>
      <ability>L2_HalfPunc_CN</ability>
      <abilityName>全半角问题</abilityName>
      <candidateList>
        <item>)</item>
      </candidateList>
      <explain>文本全半角错误。</explain>
      <paraID>383CFF43</paraID>
      <start>3</start>
      <end>4</end>
      <status>unmodified</status>
      <modifiedWord/>
      <trackRevisions>false</trackRevisions>
    </reviewItem>
    <reviewItem>
      <errorID>f5754186-6a1f-464f-a15e-4c1381628a8b</errorID>
      <errorWord>（</errorWord>
      <group>L1_Format</group>
      <groupName>格式问题</groupName>
      <ability>L2_HalfPunc_CN</ability>
      <abilityName>全半角问题</abilityName>
      <candidateList>
        <item>(</item>
      </candidateList>
      <explain>文本全半角错误。</explain>
      <paraID>735F4E74</paraID>
      <start>1</start>
      <end>2</end>
      <status>unmodified</status>
      <modifiedWord/>
      <trackRevisions>false</trackRevisions>
    </reviewItem>
    <reviewItem>
      <errorID>00aee0a1-d0bf-4f67-b6b4-f1fc5a5e546b</errorID>
      <errorWord>）</errorWord>
      <group>L1_Format</group>
      <groupName>格式问题</groupName>
      <ability>L2_HalfPunc_CN</ability>
      <abilityName>全半角问题</abilityName>
      <candidateList>
        <item>)</item>
      </candidateList>
      <explain>文本全半角错误。</explain>
      <paraID>735F4E74</paraID>
      <start>3</start>
      <end>4</end>
      <status>unmodified</status>
      <modifiedWord/>
      <trackRevisions>false</trackRevisions>
    </reviewItem>
    <reviewItem>
      <errorID>1ba9504e-6e32-40dc-9fdb-1e428e66dcf6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18D1CAAC</paraID>
      <start>0</start>
      <end>2</end>
      <status>unmodified</status>
      <modifiedWord/>
      <trackRevisions>false</trackRevisions>
    </reviewItem>
    <reviewItem>
      <errorID>8ef5ed3e-aeab-4c9e-a95c-0b848a897669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7FE635A3</paraID>
      <start>0</start>
      <end>2</end>
      <status>unmodified</status>
      <modifiedWord/>
      <trackRevisions>false</trackRevisions>
    </reviewItem>
    <reviewItem>
      <errorID>67d3923a-0b9b-46fc-a0d3-5a0a721e3899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1948846A</paraID>
      <start>0</start>
      <end>2</end>
      <status>unmodified</status>
      <modifiedWord/>
      <trackRevisions>false</trackRevisions>
    </reviewItem>
    <reviewItem>
      <errorID>7638f004-4462-4f3f-a88f-974ddf5ed1a5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3867FA43</paraID>
      <start>0</start>
      <end>2</end>
      <status>unmodified</status>
      <modifiedWord/>
      <trackRevisions>false</trackRevisions>
    </reviewItem>
    <reviewItem>
      <errorID>e91f8390-a330-4454-8bf8-a14761826baa</errorID>
      <errorWord>（</errorWord>
      <group>L1_Format</group>
      <groupName>格式问题</groupName>
      <ability>L2_HalfPunc_CN</ability>
      <abilityName>全半角问题</abilityName>
      <candidateList>
        <item>(</item>
      </candidateList>
      <explain>文本全半角错误。</explain>
      <paraID>3FFEA5F2</paraID>
      <start>11</start>
      <end>12</end>
      <status>unmodified</status>
      <modifiedWord/>
      <trackRevisions>false</trackRevisions>
    </reviewItem>
    <reviewItem>
      <errorID>70115f7c-8743-432e-a47a-1b372718a0f7</errorID>
      <errorWord>）</errorWord>
      <group>L1_Format</group>
      <groupName>格式问题</groupName>
      <ability>L2_HalfPunc_CN</ability>
      <abilityName>全半角问题</abilityName>
      <candidateList>
        <item>)</item>
      </candidateList>
      <explain>文本全半角错误。</explain>
      <paraID>3FFEA5F2</paraID>
      <start>17</start>
      <end>18</end>
      <status>unmodified</status>
      <modifiedWord/>
      <trackRevisions>false</trackRevisions>
    </reviewItem>
    <reviewItem>
      <errorID>a7f73e4a-36a4-4326-936a-099670429202</errorID>
      <errorWord>（</errorWord>
      <group>L1_Format</group>
      <groupName>格式问题</groupName>
      <ability>L2_HalfPunc_CN</ability>
      <abilityName>全半角问题</abilityName>
      <candidateList>
        <item>(</item>
      </candidateList>
      <explain>文本全半角错误。</explain>
      <paraID>3FFEA5F2</paraID>
      <start>27</start>
      <end>28</end>
      <status>unmodified</status>
      <modifiedWord/>
      <trackRevisions>false</trackRevisions>
    </reviewItem>
    <reviewItem>
      <errorID>62f65425-0fc3-4bb6-b0c1-5f34707cfe63</errorID>
      <errorWord>）</errorWord>
      <group>L1_Format</group>
      <groupName>格式问题</groupName>
      <ability>L2_HalfPunc_CN</ability>
      <abilityName>全半角问题</abilityName>
      <candidateList>
        <item>)</item>
      </candidateList>
      <explain>文本全半角错误。</explain>
      <paraID>3FFEA5F2</paraID>
      <start>34</start>
      <end>35</end>
      <status>unmodified</status>
      <modifiedWord/>
      <trackRevisions>false</trackRevisions>
    </reviewItem>
    <reviewItem>
      <errorID>d1b8b0c2-5b8d-4f3f-93a0-8292277843d1</errorID>
      <errorWord>；</errorWord>
      <group>L1_Format</group>
      <groupName>格式问题</groupName>
      <ability>L2_HalfPunc_CN</ability>
      <abilityName>全半角问题</abilityName>
      <candidateList>
        <item>;</item>
      </candidateList>
      <explain>文本全半角错误。</explain>
      <paraID>3FFEA5F2</paraID>
      <start>44</start>
      <end>45</end>
      <status>unmodified</status>
      <modifiedWord/>
      <trackRevisions>false</trackRevisions>
    </reviewItem>
    <reviewItem>
      <errorID>067e96e6-c907-4080-8950-fc67ff27b791</errorID>
      <errorWord>，</errorWord>
      <group>L1_Format</group>
      <groupName>格式问题</groupName>
      <ability>L2_HalfPunc_CN</ability>
      <abilityName>全半角问题</abilityName>
      <candidateList>
        <item>, </item>
      </candidateList>
      <explain>文本全半角错误。</explain>
      <paraID>2355CA4A</paraID>
      <start>29</start>
      <end>30</end>
      <status>unmodified</status>
      <modifiedWord/>
      <trackRevisions>false</trackRevisions>
    </reviewItem>
    <reviewItem>
      <errorID>a203fe61-ab16-4981-a414-a543a80b06a5</errorID>
      <errorWord>。</errorWord>
      <group>L1_Format</group>
      <groupName>格式问题</groupName>
      <ability>L2_HalfPunc_CN</ability>
      <abilityName>全半角问题</abilityName>
      <candidateList>
        <item>.</item>
      </candidateList>
      <explain>文本全半角错误。</explain>
      <paraID>2355CA4A</paraID>
      <start>34</start>
      <end>35</end>
      <status>unmodified</status>
      <modifiedWord/>
      <trackRevisions>false</trackRevisions>
    </reviewItem>
    <reviewItem>
      <errorID>958870ae-c516-40e5-bd02-013218313830</errorID>
      <errorWord>地子</errorWord>
      <group>L1_Word</group>
      <groupName>字词问题</groupName>
      <ability>L2_Typo</ability>
      <abilityName>字词错误</abilityName>
      <candidateList>
        <item>号子</item>
      </candidateList>
      <explain/>
      <paraID>5181DCA7</paraID>
      <start>55</start>
      <end>57</end>
      <status>unmodified</status>
      <modifiedWord/>
      <trackRevisions>false</trackRevisions>
    </reviewItem>
    <reviewItem>
      <errorID>f330ccdd-a4b4-4a5d-8017-06909cf02107</errorID>
      <errorWord>设设</errorWord>
      <group>L1_Word</group>
      <groupName>字词问题</groupName>
      <ability>L2_Typo</ability>
      <abilityName>字词错误</abilityName>
      <candidateList>
        <item>设</item>
      </candidateList>
      <explain/>
      <paraID> 1C9314B</paraID>
      <start>207</start>
      <end>209</end>
      <status>unmodified</status>
      <modifiedWord/>
      <trackRevisions>false</trackRevisions>
    </reviewItem>
    <reviewItem>
      <errorID>d27d0dba-7498-4769-970e-8089bf1fb897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488740A7</paraID>
      <start>0</start>
      <end>2</end>
      <status>unmodified</status>
      <modifiedWord/>
      <trackRevisions>false</trackRevisions>
    </reviewItem>
    <reviewItem>
      <errorID>42911198-c9aa-4d78-96cc-c7ffe0f71090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76289A5D</paraID>
      <start>0</start>
      <end>2</end>
      <status>unmodified</status>
      <modifiedWord/>
      <trackRevisions>false</trackRevisions>
    </reviewItem>
    <reviewItem>
      <errorID>dd11f2b3-e847-4f2c-adab-0a4bc0f3a09c</errorID>
      <errorWord>：地</errorWord>
      <group>L1_Word</group>
      <groupName>字词问题</groupName>
      <ability>L2_Typo</ability>
      <abilityName>字词错误</abilityName>
      <candidateList>
        <item>：</item>
      </candidateList>
      <explain/>
      <paraID>34A336F7</paraID>
      <start>2</start>
      <end>4</end>
      <status>unmodified</status>
      <modifiedWord/>
      <trackRevisions>false</trackRevisions>
    </reviewItem>
    <reviewItem>
      <errorID>b97f93e5-beae-4ec1-bab8-02fc4897f1c6</errorID>
      <errorWord>地子</errorWord>
      <group>L1_Word</group>
      <groupName>字词问题</groupName>
      <ability>L2_Typo</ability>
      <abilityName>字词错误</abilityName>
      <candidateList>
        <item>号子</item>
      </candidateList>
      <explain/>
      <paraID>34A336F7</paraID>
      <start>31</start>
      <end>33</end>
      <status>unmodified</status>
      <modifiedWord/>
      <trackRevisions>false</trackRevisions>
    </reviewItem>
    <reviewItem>
      <errorID>f9ad6078-f9cb-4ce4-9c5a-1bde0d8ca9a1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298347CA</paraID>
      <start>0</start>
      <end>2</end>
      <status>unmodified</status>
      <modifiedWord/>
      <trackRevisions>false</trackRevisions>
    </reviewItem>
    <reviewItem>
      <errorID>39034862-970a-4d77-9c75-14da77a8554f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2FAFC29B</paraID>
      <start>0</start>
      <end>2</end>
      <status>unmodified</status>
      <modifiedWord/>
      <trackRevisions>false</trackRevisions>
    </reviewItem>
    <reviewItem>
      <errorID>aecc48b9-aeb2-4558-ac62-dede72814504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1D604AA4</paraID>
      <start>0</start>
      <end>2</end>
      <status>unmodified</status>
      <modifiedWord/>
      <trackRevisions>false</trackRevisions>
    </reviewItem>
    <reviewItem>
      <errorID>5712c271-a9f1-4fa1-b272-fbbae6669abc</errorID>
      <errorWord>勘查</errorWord>
      <group>L1_Word</group>
      <groupName>字词问题</groupName>
      <ability>L2_Typo</ability>
      <abilityName>字词错误</abilityName>
      <candidateList>
        <item>勘察</item>
      </candidateList>
      <explain>存在发音相同字词的误用。</explain>
      <paraID>701A02FA</paraID>
      <start>7</start>
      <end>9</end>
      <status>unmodified</status>
      <modifiedWord/>
      <trackRevisions>false</trackRevisions>
    </reviewItem>
    <reviewItem>
      <errorID>6cfafb35-a4e9-4993-972f-45b5307f44bc</errorID>
      <errorWord>（</errorWord>
      <group>L1_Format</group>
      <groupName>格式问题</groupName>
      <ability>L2_HalfPunc_CN</ability>
      <abilityName>全半角问题</abilityName>
      <candidateList>
        <item>(</item>
      </candidateList>
      <explain>文本全半角错误。</explain>
      <paraID>23B4AEDC</paraID>
      <start>1</start>
      <end>2</end>
      <status>unmodified</status>
      <modifiedWord/>
      <trackRevisions>false</trackRevisions>
    </reviewItem>
    <reviewItem>
      <errorID>3aa86551-91dc-4f76-823a-1a52b6d29a4f</errorID>
      <errorWord>）</errorWord>
      <group>L1_Format</group>
      <groupName>格式问题</groupName>
      <ability>L2_HalfPunc_CN</ability>
      <abilityName>全半角问题</abilityName>
      <candidateList>
        <item>)</item>
      </candidateList>
      <explain>文本全半角错误。</explain>
      <paraID>23B4AEDC</paraID>
      <start>3</start>
      <end>4</end>
      <status>unmodified</status>
      <modifiedWord/>
      <trackRevisions>false</trackRevisions>
    </reviewItem>
    <reviewItem>
      <errorID>bb394199-c427-4976-ac44-5127c12f00b5</errorID>
      <errorWord>（</errorWord>
      <group>L1_Format</group>
      <groupName>格式问题</groupName>
      <ability>L2_HalfPunc_CN</ability>
      <abilityName>全半角问题</abilityName>
      <candidateList>
        <item>(</item>
      </candidateList>
      <explain>文本全半角错误。</explain>
      <paraID>3F51A8F7</paraID>
      <start>1</start>
      <end>2</end>
      <status>unmodified</status>
      <modifiedWord/>
      <trackRevisions>false</trackRevisions>
    </reviewItem>
    <reviewItem>
      <errorID>e3ccb47b-e984-4d3a-91f3-d02a13048458</errorID>
      <errorWord>）</errorWord>
      <group>L1_Format</group>
      <groupName>格式问题</groupName>
      <ability>L2_HalfPunc_CN</ability>
      <abilityName>全半角问题</abilityName>
      <candidateList>
        <item>)</item>
      </candidateList>
      <explain>文本全半角错误。</explain>
      <paraID>3F51A8F7</paraID>
      <start>3</start>
      <end>4</end>
      <status>unmodified</status>
      <modifiedWord/>
      <trackRevisions>false</trackRevisions>
    </reviewItem>
    <reviewItem>
      <errorID>fc11e8ac-2dcd-4572-b8fb-ef1965a240ed</errorID>
      <errorWord>~</errorWord>
      <group>L1_Format</group>
      <groupName>格式问题</groupName>
      <ability>L2_HalfPunc_CN</ability>
      <abilityName>全半角问题</abilityName>
      <candidateList>
        <item>～</item>
      </candidateList>
      <explain>文本全半角错误。</explain>
      <paraID>11CC9201</paraID>
      <start>151</start>
      <end>152</end>
      <status>unmodified</status>
      <modifiedWord/>
      <trackRevisions>false</trackRevisions>
    </reviewItem>
    <reviewItem>
      <errorID>3bb6041f-06c3-40c5-9396-abcc303eec08</errorID>
      <errorWord>周边地</errorWord>
      <group>L1_Word</group>
      <groupName>字词问题</groupName>
      <ability>L2_Typo</ability>
      <abilityName>字词错误</abilityName>
      <candidateList>
        <item>周边</item>
      </candidateList>
      <explain/>
      <paraID>72C82A3E</paraID>
      <start>17</start>
      <end>20</end>
      <status>unmodified</status>
      <modifiedWord/>
      <trackRevisions>false</trackRevisions>
    </reviewItem>
    <reviewItem>
      <errorID>145f93bb-853f-4bf4-9f47-986b7ba0fd51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2E43593F</paraID>
      <start>0</start>
      <end>2</end>
      <status>unmodified</status>
      <modifiedWord/>
      <trackRevisions>false</trackRevisions>
    </reviewItem>
    <reviewItem>
      <errorID>e10aae2d-15cb-4298-8a11-7f43eb889fe3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7C2220CE</paraID>
      <start>0</start>
      <end>2</end>
      <status>unmodified</status>
      <modifiedWord/>
      <trackRevisions>false</trackRevisions>
    </reviewItem>
    <reviewItem>
      <errorID>1ab6bcf0-26b3-478a-8df0-312cd7f9de50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67E3586B</paraID>
      <start>0</start>
      <end>2</end>
      <status>unmodified</status>
      <modifiedWord/>
      <trackRevisions>false</trackRevisions>
    </reviewItem>
    <reviewItem>
      <errorID>4e1d4d5e-c792-4b25-a895-9c7e6de05af9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2C5E7960</paraID>
      <start>0</start>
      <end>2</end>
      <status>unmodified</status>
      <modifiedWord/>
      <trackRevisions>false</trackRevisions>
    </reviewItem>
    <reviewItem>
      <errorID>bfd4640d-933a-4ae3-92d1-aaea06d89c59</errorID>
      <errorWord>国家级重点生态功能区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词汇“国家重点生态功能区”在特定场景下为固定表述形式，请确认此处的“国家级重点生态功能区”是否存在不当。</explain>
      <paraID>6217FBD8</paraID>
      <start>192</start>
      <end>202</end>
      <status>unmodified</status>
      <modifiedWord/>
      <trackRevisions>false</trackRevisions>
    </reviewItem>
    <reviewItem>
      <errorID>80f7d413-7437-4213-a781-c14b90d75bf5</errorID>
      <errorWord>文化自然遗产</errorWord>
      <group>L1_Word</group>
      <groupName>字词问题</groupName>
      <ability>L2_Typo</ability>
      <abilityName>字词错误</abilityName>
      <candidateList>
        <item>文化和自然遗产</item>
      </candidateList>
      <explain/>
      <paraID>6217FBD8</paraID>
      <start>249</start>
      <end>255</end>
      <status>unmodified</status>
      <modifiedWord/>
      <trackRevisions>false</trackRevisions>
    </reviewItem>
    <reviewItem>
      <errorID>ba914e00-664d-4606-bea3-dce8150e0200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33A7D4DD</paraID>
      <start>0</start>
      <end>2</end>
      <status>unmodified</status>
      <modifiedWord/>
      <trackRevisions>false</trackRevisions>
    </reviewItem>
    <reviewItem>
      <errorID>92135c4b-b4f9-4ad0-8254-31c70af6f954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EE2F609</paraID>
      <start>0</start>
      <end>2</end>
      <status>unmodified</status>
      <modifiedWord/>
      <trackRevisions>false</trackRevisions>
    </reviewItem>
    <reviewItem>
      <errorID>89e90afc-f9f2-4fd2-9e99-80aea3077808</errorID>
      <errorWord>地子</errorWord>
      <group>L1_Word</group>
      <groupName>字词问题</groupName>
      <ability>L2_Typo</ability>
      <abilityName>字词错误</abilityName>
      <candidateList>
        <item>号子</item>
      </candidateList>
      <explain/>
      <paraID>6679ACBC</paraID>
      <start>160</start>
      <end>162</end>
      <status>unmodified</status>
      <modifiedWord/>
      <trackRevisions>false</trackRevisions>
    </reviewItem>
    <reviewItem>
      <errorID>888aeefe-9115-411d-a779-77371928ef50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435C12B2</paraID>
      <start>35</start>
      <end>38</end>
      <status>unmodified</status>
      <modifiedWord/>
      <trackRevisions>false</trackRevisions>
    </reviewItem>
    <reviewItem>
      <errorID>ef054909-c3b1-4301-9cbb-0f499a64c34e</errorID>
      <errorWord>地子</errorWord>
      <group>L1_Word</group>
      <groupName>字词问题</groupName>
      <ability>L2_Typo</ability>
      <abilityName>字词错误</abilityName>
      <candidateList>
        <item>号子</item>
      </candidateList>
      <explain/>
      <paraID>5965D08B</paraID>
      <start>40</start>
      <end>42</end>
      <status>unmodified</status>
      <modifiedWord/>
      <trackRevisions>false</trackRevisions>
    </reviewItem>
    <reviewItem>
      <errorID>9693d9ae-0b3a-44da-9536-9590a5f3d0cb</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5965D08B</paraID>
      <start>144</start>
      <end>151</end>
      <status>unmodified</status>
      <modifiedWord/>
      <trackRevisions>false</trackRevisions>
    </reviewItem>
    <reviewItem>
      <errorID>ff57b42f-9252-4eb3-8b10-9936877cecd6</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5965D08B</paraID>
      <start>212</start>
      <end>219</end>
      <status>unmodified</status>
      <modifiedWord/>
      <trackRevisions>false</trackRevisions>
    </reviewItem>
    <reviewItem>
      <errorID>8e748fbf-b8b1-4061-b12a-5824419a8c03</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5965D08B</paraID>
      <start>280</start>
      <end>287</end>
      <status>unmodified</status>
      <modifiedWord/>
      <trackRevisions>false</trackRevisions>
    </reviewItem>
    <reviewItem>
      <errorID>d9a790af-0052-4b7a-98bb-13f3f1d647ad</errorID>
      <errorWord> arenurius</errorWord>
      <group>L1_English</group>
      <groupName>英文问题</groupName>
      <ability>L2_Other_Grammar</ability>
      <abilityName>其他语法问题</abilityName>
      <candidateList>
        <item>arenarius</item>
      </candidateList>
      <explain>疑似单词/词组使用不当, 建议将 arenurius修改为arenarius</explain>
      <paraID>56480DCB</paraID>
      <start>13</start>
      <end>23</end>
      <status>unmodified</status>
      <modifiedWord/>
      <trackRevisions>false</trackRevisions>
    </reviewItem>
    <reviewItem>
      <errorID>679c1a8c-8f54-40d1-975d-3506dca86b6e</errorID>
      <errorWord> prostrate</errorWord>
      <group>L1_English</group>
      <groupName>英文问题</groupName>
      <ability>L2_Other_Grammar</ability>
      <abilityName>其他语法问题</abilityName>
      <candidateList>
        <item>prostrata</item>
      </candidateList>
      <explain>疑似单词/词组使用不当, 建议将 prostrate修改为prostrata</explain>
      <paraID>201E6A21</paraID>
      <start>7</start>
      <end>17</end>
      <status>unmodified</status>
      <modifiedWord/>
      <trackRevisions>false</trackRevisions>
    </reviewItem>
    <reviewItem>
      <errorID>64d3125e-bdbc-486d-8ce4-66d75cdc8756</errorID>
      <errorWord> gobila</errorWord>
      <group>L1_English</group>
      <groupName>英文问题</groupName>
      <ability>L2_Other_Grammar</ability>
      <abilityName>其他语法问题</abilityName>
      <candidateList>
        <item>gobi</item>
      </candidateList>
      <explain>疑似单词/词组使用不当, 建议将 gobila修改为gobi</explain>
      <paraID>2C7CF389</paraID>
      <start>6</start>
      <end>13</end>
      <status>unmodified</status>
      <modifiedWord/>
      <trackRevisions>false</trackRevisions>
    </reviewItem>
    <reviewItem>
      <errorID>4933351c-cb62-47de-8786-71f3b74f1f17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411FEEFE</paraID>
      <start>0</start>
      <end>2</end>
      <status>unmodified</status>
      <modifiedWord/>
      <trackRevisions>false</trackRevisions>
    </reviewItem>
    <reviewItem>
      <errorID>208a70ac-84e4-42a7-8b4d-41bf19f5e87a</errorID>
      <errorWord>（</errorWord>
      <group>L1_Format</group>
      <groupName>格式问题</groupName>
      <ability>L2_HalfPunc_CN</ability>
      <abilityName>全半角问题</abilityName>
      <candidateList>
        <item>(</item>
      </candidateList>
      <explain>文本全半角错误。</explain>
      <paraID>5CC56456</paraID>
      <start>0</start>
      <end>1</end>
      <status>unmodified</status>
      <modifiedWord/>
      <trackRevisions>false</trackRevisions>
    </reviewItem>
    <reviewItem>
      <errorID>ed283169-9679-4ae7-b554-8a206d992ab5</errorID>
      <errorWord>）</errorWord>
      <group>L1_Format</group>
      <groupName>格式问题</groupName>
      <ability>L2_HalfPunc_CN</ability>
      <abilityName>全半角问题</abilityName>
      <candidateList>
        <item>)</item>
      </candidateList>
      <explain>文本全半角错误。</explain>
      <paraID>5CC56456</paraID>
      <start>6</start>
      <end>7</end>
      <status>unmodified</status>
      <modifiedWord/>
      <trackRevisions>false</trackRevisions>
    </reviewItem>
    <reviewItem>
      <errorID>279fa628-0a04-46b4-bd51-b64a1e3d85bb</errorID>
      <errorWord>（</errorWord>
      <group>L1_Format</group>
      <groupName>格式问题</groupName>
      <ability>L2_HalfPunc_CN</ability>
      <abilityName>全半角问题</abilityName>
      <candidateList>
        <item>(</item>
      </candidateList>
      <explain>文本全半角错误。</explain>
      <paraID>28AF378F</paraID>
      <start>0</start>
      <end>1</end>
      <status>unmodified</status>
      <modifiedWord/>
      <trackRevisions>false</trackRevisions>
    </reviewItem>
    <reviewItem>
      <errorID>5650340e-86a7-4473-b5f6-e2215196aaff</errorID>
      <errorWord>）</errorWord>
      <group>L1_Format</group>
      <groupName>格式问题</groupName>
      <ability>L2_HalfPunc_CN</ability>
      <abilityName>全半角问题</abilityName>
      <candidateList>
        <item>)</item>
      </candidateList>
      <explain>文本全半角错误。</explain>
      <paraID>28AF378F</paraID>
      <start>6</start>
      <end>7</end>
      <status>unmodified</status>
      <modifiedWord/>
      <trackRevisions>false</trackRevisions>
    </reviewItem>
    <reviewItem>
      <errorID>caa68187-34f7-4061-9c34-bf74520fffc2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364B747E</paraID>
      <start>0</start>
      <end>2</end>
      <status>unmodified</status>
      <modifiedWord/>
      <trackRevisions>false</trackRevisions>
    </reviewItem>
    <reviewItem>
      <errorID>8ff97c45-92ff-4423-9e93-4e8cdeab112e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328B880D</paraID>
      <start>0</start>
      <end>2</end>
      <status>unmodified</status>
      <modifiedWord/>
      <trackRevisions>false</trackRevisions>
    </reviewItem>
    <reviewItem>
      <errorID>59b0c779-8c4e-4a5d-84ee-8ff56cd43825</errorID>
      <errorWord>）</errorWord>
      <group>L1_Word</group>
      <groupName>字词问题</groupName>
      <ability>L2_Typo</ability>
      <abilityName>字词错误</abilityName>
      <candidateList>
        <item>）等</item>
      </candidateList>
      <explain/>
      <paraID>37E637B2</paraID>
      <start>242</start>
      <end>243</end>
      <status>unmodified</status>
      <modifiedWord/>
      <trackRevisions>false</trackRevisions>
    </reviewItem>
    <reviewItem>
      <errorID>c0676f3b-3643-41c1-8505-f894e2d2ed00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2BA3E1A2</paraID>
      <start>0</start>
      <end>2</end>
      <status>unmodified</status>
      <modifiedWord/>
      <trackRevisions>false</trackRevisions>
    </reviewItem>
    <reviewItem>
      <errorID>6c6bba0f-90a5-4bac-90ac-7b7c2b26d999</errorID>
      <errorWord>）</errorWord>
      <group>L1_Word</group>
      <groupName>字词问题</groupName>
      <ability>L2_Typo</ability>
      <abilityName>字词错误</abilityName>
      <candidateList>
        <item>）等</item>
      </candidateList>
      <explain/>
      <paraID>2ED14CE7</paraID>
      <start>242</start>
      <end>243</end>
      <status>unmodified</status>
      <modifiedWord/>
      <trackRevisions>false</trackRevisions>
    </reviewItem>
    <reviewItem>
      <errorID>1f67193c-a106-4209-8cba-1ef7e400bbd3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3B6FE19D</paraID>
      <start>0</start>
      <end>2</end>
      <status>unmodified</status>
      <modifiedWord/>
      <trackRevisions>false</trackRevisions>
    </reviewItem>
    <reviewItem>
      <errorID>a8aa093a-2f19-4c28-9288-872b01a37535</errorID>
      <errorWord>）</errorWord>
      <group>L1_Word</group>
      <groupName>字词问题</groupName>
      <ability>L2_Typo</ability>
      <abilityName>字词错误</abilityName>
      <candidateList>
        <item>）等</item>
      </candidateList>
      <explain/>
      <paraID>57017606</paraID>
      <start>242</start>
      <end>243</end>
      <status>unmodified</status>
      <modifiedWord/>
      <trackRevisions>false</trackRevisions>
    </reviewItem>
    <reviewItem>
      <errorID>394e23e9-4437-44ce-8cf6-8eaae623d76c</errorID>
      <errorWord>IV类</errorWord>
      <group>L1_Knowledge</group>
      <groupName>知识性问题</groupName>
      <ability>L2_Knowledge</ability>
      <abilityName>其他知识</abilityName>
      <candidateList>
        <item>Ⅳ类</item>
      </candidateList>
      <explain>中文环境下罗马数字格式错误。</explain>
      <paraID>6A2CDC63</paraID>
      <start>71</start>
      <end>74</end>
      <status>unmodified</status>
      <modifiedWord/>
      <trackRevisions>false</trackRevisions>
    </reviewItem>
    <reviewItem>
      <errorID>d7908cdc-0e84-47c4-992e-02bc968bd31e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294DB104</paraID>
      <start>0</start>
      <end>2</end>
      <status>unmodified</status>
      <modifiedWord/>
      <trackRevisions>false</trackRevisions>
    </reviewItem>
    <reviewItem>
      <errorID>1dc8e8e5-bb3d-4d6e-b2de-53d72fd9610e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59419E58</paraID>
      <start>0</start>
      <end>2</end>
      <status>unmodified</status>
      <modifiedWord/>
      <trackRevisions>false</trackRevisions>
    </reviewItem>
    <reviewItem>
      <errorID>9fbe7ee1-c902-46fe-abac-b9bed69d7b70</errorID>
      <errorWord>刺鼻性</errorWord>
      <group>L1_Word</group>
      <groupName>字词问题</groupName>
      <ability>L2_Typo</ability>
      <abilityName>字词错误</abilityName>
      <candidateList>
        <item>刺鼻</item>
      </candidateList>
      <explain/>
      <paraID>359ACE30</paraID>
      <start>82</start>
      <end>84</end>
      <status>modified</status>
      <modifiedWord>刺鼻</modifiedWord>
      <trackRevisions>false</trackRevisions>
    </reviewItem>
    <reviewItem>
      <errorID>d0afab04-7bb5-4948-8fbf-52d0ae808457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110B16D1</paraID>
      <start>0</start>
      <end>2</end>
      <status>unmodified</status>
      <modifiedWord/>
      <trackRevisions>false</trackRevisions>
    </reviewItem>
    <reviewItem>
      <errorID>1352e272-1860-4dc2-844f-6f546780f598</errorID>
      <errorWord>产生出</errorWord>
      <group>L1_Word</group>
      <groupName>字词问题</groupName>
      <ability>L2_Typo</ability>
      <abilityName>字词错误</abilityName>
      <candidateList>
        <item>产生</item>
      </candidateList>
      <explain/>
      <paraID>716D621F</paraID>
      <start>43</start>
      <end>45</end>
      <status>modified</status>
      <modifiedWord>产生</modifiedWord>
      <trackRevisions>false</trackRevisions>
    </reviewItem>
    <reviewItem>
      <errorID>5b5cc0ce-e0f3-44f5-9504-d24a6dfa787d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7B5DFD5E</paraID>
      <start>0</start>
      <end>2</end>
      <status>unmodified</status>
      <modifiedWord/>
      <trackRevisions>false</trackRevisions>
    </reviewItem>
    <reviewItem>
      <errorID>04243170-2398-4b24-b2c2-b1cd56e79fbb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33692623</paraID>
      <start>31</start>
      <end>34</end>
      <status>unmodified</status>
      <modifiedWord/>
      <trackRevisions>false</trackRevisions>
    </reviewItem>
    <reviewItem>
      <errorID>3053e402-082b-4303-a1a6-aef53e60b103</errorID>
      <errorWord>&lt;</errorWord>
      <group>L1_Format</group>
      <groupName>格式问题</groupName>
      <ability>L2_HalfPunc_CN</ability>
      <abilityName>全半角问题</abilityName>
      <candidateList>
        <item>〈</item>
      </candidateList>
      <explain>文本全半角错误。</explain>
      <paraID>33692623</paraID>
      <start>38</start>
      <end>39</end>
      <status>unmodified</status>
      <modifiedWord/>
      <trackRevisions>false</trackRevisions>
    </reviewItem>
    <reviewItem>
      <errorID>d41d082d-94f6-4c01-8cb8-27b2274f3261</errorID>
      <errorWord>&gt;的通知》</errorWord>
      <group>L1_Punc</group>
      <groupName>标点问题</groupName>
      <ability>L2_Punc_CN</ability>
      <abilityName>标点符号问题</abilityName>
      <candidateList>
        <item>〉的通知》</item>
      </candidateList>
      <explain/>
      <paraID>33692623</paraID>
      <start>57</start>
      <end>62</end>
      <status>unmodified</status>
      <modifiedWord/>
      <trackRevisions>false</trackRevisions>
    </reviewItem>
    <reviewItem>
      <errorID>905c692d-fc6a-4d1b-9dcf-8aa945423401</errorID>
      <errorWord>&lt;</errorWord>
      <group>L1_Format</group>
      <groupName>格式问题</groupName>
      <ability>L2_HalfPunc_CN</ability>
      <abilityName>全半角问题</abilityName>
      <candidateList>
        <item>〈</item>
      </candidateList>
      <explain>文本全半角错误。</explain>
      <paraID>33692623</paraID>
      <start>98</start>
      <end>99</end>
      <status>unmodified</status>
      <modifiedWord/>
      <trackRevisions>false</trackRevisions>
    </reviewItem>
    <reviewItem>
      <errorID>adde0d3d-36cf-44cc-a3bd-2d05f861a21a</errorID>
      <errorWord>&gt;</errorWord>
      <group>L1_Format</group>
      <groupName>格式问题</groupName>
      <ability>L2_HalfPunc_CN</ability>
      <abilityName>全半角问题</abilityName>
      <candidateList>
        <item>〉</item>
      </candidateList>
      <explain>文本全半角错误。</explain>
      <paraID>33692623</paraID>
      <start>117</start>
      <end>118</end>
      <status>unmodified</status>
      <modifiedWord/>
      <trackRevisions>false</trackRevisions>
    </reviewItem>
    <reviewItem>
      <errorID>ae022a75-697b-4f55-aa77-880c67a2ebb7</errorID>
      <errorWord>&lt;</errorWord>
      <group>L1_Format</group>
      <groupName>格式问题</groupName>
      <ability>L2_HalfPunc_CN</ability>
      <abilityName>全半角问题</abilityName>
      <candidateList>
        <item>〈</item>
      </candidateList>
      <explain>文本全半角错误。</explain>
      <paraID>33692623</paraID>
      <start>159</start>
      <end>160</end>
      <status>unmodified</status>
      <modifiedWord/>
      <trackRevisions>false</trackRevisions>
    </reviewItem>
    <reviewItem>
      <errorID>76907a0d-fbc8-4d0a-8d47-f7ad7a4e412b</errorID>
      <errorWord>&gt;的通知》</errorWord>
      <group>L1_Punc</group>
      <groupName>标点问题</groupName>
      <ability>L2_Punc_CN</ability>
      <abilityName>标点符号问题</abilityName>
      <candidateList>
        <item>〉的通知》</item>
      </candidateList>
      <explain/>
      <paraID>33692623</paraID>
      <start>173</start>
      <end>178</end>
      <status>unmodified</status>
      <modifiedWord/>
      <trackRevisions>false</trackRevisions>
    </reviewItem>
    <reviewItem>
      <errorID>9f87285c-c362-407c-8d8d-4e27dfa65690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493DF04B</paraID>
      <start>0</start>
      <end>2</end>
      <status>unmodified</status>
      <modifiedWord/>
      <trackRevisions>false</trackRevisions>
    </reviewItem>
    <reviewItem>
      <errorID>7d1d404c-3bb4-4c4b-afa3-0c7d68fa4cce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21C1D874</paraID>
      <start>0</start>
      <end>2</end>
      <status>unmodified</status>
      <modifiedWord/>
      <trackRevisions>false</trackRevisions>
    </reviewItem>
    <reviewItem>
      <errorID>827f3d48-b361-416d-a87c-b683f5af5bf3</errorID>
      <errorWord>～</errorWord>
      <group>L1_Format</group>
      <groupName>格式问题</groupName>
      <ability>L2_HalfPunc_CN</ability>
      <abilityName>全半角问题</abilityName>
      <candidateList>
        <item>~</item>
      </candidateList>
      <explain>文本全半角错误。</explain>
      <paraID>28D7DA8D</paraID>
      <start>3</start>
      <end>4</end>
      <status>unmodified</status>
      <modifiedWord/>
      <trackRevisions>false</trackRevisions>
    </reviewItem>
    <reviewItem>
      <errorID>c0c28d13-14d5-4bbf-b07b-4769aadf4894</errorID>
      <errorWord>无不</errorWord>
      <group>L1_Word</group>
      <groupName>字词问题</groupName>
      <ability>L2_Typo</ability>
      <abilityName>字词错误</abilityName>
      <candidateList>
        <item>无比</item>
      </candidateList>
      <explain>存在发音相近字词的误用。</explain>
      <paraID>6389394E</paraID>
      <start>0</start>
      <end>2</end>
      <status>unmodified</status>
      <modifiedWord/>
      <trackRevisions>false</trackRevisions>
    </reviewItem>
    <reviewItem>
      <errorID>1f662102-4603-4417-b995-c23befbcc609</errorID>
      <errorWord>（</errorWord>
      <group>L1_Format</group>
      <groupName>格式问题</groupName>
      <ability>L2_HalfPunc_CN</ability>
      <abilityName>全半角问题</abilityName>
      <candidateList>
        <item>(</item>
      </candidateList>
      <explain>文本全半角错误。</explain>
      <paraID>227190FA</paraID>
      <start>5</start>
      <end>6</end>
      <status>unmodified</status>
      <modifiedWord/>
      <trackRevisions>false</trackRevisions>
    </reviewItem>
    <reviewItem>
      <errorID>d3f9d32c-8d5d-4d00-8f27-79717e4b7db9</errorID>
      <errorWord>）</errorWord>
      <group>L1_Format</group>
      <groupName>格式问题</groupName>
      <ability>L2_HalfPunc_CN</ability>
      <abilityName>全半角问题</abilityName>
      <candidateList>
        <item>)</item>
      </candidateList>
      <explain>文本全半角错误。</explain>
      <paraID>227190FA</paraID>
      <start>10</start>
      <end>11</end>
      <status>unmodified</status>
      <modifiedWord/>
      <trackRevisions>false</trackRevisions>
    </reviewItem>
    <reviewItem>
      <errorID>768918d3-ad21-4963-82f1-4c68256560ae</errorID>
      <errorWord>（</errorWord>
      <group>L1_Punc</group>
      <groupName>标点问题</groupName>
      <ability>L2_Punc_CN</ability>
      <abilityName>标点符号问题</abilityName>
      <candidateList/>
      <explain>同一形式括号套用。</explain>
      <paraID> 9B2D5AC</paraID>
      <start>6</start>
      <end>7</end>
      <status>unmodified</status>
      <modifiedWord/>
      <trackRevisions>false</trackRevisions>
    </reviewItem>
    <reviewItem>
      <errorID>ba893167-b727-4144-b057-8ef9058e14bf</errorID>
      <errorWord>）</errorWord>
      <group>L1_Punc</group>
      <groupName>标点问题</groupName>
      <ability>L2_Punc_CN</ability>
      <abilityName>标点符号问题</abilityName>
      <candidateList/>
      <explain>同一形式括号套用。</explain>
      <paraID> 9B2D5AC</paraID>
      <start>8</start>
      <end>9</end>
      <status>unmodified</status>
      <modifiedWord/>
      <trackRevisions>false</trackRevisions>
    </reviewItem>
    <reviewItem>
      <errorID>5ce29be3-40df-4509-83ba-59b7a37bbb07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C485273</paraID>
      <start>0</start>
      <end>2</end>
      <status>unmodified</status>
      <modifiedWord/>
      <trackRevisions>false</trackRevisions>
    </reviewItem>
    <reviewItem>
      <errorID>a3fb0aaa-d81a-45a5-afce-d771c37e1340</errorID>
      <errorWord>地子</errorWord>
      <group>L1_Word</group>
      <groupName>字词问题</groupName>
      <ability>L2_Typo</ability>
      <abilityName>字词错误</abilityName>
      <candidateList>
        <item>号子</item>
      </candidateList>
      <explain/>
      <paraID>2CF7EB90</paraID>
      <start>96</start>
      <end>98</end>
      <status>unmodified</status>
      <modifiedWord/>
      <trackRevisions>false</trackRevisions>
    </reviewItem>
    <reviewItem>
      <errorID>594aee36-c779-432a-9070-0dac72776ba6</errorID>
      <errorWord>36.2～46.5%</errorWord>
      <group>L1_Knowledge</group>
      <groupName>知识性问题</groupName>
      <ability>L2_Knowledge</ability>
      <abilityName>其他知识</abilityName>
      <candidateList>
        <item>36.2%～46.5%</item>
      </candidateList>
      <explain>1. “36.2～46.5%”中的单位“%”仅出现在后一个数字上，容易引起歧义；根据《现代汉语标点符号数字用法规范手册》，数字表示范围两边需要使用统一的格式。2. 根据标点国标 4.13 中的规则，数字、时间或地域连接符应使用（视觉上更长的）“—”或“～”。</explain>
      <paraID>4697D78A</paraID>
      <start>164</start>
      <end>174</end>
      <status>unmodified</status>
      <modifiedWord/>
      <trackRevisions>false</trackRevisions>
    </reviewItem>
    <reviewItem>
      <errorID>8f06842d-5d38-471d-be97-0e93f28ffdf0</errorID>
      <errorWord>27～50.6%</errorWord>
      <group>L1_Knowledge</group>
      <groupName>知识性问题</groupName>
      <ability>L2_Knowledge</ability>
      <abilityName>其他知识</abilityName>
      <candidateList>
        <item>27%～50.6%</item>
      </candidateList>
      <explain>1. “27～50.6%”中的单位“%”仅出现在后一个数字上，容易引起歧义；根据《现代汉语标点符号数字用法规范手册》，数字表示范围两边需要使用统一的格式。2. 根据标点国标 4.13 中的规则，数字、时间或地域连接符应使用（视觉上更长的）“—”或“～”。</explain>
      <paraID>4697D78A</paraID>
      <start>180</start>
      <end>188</end>
      <status>unmodified</status>
      <modifiedWord/>
      <trackRevisions>false</trackRevisions>
    </reviewItem>
    <reviewItem>
      <errorID>f65cb8d6-938c-4bfd-9af8-85d258487f03</errorID>
      <errorWord>13.9～46.0%</errorWord>
      <group>L1_Knowledge</group>
      <groupName>知识性问题</groupName>
      <ability>L2_Knowledge</ability>
      <abilityName>其他知识</abilityName>
      <candidateList>
        <item>13.9%～46.0%</item>
      </candidateList>
      <explain>1. “13.9～46.0%”中的单位“%”仅出现在后一个数字上，容易引起歧义；根据《现代汉语标点符号数字用法规范手册》，数字表示范围两边需要使用统一的格式。2. 根据标点国标 4.13 中的规则，数字、时间或地域连接符应使用（视觉上更长的）“—”或“～”。</explain>
      <paraID>4697D78A</paraID>
      <start>192</start>
      <end>202</end>
      <status>unmodified</status>
      <modifiedWord/>
      <trackRevisions>false</trackRevisions>
    </reviewItem>
    <reviewItem>
      <errorID>3cef6857-35b7-480d-89b2-f0ea7281fb0b</errorID>
      <errorWord>9.1～32.5%</errorWord>
      <group>L1_Knowledge</group>
      <groupName>知识性问题</groupName>
      <ability>L2_Knowledge</ability>
      <abilityName>其他知识</abilityName>
      <candidateList>
        <item>9.1%～32.5%</item>
      </candidateList>
      <explain>1. “9.1～32.5%”中的单位“%”仅出现在后一个数字上，容易引起歧义；根据《现代汉语标点符号数字用法规范手册》，数字表示范围两边需要使用统一的格式。2. 根据标点国标 4.13 中的规则，数字、时间或地域连接符应使用（视觉上更长的）“—”或“～”。</explain>
      <paraID>4697D78A</paraID>
      <start>206</start>
      <end>215</end>
      <status>unmodified</status>
      <modifiedWord/>
      <trackRevisions>false</trackRevisions>
    </reviewItem>
    <reviewItem>
      <errorID>3e91be36-88ab-47f8-b862-ffa22ed91791</errorID>
      <errorWord>地子</errorWord>
      <group>L1_Word</group>
      <groupName>字词问题</groupName>
      <ability>L2_Typo</ability>
      <abilityName>字词错误</abilityName>
      <candidateList>
        <item>号子</item>
      </candidateList>
      <explain/>
      <paraID>4405419D</paraID>
      <start>143</start>
      <end>145</end>
      <status>unmodified</status>
      <modifiedWord/>
      <trackRevisions>false</trackRevisions>
    </reviewItem>
    <reviewItem>
      <errorID>1db2cfb8-4aa1-4e84-b58c-f6dc87aaf743</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4405419D</paraID>
      <start>273</start>
      <end>280</end>
      <status>unmodified</status>
      <modifiedWord/>
      <trackRevisions>false</trackRevisions>
    </reviewItem>
    <reviewItem>
      <errorID>7ffb1abc-75ca-4828-8ae6-a4e65f0b5377</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4405419D</paraID>
      <start>342</start>
      <end>349</end>
      <status>unmodified</status>
      <modifiedWord/>
      <trackRevisions>false</trackRevisions>
    </reviewItem>
    <reviewItem>
      <errorID>7dcecffc-5d30-47b8-8668-92e15db025db</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4405419D</paraID>
      <start>409</start>
      <end>416</end>
      <status>unmodified</status>
      <modifiedWord/>
      <trackRevisions>false</trackRevisions>
    </reviewItem>
    <reviewItem>
      <errorID>74a1db91-7e65-401f-86cb-0e7c6581310a</errorID>
      <errorWord>（</errorWord>
      <group>L1_Punc</group>
      <groupName>标点问题</groupName>
      <ability>L2_Punc_CN</ability>
      <abilityName>标点符号问题</abilityName>
      <candidateList/>
      <explain>同一形式括号套用。</explain>
      <paraID>429B9111</paraID>
      <start>28</start>
      <end>29</end>
      <status>unmodified</status>
      <modifiedWord/>
      <trackRevisions>false</trackRevisions>
    </reviewItem>
    <reviewItem>
      <errorID>4bdc235d-1435-4266-b0da-f3c16cf7c828</errorID>
      <errorWord>）</errorWord>
      <group>L1_Punc</group>
      <groupName>标点问题</groupName>
      <ability>L2_Punc_CN</ability>
      <abilityName>标点符号问题</abilityName>
      <candidateList/>
      <explain>同一形式括号套用。</explain>
      <paraID>429B9111</paraID>
      <start>31</start>
      <end>32</end>
      <status>unmodified</status>
      <modifiedWord/>
      <trackRevisions>false</trackRevisions>
    </reviewItem>
    <reviewItem>
      <errorID>25ef9012-cad8-4b92-8040-7812c71df69a</errorID>
      <errorWord>~</errorWord>
      <group>L1_Format</group>
      <groupName>格式问题</groupName>
      <ability>L2_HalfPunc_CN</ability>
      <abilityName>全半角问题</abilityName>
      <candidateList>
        <item>～</item>
      </candidateList>
      <explain>文本全半角错误。</explain>
      <paraID> DB94EFB</paraID>
      <start>21</start>
      <end>22</end>
      <status>unmodified</status>
      <modifiedWord/>
      <trackRevisions>false</trackRevisions>
    </reviewItem>
    <reviewItem>
      <errorID>f90fc077-695f-45b2-a3cd-5d8c2cd42b9a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3B8323EE</paraID>
      <start>0</start>
      <end>2</end>
      <status>unmodified</status>
      <modifiedWord/>
      <trackRevisions>false</trackRevisions>
    </reviewItem>
    <reviewItem>
      <errorID>2f852389-c5ff-4184-b9c8-e57bcb468f16</errorID>
      <errorWord>混泥土</errorWord>
      <group>L1_Word</group>
      <groupName>字词问题</groupName>
      <ability>L2_Typo</ability>
      <abilityName>字词错误</abilityName>
      <candidateList>
        <item>混凝土</item>
      </candidateList>
      <explain>〈名〉一种建筑材料，一般用水泥、沙、石子和水按比例拌和而成，硬结后有耐压、耐水、耐火等性能。</explain>
      <paraID>2AC02992</paraID>
      <start>102</start>
      <end>105</end>
      <status>modified</status>
      <modifiedWord>混凝土</modifiedWord>
      <trackRevisions>false</trackRevisions>
    </reviewItem>
    <reviewItem>
      <errorID>6f9b59e6-1c47-4892-9da9-96a0d6dc8e86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5DB328C8</paraID>
      <start>0</start>
      <end>2</end>
      <status>unmodified</status>
      <modifiedWord/>
      <trackRevisions>false</trackRevisions>
    </reviewItem>
    <reviewItem>
      <errorID>ce803bb4-ca60-4121-9927-52c7e7f8a06e</errorID>
      <errorWord>，</errorWord>
      <group>L1_Word</group>
      <groupName>字词问题</groupName>
      <ability>L2_Typo</ability>
      <abilityName>字词错误</abilityName>
      <candidateList>
        <item>，建</item>
      </candidateList>
      <explain/>
      <paraID>2EC81846</paraID>
      <start>75</start>
      <end>76</end>
      <status>unmodified</status>
      <modifiedWord/>
      <trackRevisions>false</trackRevisions>
    </reviewItem>
    <reviewItem>
      <errorID>5040acfa-8fda-4628-84fc-59d183541682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17CC36BF</paraID>
      <start>0</start>
      <end>2</end>
      <status>unmodified</status>
      <modifiedWord/>
      <trackRevisions>false</trackRevisions>
    </reviewItem>
    <reviewItem>
      <errorID>27f374d2-fc66-4b1a-bd78-aafa8a3d5813</errorID>
      <errorWord>（</errorWord>
      <group>L1_Punc</group>
      <groupName>标点问题</groupName>
      <ability>L2_Punc_CN</ability>
      <abilityName>标点符号问题</abilityName>
      <candidateList/>
      <explain>同一形式括号套用。</explain>
      <paraID>224360F6</paraID>
      <start>3</start>
      <end>4</end>
      <status>unmodified</status>
      <modifiedWord/>
      <trackRevisions>false</trackRevisions>
    </reviewItem>
    <reviewItem>
      <errorID>8e5aadaf-839c-49f5-a5a3-1e9ca894ed8d</errorID>
      <errorWord>(</errorWord>
      <group>L1_Punc</group>
      <groupName>标点问题</groupName>
      <ability>L2_Punc_CN</ability>
      <abilityName>标点符号问题</abilityName>
      <candidateList/>
      <explain>同一形式括号套用。</explain>
      <paraID>224360F6</paraID>
      <start>6</start>
      <end>7</end>
      <status>unmodified</status>
      <modifiedWord/>
      <trackRevisions>false</trackRevisions>
    </reviewItem>
    <reviewItem>
      <errorID>a5c4904a-fedd-4462-9633-9badab00bc7c</errorID>
      <errorWord>）</errorWord>
      <group>L1_Punc</group>
      <groupName>标点问题</groupName>
      <ability>L2_Punc_CN</ability>
      <abilityName>标点符号问题</abilityName>
      <candidateList/>
      <explain>同一形式括号套用。</explain>
      <paraID>224360F6</paraID>
      <start>9</start>
      <end>10</end>
      <status>unmodified</status>
      <modifiedWord/>
      <trackRevisions>false</trackRevisions>
    </reviewItem>
    <reviewItem>
      <errorID>d08f8b9e-d66d-40e1-886a-67ac70d94eb7</errorID>
      <errorWord>（</errorWord>
      <group>L1_Punc</group>
      <groupName>标点问题</groupName>
      <ability>L2_Punc_CN</ability>
      <abilityName>标点符号问题</abilityName>
      <candidateList/>
      <explain>同一形式括号套用。</explain>
      <paraID>30B39F99</paraID>
      <start>19</start>
      <end>20</end>
      <status>unmodified</status>
      <modifiedWord/>
      <trackRevisions>false</trackRevisions>
    </reviewItem>
    <reviewItem>
      <errorID>834d5c72-b6d7-4e9c-a6a0-fb24ee642d7d</errorID>
      <errorWord>(</errorWord>
      <group>L1_Punc</group>
      <groupName>标点问题</groupName>
      <ability>L2_Punc_CN</ability>
      <abilityName>标点符号问题</abilityName>
      <candidateList/>
      <explain>同一形式括号套用。</explain>
      <paraID>30B39F99</paraID>
      <start>22</start>
      <end>23</end>
      <status>unmodified</status>
      <modifiedWord/>
      <trackRevisions>false</trackRevisions>
    </reviewItem>
    <reviewItem>
      <errorID>a2fd441b-8c36-456d-bcde-f2756c138539</errorID>
      <errorWord>）</errorWord>
      <group>L1_Punc</group>
      <groupName>标点问题</groupName>
      <ability>L2_Punc_CN</ability>
      <abilityName>标点符号问题</abilityName>
      <candidateList/>
      <explain>同一形式括号套用。</explain>
      <paraID>30B39F99</paraID>
      <start>25</start>
      <end>26</end>
      <status>unmodified</status>
      <modifiedWord/>
      <trackRevisions>false</trackRevisions>
    </reviewItem>
    <reviewItem>
      <errorID>87639aa9-1cd4-4121-97fb-4223e6197913</errorID>
      <errorWord>（</errorWord>
      <group>L1_Punc</group>
      <groupName>标点问题</groupName>
      <ability>L2_Punc_CN</ability>
      <abilityName>标点符号问题</abilityName>
      <candidateList/>
      <explain>同一形式括号套用。</explain>
      <paraID>487D242F</paraID>
      <start>12</start>
      <end>13</end>
      <status>unmodified</status>
      <modifiedWord/>
      <trackRevisions>false</trackRevisions>
    </reviewItem>
    <reviewItem>
      <errorID>2b64b51d-2491-4a88-afa5-87f2b666e946</errorID>
      <errorWord>(</errorWord>
      <group>L1_Punc</group>
      <groupName>标点问题</groupName>
      <ability>L2_Punc_CN</ability>
      <abilityName>标点符号问题</abilityName>
      <candidateList/>
      <explain>同一形式括号套用。</explain>
      <paraID>487D242F</paraID>
      <start>15</start>
      <end>16</end>
      <status>unmodified</status>
      <modifiedWord/>
      <trackRevisions>false</trackRevisions>
    </reviewItem>
    <reviewItem>
      <errorID>e96b97a3-8dd0-46ad-95f9-75b81f4e61f6</errorID>
      <errorWord>）</errorWord>
      <group>L1_Punc</group>
      <groupName>标点问题</groupName>
      <ability>L2_Punc_CN</ability>
      <abilityName>标点符号问题</abilityName>
      <candidateList/>
      <explain>同一形式括号套用。</explain>
      <paraID>487D242F</paraID>
      <start>18</start>
      <end>19</end>
      <status>unmodified</status>
      <modifiedWord/>
      <trackRevisions>false</trackRevisions>
    </reviewItem>
    <reviewItem>
      <errorID>2ab8269e-8c02-45f4-82de-8093066cc30b</errorID>
      <errorWord>（</errorWord>
      <group>L1_Punc</group>
      <groupName>标点问题</groupName>
      <ability>L2_Punc_CN</ability>
      <abilityName>标点符号问题</abilityName>
      <candidateList/>
      <explain>同一形式括号套用。</explain>
      <paraID>7CC193FA</paraID>
      <start>124</start>
      <end>125</end>
      <status>unmodified</status>
      <modifiedWord/>
      <trackRevisions>false</trackRevisions>
    </reviewItem>
    <reviewItem>
      <errorID>bf91a182-ff30-48a0-8781-278fffccffca</errorID>
      <errorWord>(</errorWord>
      <group>L1_Punc</group>
      <groupName>标点问题</groupName>
      <ability>L2_Punc_CN</ability>
      <abilityName>标点符号问题</abilityName>
      <candidateList/>
      <explain>同一形式括号套用。</explain>
      <paraID>7CC193FA</paraID>
      <start>131</start>
      <end>132</end>
      <status>unmodified</status>
      <modifiedWord/>
      <trackRevisions>false</trackRevisions>
    </reviewItem>
    <reviewItem>
      <errorID>8f7802ee-8cde-4a27-b254-cdbca28badf9</errorID>
      <errorWord>）</errorWord>
      <group>L1_Punc</group>
      <groupName>标点问题</groupName>
      <ability>L2_Punc_CN</ability>
      <abilityName>标点符号问题</abilityName>
      <candidateList/>
      <explain>同一形式括号套用。</explain>
      <paraID>7CC193FA</paraID>
      <start>134</start>
      <end>135</end>
      <status>unmodified</status>
      <modifiedWord/>
      <trackRevisions>false</trackRevisions>
    </reviewItem>
    <reviewItem>
      <errorID>bae632ae-ba63-439f-b716-22f1650583bd</errorID>
      <errorWord>（</errorWord>
      <group>L1_Punc</group>
      <groupName>标点问题</groupName>
      <ability>L2_Punc_CN</ability>
      <abilityName>标点符号问题</abilityName>
      <candidateList/>
      <explain>同一形式括号套用。</explain>
      <paraID>1418D748</paraID>
      <start>9</start>
      <end>10</end>
      <status>unmodified</status>
      <modifiedWord/>
      <trackRevisions>false</trackRevisions>
    </reviewItem>
    <reviewItem>
      <errorID>1318c10b-ecf0-4a2a-8e40-212b08a329cc</errorID>
      <errorWord>(</errorWord>
      <group>L1_Punc</group>
      <groupName>标点问题</groupName>
      <ability>L2_Punc_CN</ability>
      <abilityName>标点符号问题</abilityName>
      <candidateList/>
      <explain>同一形式括号套用。</explain>
      <paraID>1418D748</paraID>
      <start>12</start>
      <end>13</end>
      <status>unmodified</status>
      <modifiedWord/>
      <trackRevisions>false</trackRevisions>
    </reviewItem>
    <reviewItem>
      <errorID>f07678b9-5c47-441f-bb05-a66a1704fc6c</errorID>
      <errorWord>）</errorWord>
      <group>L1_Punc</group>
      <groupName>标点问题</groupName>
      <ability>L2_Punc_CN</ability>
      <abilityName>标点符号问题</abilityName>
      <candidateList/>
      <explain>同一形式括号套用。</explain>
      <paraID>1418D748</paraID>
      <start>15</start>
      <end>16</end>
      <status>unmodified</status>
      <modifiedWord/>
      <trackRevisions>false</trackRevisions>
    </reviewItem>
    <reviewItem>
      <errorID>52d04173-07ac-47a8-abc7-12256fc032ff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1D4FA4D8</paraID>
      <start>0</start>
      <end>2</end>
      <status>unmodified</status>
      <modifiedWord/>
      <trackRevisions>false</trackRevisions>
    </reviewItem>
    <reviewItem>
      <errorID>f5f9e767-1329-4e30-b51a-c290c2bb9675</errorID>
      <errorWord>地子</errorWord>
      <group>L1_Word</group>
      <groupName>字词问题</groupName>
      <ability>L2_Typo</ability>
      <abilityName>字词错误</abilityName>
      <candidateList>
        <item>号子</item>
      </candidateList>
      <explain/>
      <paraID>38E8741C</paraID>
      <start>9</start>
      <end>11</end>
      <status>unmodified</status>
      <modifiedWord/>
      <trackRevisions>false</trackRevisions>
    </reviewItem>
    <reviewItem>
      <errorID>8cb84e5c-65f3-4f0a-85fe-2f3656c3d7bd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2284736A</paraID>
      <start>0</start>
      <end>2</end>
      <status>unmodified</status>
      <modifiedWord/>
      <trackRevisions>false</trackRevisions>
    </reviewItem>
    <reviewItem>
      <errorID>cb2f7bad-82de-4abc-aa17-a55b85b91f89</errorID>
      <errorWord>迳流</errorWord>
      <group>L1_Word</group>
      <groupName>字词问题</groupName>
      <ability>L2_Variant</ability>
      <abilityName>异形词</abilityName>
      <candidateList>
        <item>径流</item>
      </candidateList>
      <explain>词汇[迳流]的规范词形写作[径流]。</explain>
      <paraID>68AC1236</paraID>
      <start>84</start>
      <end>86</end>
      <status>modified</status>
      <modifiedWord>径流</modifiedWord>
      <trackRevisions>false</trackRevisions>
    </reviewItem>
    <reviewItem>
      <errorID>0b1a255f-b5e2-4d4a-b0ec-7fd0c83046d8</errorID>
      <errorWord>半干旱气侯</errorWord>
      <group>L1_Knowledge</group>
      <groupName>知识性问题</groupName>
      <ability>L2_Term</ability>
      <abilityName>专业术语</abilityName>
      <candidateList>
        <item>半干旱气候</item>
      </candidateList>
      <explain/>
      <paraID>58C2E82D</paraID>
      <start>83</start>
      <end>88</end>
      <status>modified</status>
      <modifiedWord>半干旱气候</modifiedWord>
      <trackRevisions>false</trackRevisions>
    </reviewItem>
    <reviewItem>
      <errorID>096e8470-23c2-46a0-8784-4f12f453fbab</errorID>
      <errorWord>小</errorWord>
      <group>L1_Word</group>
      <groupName>字词问题</groupName>
      <ability>L2_Typo</ability>
      <abilityName>字词错误</abilityName>
      <candidateList>
        <item>少</item>
      </candidateList>
      <explain>存在字形相近字词的误用。</explain>
      <paraID>58C2E82D</paraID>
      <start>108</start>
      <end>109</end>
      <status>modified</status>
      <modifiedWord>少</modifiedWord>
      <trackRevisions>false</trackRevisions>
    </reviewItem>
    <reviewItem>
      <errorID>99b80162-df69-4c28-ab13-2758e72b3b45</errorID>
      <errorWord>地子</errorWord>
      <group>L1_Word</group>
      <groupName>字词问题</groupName>
      <ability>L2_Typo</ability>
      <abilityName>字词错误</abilityName>
      <candidateList>
        <item>号子</item>
      </candidateList>
      <explain/>
      <paraID>3B7E69A8</paraID>
      <start>48</start>
      <end>50</end>
      <status>unmodified</status>
      <modifiedWord/>
      <trackRevisions>false</trackRevisions>
    </reviewItem>
    <reviewItem>
      <errorID>e31a17ac-2fbf-4d24-af0c-5bccec72501f</errorID>
      <errorWord>地子</errorWord>
      <group>L1_Word</group>
      <groupName>字词问题</groupName>
      <ability>L2_Typo</ability>
      <abilityName>字词错误</abilityName>
      <candidateList>
        <item>号子</item>
      </candidateList>
      <explain/>
      <paraID>3B7E69A8</paraID>
      <start>110</start>
      <end>112</end>
      <status>unmodified</status>
      <modifiedWord/>
      <trackRevisions>false</trackRevisions>
    </reviewItem>
    <reviewItem>
      <errorID>62e0b19b-ccc5-4e33-aea3-3538add494db</errorID>
      <errorWord>取至</errorWord>
      <group>L1_Word</group>
      <groupName>字词问题</groupName>
      <ability>L2_Typo</ability>
      <abilityName>字词错误</abilityName>
      <candidateList>
        <item>取自</item>
      </candidateList>
      <explain/>
      <paraID>3B7E69A8</paraID>
      <start>164</start>
      <end>166</end>
      <status>modified</status>
      <modifiedWord>取自</modifiedWord>
      <trackRevisions>false</trackRevisions>
    </reviewItem>
    <reviewItem>
      <errorID>ff1c7ca7-854e-44cb-87b2-a9d46951fb66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7B2582B8</paraID>
      <start>0</start>
      <end>2</end>
      <status>unmodified</status>
      <modifiedWord/>
      <trackRevisions>false</trackRevisions>
    </reviewItem>
    <reviewItem>
      <errorID>48b34a22-ac83-4af3-aae4-622bbd564c2f</errorID>
      <errorWord>人体伤害</errorWord>
      <group>L1_Knowledge</group>
      <groupName>知识性问题</groupName>
      <ability>L2_Term</ability>
      <abilityName>专业术语</abilityName>
      <candidateList>
        <item>人身伤害</item>
      </candidateList>
      <explain/>
      <paraID>2523FCFA</paraID>
      <start>72</start>
      <end>76</end>
      <status>modified</status>
      <modifiedWord>人身伤害</modifiedWord>
      <trackRevisions>false</trackRevisions>
    </reviewItem>
    <reviewItem>
      <errorID>299d8921-8c6e-405a-9267-eb2b3c8de0b0</errorID>
      <errorWord>揭漏</errorWord>
      <group>L1_Word</group>
      <groupName>字词问题</groupName>
      <ability>L2_Typo</ability>
      <abilityName>字词错误</abilityName>
      <candidateList>
        <item>揭露</item>
      </candidateList>
      <explain/>
      <paraID>51069FDA</paraID>
      <start>160</start>
      <end>162</end>
      <status>modified</status>
      <modifiedWord>揭露</modifiedWord>
      <trackRevisions>false</trackRevisions>
    </reviewItem>
    <reviewItem>
      <errorID>e7c134bf-de8c-4f4c-831d-eb962601e72a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2A8BE01E</paraID>
      <start>0</start>
      <end>2</end>
      <status>unmodified</status>
      <modifiedWord/>
      <trackRevisions>false</trackRevisions>
    </reviewItem>
    <reviewItem>
      <errorID>032283ea-9f9e-4e8a-8ac6-cfa67acd004a</errorID>
      <errorWord>则</errorWord>
      <group>L1_Word</group>
      <groupName>字词问题</groupName>
      <ability>L2_Typo</ability>
      <abilityName>字词错误</abilityName>
      <candidateList>
        <item>则以</item>
      </candidateList>
      <explain/>
      <paraID>68098636</paraID>
      <start>33</start>
      <end>35</end>
      <status>modified</status>
      <modifiedWord>则以</modifiedWord>
      <trackRevisions>false</trackRevisions>
    </reviewItem>
    <reviewItem>
      <errorID>42ff13a9-3903-4e78-9c80-7935aa8a10b3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5BC4ECD1</paraID>
      <start>0</start>
      <end>2</end>
      <status>unmodified</status>
      <modifiedWord/>
      <trackRevisions>false</trackRevisions>
    </reviewItem>
    <reviewItem>
      <errorID>e6145948-ba77-4564-83ad-31b31c65890e</errorID>
      <errorWord>地子</errorWord>
      <group>L1_Word</group>
      <groupName>字词问题</groupName>
      <ability>L2_Typo</ability>
      <abilityName>字词错误</abilityName>
      <candidateList>
        <item>号子</item>
      </candidateList>
      <explain/>
      <paraID>209B5CAA</paraID>
      <start>62</start>
      <end>64</end>
      <status>unmodified</status>
      <modifiedWord/>
      <trackRevisions>false</trackRevisions>
    </reviewItem>
    <reviewItem>
      <errorID>b9ebdc27-71b0-4b95-9646-216febe2089f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770B0790</paraID>
      <start>0</start>
      <end>2</end>
      <status>unmodified</status>
      <modifiedWord/>
      <trackRevisions>false</trackRevisions>
    </reviewItem>
    <reviewItem>
      <errorID>f75730f5-1d09-463e-a45d-cf5b6f33718e</errorID>
      <errorWord>再回覆</errorWord>
      <group>L1_Word</group>
      <groupName>字词问题</groupName>
      <ability>L2_Fanti</ability>
      <abilityName>繁转简</abilityName>
      <candidateList>
        <item>再回复</item>
      </candidateList>
      <explain/>
      <paraID>26ED62FF</paraID>
      <start>41</start>
      <end>44</end>
      <status>unmodified</status>
      <modifiedWord/>
      <trackRevisions>false</trackRevisions>
    </reviewItem>
    <reviewItem>
      <errorID>656c1be4-655f-4d3d-bd2b-c9eb3326a697</errorID>
      <errorWord>&lt;</errorWord>
      <group>L1_Format</group>
      <groupName>格式问题</groupName>
      <ability>L2_HalfPunc_CN</ability>
      <abilityName>全半角问题</abilityName>
      <candidateList>
        <item>〈</item>
      </candidateList>
      <explain>文本全半角错误。</explain>
      <paraID>2FE5E992</paraID>
      <start>7</start>
      <end>8</end>
      <status>unmodified</status>
      <modifiedWord/>
      <trackRevisions>false</trackRevisions>
    </reviewItem>
    <reviewItem>
      <errorID>01b2f8c8-080b-4ea8-ad9d-2875f2c7ea37</errorID>
      <errorWord>&gt;的通知》</errorWord>
      <group>L1_Punc</group>
      <groupName>标点问题</groupName>
      <ability>L2_Punc_CN</ability>
      <abilityName>标点符号问题</abilityName>
      <candidateList>
        <item>〉的通知》</item>
      </candidateList>
      <explain/>
      <paraID>2FE5E992</paraID>
      <start>38</start>
      <end>43</end>
      <status>unmodified</status>
      <modifiedWord/>
      <trackRevisions>false</trackRevisions>
    </reviewItem>
    <reviewItem>
      <errorID>c40c0c9a-0e84-4cb9-80a3-7aaa617d0a00</errorID>
      <errorWord>&lt;</errorWord>
      <group>L1_Format</group>
      <groupName>格式问题</groupName>
      <ability>L2_HalfPunc_CN</ability>
      <abilityName>全半角问题</abilityName>
      <candidateList>
        <item>〈</item>
      </candidateList>
      <explain>文本全半角错误。</explain>
      <paraID>2FE5E992</paraID>
      <start>109</start>
      <end>110</end>
      <status>unmodified</status>
      <modifiedWord/>
      <trackRevisions>false</trackRevisions>
    </reviewItem>
    <reviewItem>
      <errorID>7322350c-ad68-445e-850e-aa5aa735fd7a</errorID>
      <errorWord>&gt;的通知》</errorWord>
      <group>L1_Punc</group>
      <groupName>标点问题</groupName>
      <ability>L2_Punc_CN</ability>
      <abilityName>标点符号问题</abilityName>
      <candidateList>
        <item>〉的通知》</item>
      </candidateList>
      <explain/>
      <paraID>2FE5E992</paraID>
      <start>133</start>
      <end>138</end>
      <status>unmodified</status>
      <modifiedWord/>
      <trackRevisions>false</trackRevisions>
    </reviewItem>
    <reviewItem>
      <errorID>2a305f20-35d6-4e89-9e18-77067c39d394</errorID>
      <errorWord>(</errorWord>
      <group>L1_Format</group>
      <groupName>格式问题</groupName>
      <ability>L2_HalfPunc_CN</ability>
      <abilityName>全半角问题</abilityName>
      <candidateList>
        <item>（</item>
      </candidateList>
      <explain>文本全半角错误。</explain>
      <paraID>15570BF3</paraID>
      <start>45</start>
      <end>46</end>
      <status>unmodified</status>
      <modifiedWord/>
      <trackRevisions>false</trackRevisions>
    </reviewItem>
    <reviewItem>
      <errorID>9501e885-2e25-4ca7-8ab7-d27f34cd2a11</errorID>
      <errorWord>地子</errorWord>
      <group>L1_Word</group>
      <groupName>字词问题</groupName>
      <ability>L2_Typo</ability>
      <abilityName>字词错误</abilityName>
      <candidateList>
        <item>号子</item>
      </candidateList>
      <explain/>
      <paraID>1BE73876</paraID>
      <start>68</start>
      <end>70</end>
      <status>unmodified</status>
      <modifiedWord/>
      <trackRevisions>false</trackRevisions>
    </reviewItem>
    <reviewItem>
      <errorID>ab09f622-3110-469f-8583-663e8e67fc60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6F1D996A</paraID>
      <start>0</start>
      <end>2</end>
      <status>unmodified</status>
      <modifiedWord/>
      <trackRevisions>false</trackRevisions>
    </reviewItem>
    <reviewItem>
      <errorID>2a348bad-34c9-4daf-9add-59fa3a5e676d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52B8EE4B</paraID>
      <start>0</start>
      <end>2</end>
      <status>unmodified</status>
      <modifiedWord/>
      <trackRevisions>false</trackRevisions>
    </reviewItem>
    <reviewItem>
      <errorID>744ed941-4a16-4e9c-b90b-d50a4008d6a0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5DD14785</paraID>
      <start>0</start>
      <end>2</end>
      <status>unmodified</status>
      <modifiedWord/>
      <trackRevisions>false</trackRevisions>
    </reviewItem>
    <reviewItem>
      <errorID>1c30b266-dc9b-4431-9cd1-19846f256a8e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49032DED</paraID>
      <start>0</start>
      <end>2</end>
      <status>unmodified</status>
      <modifiedWord/>
      <trackRevisions>false</trackRevisions>
    </reviewItem>
    <reviewItem>
      <errorID>7e7855af-aafc-40fe-8e55-c7622f2e6308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C8D4D7A</paraID>
      <start>0</start>
      <end>2</end>
      <status>unmodified</status>
      <modifiedWord/>
      <trackRevisions>false</trackRevisions>
    </reviewItem>
    <reviewItem>
      <errorID>4d2501b9-eabc-43ec-a264-3cab0b179df3</errorID>
      <errorWord>程</errorWord>
      <group>L1_Word</group>
      <groupName>字词问题</groupName>
      <ability>L2_Typo</ability>
      <abilityName>字词错误</abilityName>
      <candidateList>
        <item>程中</item>
      </candidateList>
      <explain/>
      <paraID>445E862C</paraID>
      <start>7</start>
      <end>9</end>
      <status>modified</status>
      <modifiedWord>程中</modifiedWord>
      <trackRevisions>false</trackRevisions>
    </reviewItem>
    <reviewItem>
      <errorID>8f211036-9286-4312-9b69-99962592f297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2362C5BF</paraID>
      <start>0</start>
      <end>2</end>
      <status>unmodified</status>
      <modifiedWord/>
      <trackRevisions>false</trackRevisions>
    </reviewItem>
    <reviewItem>
      <errorID>aa23ff55-bd99-4448-845b-30550d580b5e</errorID>
      <errorWord>进</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19C263DF</paraID>
      <start>46</start>
      <end>48</end>
      <status>modified</status>
      <modifiedWord>进行</modifiedWord>
      <trackRevisions>false</trackRevisions>
    </reviewItem>
    <reviewItem>
      <errorID>1a124765-8e7e-467c-bb63-7dcf636f2e15</errorID>
      <errorWord>源</errorWord>
      <group>L1_Word</group>
      <groupName>字词问题</groupName>
      <ability>L2_Typo</ability>
      <abilityName>字词错误</abilityName>
      <candidateList>
        <item>源上</item>
      </candidateList>
      <explain/>
      <paraID> E484B08</paraID>
      <start>119</start>
      <end>121</end>
      <status>modified</status>
      <modifiedWord>源上</modifiedWord>
      <trackRevisions>false</trackRevisions>
    </reviewItem>
    <reviewItem>
      <errorID>da7ffb9b-791a-4988-a9d7-0bfb3556d180</errorID>
      <errorWord>极</errorWord>
      <group>L1_Word</group>
      <groupName>字词问题</groupName>
      <ability>L2_Typo</ability>
      <abilityName>字词错误</abilityName>
      <candidateList>
        <item>及</item>
      </candidateList>
      <explain>存在发音相同字词的误用。</explain>
      <paraID>651F4CBF</paraID>
      <start>68</start>
      <end>69</end>
      <status>modified</status>
      <modifiedWord>及</modifiedWord>
      <trackRevisions>false</trackRevisions>
    </reviewItem>
    <reviewItem>
      <errorID>368137c6-c61b-442f-9494-3fbcda9bcb3e</errorID>
      <errorWord>分台</errorWord>
      <group>L1_Word</group>
      <groupName>字词问题</groupName>
      <ability>L2_Typo</ability>
      <abilityName>字词错误</abilityName>
      <candidateList>
        <item>分层</item>
      </candidateList>
      <explain/>
      <paraID>32865EAF</paraID>
      <start>26</start>
      <end>28</end>
      <status>modified</status>
      <modifiedWord>分层</modifiedWord>
      <trackRevisions>false</trackRevisions>
    </reviewItem>
    <reviewItem>
      <errorID>a24be363-cee1-4e39-8b79-3d706c2590c2</errorID>
      <errorWord>目的是为了</errorWord>
      <group>L1_Word</group>
      <groupName>字词问题</groupName>
      <ability>L2_Typo</ability>
      <abilityName>字词错误</abilityName>
      <candidateList>
        <item>目的是</item>
      </candidateList>
      <explain/>
      <paraID>4F8FEFA8</paraID>
      <start>8</start>
      <end>11</end>
      <status>modified</status>
      <modifiedWord>目的是</modifiedWord>
      <trackRevisions>false</trackRevisions>
    </reviewItem>
    <reviewItem>
      <errorID>a374d85b-9f13-4f76-9550-413a74d91e87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BCB4409</paraID>
      <start>0</start>
      <end>2</end>
      <status>unmodified</status>
      <modifiedWord/>
      <trackRevisions>false</trackRevisions>
    </reviewItem>
    <reviewItem>
      <errorID>ae344475-fe5c-4f25-91fe-b4b72aa6b730</errorID>
      <errorWord>体</errorWord>
      <group>L1_Word</group>
      <groupName>字词问题</groupName>
      <ability>L2_Typo</ability>
      <abilityName>字词错误</abilityName>
      <candidateList>
        <item>体必</item>
      </candidateList>
      <explain/>
      <paraID>6AE1278B</paraID>
      <start>44</start>
      <end>46</end>
      <status>modified</status>
      <modifiedWord>体必</modifiedWord>
      <trackRevisions>false</trackRevisions>
    </reviewItem>
    <reviewItem>
      <errorID>22ab061b-f1cf-4c16-a46c-56df0a84b0d0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3BFFF166</paraID>
      <start>0</start>
      <end>2</end>
      <status>unmodified</status>
      <modifiedWord/>
      <trackRevisions>false</trackRevisions>
    </reviewItem>
    <reviewItem>
      <errorID>72c174b0-5b5d-4d7a-b901-7517b3a26e70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E5EC410</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fee945-c733-42c8-8e75-3e5e6d0bf1a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103</Pages>
  <Words>14703</Words>
  <Characters>15291</Characters>
  <Lines>278</Lines>
  <Paragraphs>78</Paragraphs>
  <TotalTime>6</TotalTime>
  <ScaleCrop>false</ScaleCrop>
  <LinksUpToDate>false</LinksUpToDate>
  <CharactersWithSpaces>15504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小麦啾</cp:lastModifiedBy>
  <cp:lastPrinted>2020-12-24T01:50:00Z</cp:lastPrinted>
  <dcterms:modified xsi:type="dcterms:W3CDTF">2026-08-03T03:08:47Z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1199703194_embed</vt:lpwstr>
  </property>
  <property fmtid="{D5CDD505-2E9C-101B-9397-08002B2CF9AE}" pid="4" name="ICV">
    <vt:lpwstr>E1876A0CEB9247FAA6287097D17E1B3F_13</vt:lpwstr>
  </property>
  <property fmtid="{D5CDD505-2E9C-101B-9397-08002B2CF9AE}" pid="5" name="KSOTemplateDocerSaveRecord">
    <vt:lpwstr>eyJoZGlkIjoiZGZmMjg3MDQ2MzExNDk0OWY5M2UwNzBmOWViMDBkMGMiLCJ1c2VySWQiOiIzMjQ5NjUzODcifQ==</vt:lpwstr>
  </property>
</Properties>
</file>